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E033" w14:textId="77777777" w:rsidR="00DD1691" w:rsidRPr="00885EF1" w:rsidRDefault="00DD1691" w:rsidP="006E56B3">
      <w:pPr>
        <w:spacing w:after="0" w:line="0" w:lineRule="atLeast"/>
        <w:jc w:val="center"/>
        <w:rPr>
          <w:rFonts w:ascii="Arial Narrow" w:hAnsi="Arial Narrow"/>
          <w:b/>
          <w:bCs/>
          <w:sz w:val="16"/>
          <w:szCs w:val="16"/>
        </w:rPr>
      </w:pPr>
      <w:r w:rsidRPr="00885EF1">
        <w:rPr>
          <w:rFonts w:ascii="Arial Narrow" w:hAnsi="Arial Narrow"/>
          <w:b/>
          <w:bCs/>
          <w:sz w:val="16"/>
          <w:szCs w:val="16"/>
        </w:rPr>
        <w:t>SUPERINTENDENCIA NACIONAL DE ADUANAS Y ADMINISTRACION TRIBUTARIA</w:t>
      </w:r>
    </w:p>
    <w:p w14:paraId="2950D202" w14:textId="77777777" w:rsidR="00DD1691" w:rsidRPr="00885EF1" w:rsidRDefault="00DD1691" w:rsidP="00885EF1">
      <w:pPr>
        <w:spacing w:after="0" w:line="0" w:lineRule="atLeast"/>
        <w:ind w:left="2835" w:right="2685"/>
        <w:jc w:val="center"/>
        <w:rPr>
          <w:rFonts w:ascii="Arial Narrow" w:hAnsi="Arial Narrow"/>
          <w:b/>
          <w:bCs/>
          <w:sz w:val="16"/>
          <w:szCs w:val="16"/>
        </w:rPr>
      </w:pPr>
      <w:r w:rsidRPr="00885EF1">
        <w:rPr>
          <w:rFonts w:ascii="Arial Narrow" w:hAnsi="Arial Narrow"/>
          <w:b/>
          <w:bCs/>
          <w:sz w:val="16"/>
          <w:szCs w:val="16"/>
        </w:rPr>
        <w:t>INTENDENCIA DE ADUANAS DE TACNA</w:t>
      </w:r>
    </w:p>
    <w:p w14:paraId="200AA855" w14:textId="77777777" w:rsidR="006E56B3" w:rsidRPr="00885EF1" w:rsidRDefault="006E56B3" w:rsidP="00885EF1">
      <w:pPr>
        <w:spacing w:after="0" w:line="0" w:lineRule="atLeast"/>
        <w:ind w:left="2835" w:right="2685"/>
        <w:jc w:val="center"/>
        <w:rPr>
          <w:rFonts w:ascii="Arial Narrow" w:hAnsi="Arial Narrow"/>
          <w:b/>
          <w:bCs/>
          <w:sz w:val="16"/>
          <w:szCs w:val="16"/>
        </w:rPr>
      </w:pPr>
    </w:p>
    <w:p w14:paraId="1C954EAA" w14:textId="77777777" w:rsidR="00DD1691" w:rsidRPr="00885EF1" w:rsidRDefault="00DD1691" w:rsidP="00885EF1">
      <w:pPr>
        <w:spacing w:after="0" w:line="0" w:lineRule="atLeast"/>
        <w:ind w:left="2835" w:right="2685"/>
        <w:jc w:val="center"/>
        <w:rPr>
          <w:rFonts w:ascii="Arial Narrow" w:hAnsi="Arial Narrow"/>
          <w:b/>
          <w:bCs/>
          <w:sz w:val="16"/>
          <w:szCs w:val="16"/>
        </w:rPr>
      </w:pPr>
      <w:r w:rsidRPr="00885EF1">
        <w:rPr>
          <w:rFonts w:ascii="Arial Narrow" w:hAnsi="Arial Narrow"/>
          <w:b/>
          <w:bCs/>
          <w:sz w:val="16"/>
          <w:szCs w:val="16"/>
        </w:rPr>
        <w:t xml:space="preserve">NOTIFICACION ADMINISTRATIVA </w:t>
      </w:r>
    </w:p>
    <w:p w14:paraId="26F786DF" w14:textId="0D19B4C7" w:rsidR="00DD1691" w:rsidRDefault="00F07BEF" w:rsidP="00885EF1">
      <w:pPr>
        <w:spacing w:after="0" w:line="0" w:lineRule="atLeast"/>
        <w:ind w:left="2835" w:right="2685"/>
        <w:jc w:val="center"/>
        <w:rPr>
          <w:rFonts w:ascii="Arial Narrow" w:hAnsi="Arial Narrow"/>
          <w:sz w:val="16"/>
          <w:szCs w:val="16"/>
        </w:rPr>
      </w:pPr>
      <w:r w:rsidRPr="00C97DD7">
        <w:rPr>
          <w:rFonts w:ascii="Arial Narrow" w:hAnsi="Arial Narrow"/>
          <w:sz w:val="16"/>
          <w:szCs w:val="16"/>
        </w:rPr>
        <w:t xml:space="preserve">(Publicada en el Boletín del Diario Oficial El Peruano el </w:t>
      </w:r>
      <w:r>
        <w:rPr>
          <w:rFonts w:ascii="Arial Narrow" w:hAnsi="Arial Narrow"/>
          <w:sz w:val="16"/>
          <w:szCs w:val="16"/>
        </w:rPr>
        <w:t>03</w:t>
      </w:r>
      <w:r w:rsidRPr="00C97DD7">
        <w:rPr>
          <w:rFonts w:ascii="Arial Narrow" w:hAnsi="Arial Narrow"/>
          <w:sz w:val="16"/>
          <w:szCs w:val="16"/>
        </w:rPr>
        <w:t>.0</w:t>
      </w:r>
      <w:r>
        <w:rPr>
          <w:rFonts w:ascii="Arial Narrow" w:hAnsi="Arial Narrow"/>
          <w:sz w:val="16"/>
          <w:szCs w:val="16"/>
        </w:rPr>
        <w:t>9</w:t>
      </w:r>
      <w:r w:rsidRPr="00C97DD7">
        <w:rPr>
          <w:rFonts w:ascii="Arial Narrow" w:hAnsi="Arial Narrow"/>
          <w:sz w:val="16"/>
          <w:szCs w:val="16"/>
        </w:rPr>
        <w:t>.2024)</w:t>
      </w:r>
    </w:p>
    <w:p w14:paraId="5AD42090" w14:textId="77777777" w:rsidR="00F07BEF" w:rsidRPr="006E56B3" w:rsidRDefault="00F07BEF" w:rsidP="00885EF1">
      <w:pPr>
        <w:spacing w:after="0" w:line="0" w:lineRule="atLeast"/>
        <w:ind w:left="2835" w:right="2685"/>
        <w:jc w:val="center"/>
        <w:rPr>
          <w:rFonts w:ascii="Arial Narrow" w:hAnsi="Arial Narrow"/>
          <w:sz w:val="16"/>
          <w:szCs w:val="16"/>
        </w:rPr>
      </w:pPr>
    </w:p>
    <w:p w14:paraId="00FDD033" w14:textId="77777777" w:rsidR="00DD1691" w:rsidRPr="006E56B3" w:rsidRDefault="00DD1691" w:rsidP="00885EF1">
      <w:pPr>
        <w:spacing w:after="0" w:line="0" w:lineRule="atLeast"/>
        <w:ind w:left="2835" w:right="2685"/>
        <w:jc w:val="both"/>
        <w:rPr>
          <w:rFonts w:ascii="Arial Narrow" w:hAnsi="Arial Narrow"/>
          <w:sz w:val="16"/>
          <w:szCs w:val="16"/>
        </w:rPr>
      </w:pPr>
      <w:r w:rsidRPr="006E56B3">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2428F2AF" w14:textId="77777777" w:rsidR="00DD1691" w:rsidRPr="006E56B3" w:rsidRDefault="00DD1691" w:rsidP="00885EF1">
      <w:pPr>
        <w:spacing w:after="0" w:line="0" w:lineRule="atLeast"/>
        <w:ind w:left="2835" w:right="2685"/>
        <w:jc w:val="both"/>
        <w:rPr>
          <w:rFonts w:ascii="Arial Narrow" w:hAnsi="Arial Narrow"/>
          <w:sz w:val="16"/>
          <w:szCs w:val="16"/>
        </w:rPr>
      </w:pPr>
      <w:r w:rsidRPr="006E56B3">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6D2C6F94" w14:textId="5C3E5BC0" w:rsidR="00DD1691" w:rsidRPr="006E56B3" w:rsidRDefault="00DD1691" w:rsidP="00885EF1">
      <w:pPr>
        <w:spacing w:after="0" w:line="0" w:lineRule="atLeast"/>
        <w:ind w:left="2835" w:right="2685"/>
        <w:jc w:val="both"/>
        <w:rPr>
          <w:rFonts w:ascii="Arial Narrow" w:hAnsi="Arial Narrow"/>
          <w:sz w:val="16"/>
          <w:szCs w:val="16"/>
        </w:rPr>
      </w:pPr>
      <w:r w:rsidRPr="006E56B3">
        <w:rPr>
          <w:rFonts w:ascii="Arial Narrow" w:hAnsi="Arial Narrow"/>
          <w:sz w:val="16"/>
          <w:szCs w:val="16"/>
        </w:rPr>
        <w:t>Resolución de División N° 000</w:t>
      </w:r>
      <w:r w:rsidR="006377BE" w:rsidRPr="006E56B3">
        <w:rPr>
          <w:rFonts w:ascii="Arial Narrow" w:hAnsi="Arial Narrow"/>
          <w:sz w:val="16"/>
          <w:szCs w:val="16"/>
        </w:rPr>
        <w:t>478</w:t>
      </w:r>
      <w:r w:rsidR="00C20106" w:rsidRPr="006E56B3">
        <w:rPr>
          <w:rFonts w:ascii="Arial Narrow" w:hAnsi="Arial Narrow"/>
          <w:sz w:val="16"/>
          <w:szCs w:val="16"/>
        </w:rPr>
        <w:t>-2024-</w:t>
      </w:r>
      <w:r w:rsidRPr="006E56B3">
        <w:rPr>
          <w:rFonts w:ascii="Arial Narrow" w:hAnsi="Arial Narrow"/>
          <w:sz w:val="16"/>
          <w:szCs w:val="16"/>
        </w:rPr>
        <w:t xml:space="preserve">SUNAT/3G0500 </w:t>
      </w:r>
    </w:p>
    <w:tbl>
      <w:tblPr>
        <w:tblStyle w:val="Tablaconcuadrcula"/>
        <w:tblW w:w="0" w:type="auto"/>
        <w:tblInd w:w="2830" w:type="dxa"/>
        <w:tblBorders>
          <w:insideV w:val="none" w:sz="0" w:space="0" w:color="auto"/>
        </w:tblBorders>
        <w:tblLook w:val="04A0" w:firstRow="1" w:lastRow="0" w:firstColumn="1" w:lastColumn="0" w:noHBand="0" w:noVBand="1"/>
      </w:tblPr>
      <w:tblGrid>
        <w:gridCol w:w="1696"/>
        <w:gridCol w:w="253"/>
        <w:gridCol w:w="3008"/>
      </w:tblGrid>
      <w:tr w:rsidR="006E56B3" w14:paraId="4C55E58F" w14:textId="77777777" w:rsidTr="00885EF1">
        <w:tc>
          <w:tcPr>
            <w:tcW w:w="1696" w:type="dxa"/>
          </w:tcPr>
          <w:p w14:paraId="02EAE9E3" w14:textId="369EC658" w:rsidR="006E56B3" w:rsidRDefault="006E56B3" w:rsidP="006E56B3">
            <w:pPr>
              <w:spacing w:after="0" w:line="0" w:lineRule="atLeast"/>
              <w:jc w:val="both"/>
              <w:rPr>
                <w:rFonts w:ascii="Arial Narrow" w:hAnsi="Arial Narrow"/>
                <w:sz w:val="16"/>
                <w:szCs w:val="16"/>
              </w:rPr>
            </w:pPr>
            <w:r w:rsidRPr="006E56B3">
              <w:rPr>
                <w:rFonts w:ascii="Arial Narrow" w:hAnsi="Arial Narrow" w:cstheme="minorHAnsi"/>
                <w:sz w:val="16"/>
                <w:szCs w:val="16"/>
              </w:rPr>
              <w:t>Acta de Incautación</w:t>
            </w:r>
          </w:p>
        </w:tc>
        <w:tc>
          <w:tcPr>
            <w:tcW w:w="253" w:type="dxa"/>
          </w:tcPr>
          <w:p w14:paraId="091B634E" w14:textId="466F39D6" w:rsidR="006E56B3" w:rsidRDefault="006E56B3" w:rsidP="006E56B3">
            <w:pPr>
              <w:spacing w:after="0" w:line="0" w:lineRule="atLeast"/>
              <w:jc w:val="both"/>
              <w:rPr>
                <w:rFonts w:ascii="Arial Narrow" w:hAnsi="Arial Narrow"/>
                <w:sz w:val="16"/>
                <w:szCs w:val="16"/>
              </w:rPr>
            </w:pPr>
            <w:r>
              <w:rPr>
                <w:rFonts w:ascii="Arial Narrow" w:hAnsi="Arial Narrow"/>
                <w:sz w:val="16"/>
                <w:szCs w:val="16"/>
              </w:rPr>
              <w:t>:</w:t>
            </w:r>
          </w:p>
        </w:tc>
        <w:tc>
          <w:tcPr>
            <w:tcW w:w="3008" w:type="dxa"/>
          </w:tcPr>
          <w:p w14:paraId="7ABD543F" w14:textId="46537B03" w:rsidR="006E56B3" w:rsidRDefault="006E56B3" w:rsidP="006E56B3">
            <w:pPr>
              <w:spacing w:after="0" w:line="0" w:lineRule="atLeast"/>
              <w:jc w:val="both"/>
              <w:rPr>
                <w:rFonts w:ascii="Arial Narrow" w:hAnsi="Arial Narrow"/>
                <w:sz w:val="16"/>
                <w:szCs w:val="16"/>
              </w:rPr>
            </w:pPr>
            <w:r w:rsidRPr="006E56B3">
              <w:rPr>
                <w:rFonts w:ascii="Arial Narrow" w:hAnsi="Arial Narrow"/>
                <w:sz w:val="16"/>
                <w:szCs w:val="16"/>
              </w:rPr>
              <w:t>172-0202-2020- 000695 de fecha 06.10.2020</w:t>
            </w:r>
          </w:p>
        </w:tc>
      </w:tr>
      <w:tr w:rsidR="006E56B3" w14:paraId="64E6B081" w14:textId="77777777" w:rsidTr="00885EF1">
        <w:tc>
          <w:tcPr>
            <w:tcW w:w="1696" w:type="dxa"/>
          </w:tcPr>
          <w:p w14:paraId="165487ED" w14:textId="22C7ADFC" w:rsidR="006E56B3" w:rsidRDefault="006E56B3" w:rsidP="006E56B3">
            <w:pPr>
              <w:spacing w:after="0" w:line="0" w:lineRule="atLeast"/>
              <w:jc w:val="both"/>
              <w:rPr>
                <w:rFonts w:ascii="Arial Narrow" w:hAnsi="Arial Narrow"/>
                <w:sz w:val="16"/>
                <w:szCs w:val="16"/>
              </w:rPr>
            </w:pPr>
            <w:r w:rsidRPr="006E56B3">
              <w:rPr>
                <w:rFonts w:ascii="Arial Narrow" w:eastAsia="Times New Roman" w:hAnsi="Arial Narrow" w:cstheme="minorHAnsi"/>
                <w:noProof/>
                <w:color w:val="000000"/>
                <w:sz w:val="16"/>
                <w:szCs w:val="16"/>
              </w:rPr>
              <w:t>Infractor</w:t>
            </w:r>
          </w:p>
        </w:tc>
        <w:tc>
          <w:tcPr>
            <w:tcW w:w="253" w:type="dxa"/>
          </w:tcPr>
          <w:p w14:paraId="43EF54EE" w14:textId="340A9844" w:rsidR="006E56B3" w:rsidRDefault="006E56B3" w:rsidP="006E56B3">
            <w:pPr>
              <w:spacing w:after="0" w:line="0" w:lineRule="atLeast"/>
              <w:jc w:val="both"/>
              <w:rPr>
                <w:rFonts w:ascii="Arial Narrow" w:hAnsi="Arial Narrow"/>
                <w:sz w:val="16"/>
                <w:szCs w:val="16"/>
              </w:rPr>
            </w:pPr>
            <w:r>
              <w:rPr>
                <w:rFonts w:ascii="Arial Narrow" w:hAnsi="Arial Narrow"/>
                <w:sz w:val="16"/>
                <w:szCs w:val="16"/>
              </w:rPr>
              <w:t>:</w:t>
            </w:r>
          </w:p>
        </w:tc>
        <w:tc>
          <w:tcPr>
            <w:tcW w:w="3008" w:type="dxa"/>
          </w:tcPr>
          <w:p w14:paraId="4F9A1364" w14:textId="079F43DA" w:rsidR="006E56B3" w:rsidRDefault="00803B98" w:rsidP="006E56B3">
            <w:pPr>
              <w:spacing w:after="0" w:line="0" w:lineRule="atLeast"/>
              <w:jc w:val="both"/>
              <w:rPr>
                <w:rFonts w:ascii="Arial Narrow" w:hAnsi="Arial Narrow"/>
                <w:sz w:val="16"/>
                <w:szCs w:val="16"/>
              </w:rPr>
            </w:pPr>
            <w:r w:rsidRPr="006E56B3">
              <w:rPr>
                <w:rFonts w:ascii="Arial Narrow" w:hAnsi="Arial Narrow"/>
                <w:sz w:val="16"/>
                <w:szCs w:val="16"/>
              </w:rPr>
              <w:t>MARTINEZ CUSICANQUI SERGIO GERMAN</w:t>
            </w:r>
          </w:p>
        </w:tc>
      </w:tr>
      <w:tr w:rsidR="006E56B3" w14:paraId="3982E9F2" w14:textId="77777777" w:rsidTr="00885EF1">
        <w:tc>
          <w:tcPr>
            <w:tcW w:w="1696" w:type="dxa"/>
          </w:tcPr>
          <w:p w14:paraId="010E2227" w14:textId="7145174C" w:rsidR="006E56B3" w:rsidRDefault="006E56B3" w:rsidP="006E56B3">
            <w:pPr>
              <w:spacing w:after="0" w:line="0" w:lineRule="atLeast"/>
              <w:jc w:val="both"/>
              <w:rPr>
                <w:rFonts w:ascii="Arial Narrow" w:hAnsi="Arial Narrow"/>
                <w:sz w:val="16"/>
                <w:szCs w:val="16"/>
              </w:rPr>
            </w:pPr>
            <w:r w:rsidRPr="006E56B3">
              <w:rPr>
                <w:rFonts w:ascii="Arial Narrow" w:eastAsia="Times New Roman" w:hAnsi="Arial Narrow" w:cstheme="minorHAnsi"/>
                <w:noProof/>
                <w:color w:val="000000"/>
                <w:sz w:val="16"/>
                <w:szCs w:val="16"/>
              </w:rPr>
              <w:t>Pasaporte</w:t>
            </w:r>
          </w:p>
        </w:tc>
        <w:tc>
          <w:tcPr>
            <w:tcW w:w="253" w:type="dxa"/>
          </w:tcPr>
          <w:p w14:paraId="1640EB1E" w14:textId="15803429" w:rsidR="006E56B3" w:rsidRDefault="006E56B3" w:rsidP="006E56B3">
            <w:pPr>
              <w:spacing w:after="0" w:line="0" w:lineRule="atLeast"/>
              <w:jc w:val="both"/>
              <w:rPr>
                <w:rFonts w:ascii="Arial Narrow" w:hAnsi="Arial Narrow"/>
                <w:sz w:val="16"/>
                <w:szCs w:val="16"/>
              </w:rPr>
            </w:pPr>
            <w:r>
              <w:rPr>
                <w:rFonts w:ascii="Arial Narrow" w:hAnsi="Arial Narrow"/>
                <w:sz w:val="16"/>
                <w:szCs w:val="16"/>
              </w:rPr>
              <w:t>:</w:t>
            </w:r>
          </w:p>
        </w:tc>
        <w:tc>
          <w:tcPr>
            <w:tcW w:w="3008" w:type="dxa"/>
          </w:tcPr>
          <w:p w14:paraId="5388932C" w14:textId="7D584EB5" w:rsidR="006E56B3" w:rsidRDefault="00803B98" w:rsidP="006E56B3">
            <w:pPr>
              <w:spacing w:after="0" w:line="0" w:lineRule="atLeast"/>
              <w:jc w:val="both"/>
              <w:rPr>
                <w:rFonts w:ascii="Arial Narrow" w:hAnsi="Arial Narrow"/>
                <w:sz w:val="16"/>
                <w:szCs w:val="16"/>
              </w:rPr>
            </w:pPr>
            <w:r w:rsidRPr="006E56B3">
              <w:rPr>
                <w:rFonts w:ascii="Arial Narrow" w:hAnsi="Arial Narrow"/>
                <w:sz w:val="16"/>
                <w:szCs w:val="16"/>
              </w:rPr>
              <w:t>LTT9211</w:t>
            </w:r>
          </w:p>
        </w:tc>
      </w:tr>
      <w:tr w:rsidR="006E56B3" w14:paraId="2E312B8C" w14:textId="77777777" w:rsidTr="00885EF1">
        <w:tc>
          <w:tcPr>
            <w:tcW w:w="1696" w:type="dxa"/>
          </w:tcPr>
          <w:p w14:paraId="6E55BABC" w14:textId="490AAFC8" w:rsidR="006E56B3" w:rsidRDefault="006E56B3" w:rsidP="006E56B3">
            <w:pPr>
              <w:spacing w:after="0" w:line="0" w:lineRule="atLeast"/>
              <w:jc w:val="both"/>
              <w:rPr>
                <w:rFonts w:ascii="Arial Narrow" w:hAnsi="Arial Narrow"/>
                <w:sz w:val="16"/>
                <w:szCs w:val="16"/>
              </w:rPr>
            </w:pPr>
            <w:r w:rsidRPr="006E56B3">
              <w:rPr>
                <w:rFonts w:ascii="Arial Narrow" w:eastAsia="Times New Roman" w:hAnsi="Arial Narrow" w:cstheme="minorHAnsi"/>
                <w:noProof/>
                <w:color w:val="000000"/>
                <w:sz w:val="16"/>
                <w:szCs w:val="16"/>
              </w:rPr>
              <w:t>Resolución de División</w:t>
            </w:r>
          </w:p>
        </w:tc>
        <w:tc>
          <w:tcPr>
            <w:tcW w:w="253" w:type="dxa"/>
          </w:tcPr>
          <w:p w14:paraId="69E9A59F" w14:textId="725DB8FF" w:rsidR="006E56B3" w:rsidRDefault="006E56B3" w:rsidP="006E56B3">
            <w:pPr>
              <w:spacing w:after="0" w:line="0" w:lineRule="atLeast"/>
              <w:jc w:val="both"/>
              <w:rPr>
                <w:rFonts w:ascii="Arial Narrow" w:hAnsi="Arial Narrow"/>
                <w:sz w:val="16"/>
                <w:szCs w:val="16"/>
              </w:rPr>
            </w:pPr>
            <w:r>
              <w:rPr>
                <w:rFonts w:ascii="Arial Narrow" w:hAnsi="Arial Narrow"/>
                <w:sz w:val="16"/>
                <w:szCs w:val="16"/>
              </w:rPr>
              <w:t>:</w:t>
            </w:r>
          </w:p>
        </w:tc>
        <w:tc>
          <w:tcPr>
            <w:tcW w:w="3008" w:type="dxa"/>
          </w:tcPr>
          <w:p w14:paraId="4383B12F" w14:textId="207E070C" w:rsidR="006E56B3" w:rsidRDefault="00803B98" w:rsidP="006E56B3">
            <w:pPr>
              <w:spacing w:after="0" w:line="0" w:lineRule="atLeast"/>
              <w:jc w:val="both"/>
              <w:rPr>
                <w:rFonts w:ascii="Arial Narrow" w:hAnsi="Arial Narrow"/>
                <w:sz w:val="16"/>
                <w:szCs w:val="16"/>
              </w:rPr>
            </w:pPr>
            <w:r w:rsidRPr="006E56B3">
              <w:rPr>
                <w:rFonts w:ascii="Arial Narrow" w:hAnsi="Arial Narrow"/>
                <w:sz w:val="16"/>
                <w:szCs w:val="16"/>
              </w:rPr>
              <w:t>478-2024-SUNAT/3G0500 del 12.08.2024</w:t>
            </w:r>
          </w:p>
        </w:tc>
      </w:tr>
      <w:tr w:rsidR="00803B98" w14:paraId="106BB260" w14:textId="77777777" w:rsidTr="00885EF1">
        <w:tc>
          <w:tcPr>
            <w:tcW w:w="4957" w:type="dxa"/>
            <w:gridSpan w:val="3"/>
          </w:tcPr>
          <w:p w14:paraId="01EA2D3B" w14:textId="77777777" w:rsidR="00803B98" w:rsidRDefault="00803B98" w:rsidP="006E56B3">
            <w:pPr>
              <w:spacing w:after="0" w:line="0" w:lineRule="atLeast"/>
              <w:jc w:val="both"/>
              <w:rPr>
                <w:rFonts w:ascii="Arial Narrow" w:hAnsi="Arial Narrow"/>
                <w:sz w:val="16"/>
                <w:szCs w:val="16"/>
              </w:rPr>
            </w:pPr>
            <w:r w:rsidRPr="006E56B3">
              <w:rPr>
                <w:rFonts w:ascii="Arial Narrow" w:eastAsia="Times New Roman" w:hAnsi="Arial Narrow" w:cstheme="minorHAnsi"/>
                <w:color w:val="000000"/>
                <w:sz w:val="16"/>
                <w:szCs w:val="16"/>
              </w:rPr>
              <w:t>Determinación</w:t>
            </w:r>
            <w:r>
              <w:rPr>
                <w:rFonts w:ascii="Arial Narrow" w:hAnsi="Arial Narrow"/>
                <w:sz w:val="16"/>
                <w:szCs w:val="16"/>
              </w:rPr>
              <w:t>:</w:t>
            </w:r>
          </w:p>
          <w:p w14:paraId="744786E4" w14:textId="77777777" w:rsidR="00803B98" w:rsidRPr="006E56B3" w:rsidRDefault="00803B98" w:rsidP="00803B98">
            <w:pPr>
              <w:autoSpaceDE w:val="0"/>
              <w:autoSpaceDN w:val="0"/>
              <w:adjustRightInd w:val="0"/>
              <w:spacing w:after="0" w:line="0" w:lineRule="atLeast"/>
              <w:jc w:val="both"/>
              <w:rPr>
                <w:rFonts w:ascii="Arial Narrow" w:hAnsi="Arial Narrow"/>
                <w:sz w:val="16"/>
                <w:szCs w:val="16"/>
              </w:rPr>
            </w:pPr>
            <w:r w:rsidRPr="006E56B3">
              <w:rPr>
                <w:rFonts w:ascii="Arial Narrow" w:hAnsi="Arial Narrow"/>
                <w:sz w:val="16"/>
                <w:szCs w:val="16"/>
              </w:rPr>
              <w:t xml:space="preserve">ARTÍCULO PRIMERO : Declarar el COMISO de las mercancías consignadas en el Acta de Incautación N° 172 -0202 -2020 -000695 del 06.10.2020, en aplicación a lo previsto artículo 38° de la Ley de los Delitos Aduaneros; de conformidad con los fundamentos de hecho y de derecho expuestos en la presente Resolución. </w:t>
            </w:r>
          </w:p>
          <w:p w14:paraId="2FA963F0" w14:textId="770ED98D" w:rsidR="00803B98" w:rsidRDefault="00803B98" w:rsidP="00803B98">
            <w:pPr>
              <w:spacing w:after="0" w:line="0" w:lineRule="atLeast"/>
              <w:jc w:val="both"/>
              <w:rPr>
                <w:rFonts w:ascii="Arial Narrow" w:hAnsi="Arial Narrow"/>
                <w:sz w:val="16"/>
                <w:szCs w:val="16"/>
              </w:rPr>
            </w:pPr>
            <w:r w:rsidRPr="006E56B3">
              <w:rPr>
                <w:rFonts w:ascii="Arial Narrow" w:hAnsi="Arial Narrow"/>
                <w:sz w:val="16"/>
                <w:szCs w:val="16"/>
              </w:rPr>
              <w:t>ARTÍCULO SEGUNDO: Sancionar a MARTINEZ CUSICANQUI SERGIO GERMAN identificad o con PASAPORTE N° LTT9211 , con una MULTA equivalente a dos (02) veces los tributos dejados de pagar ascendente a S/570.00 (Quinientos setenta con 00/100 Soles), en aplicación a lo previsto artículo 36° de la Ley de los Delitos Aduaneros debiéndose emitir la Liquidación de Cobranza; de conformidad con los fundamentos de hecho y de derecho expuestos en la presente Resolución.</w:t>
            </w:r>
          </w:p>
        </w:tc>
      </w:tr>
      <w:tr w:rsidR="006E56B3" w14:paraId="169A4BC7" w14:textId="77777777" w:rsidTr="00885EF1">
        <w:tc>
          <w:tcPr>
            <w:tcW w:w="1696" w:type="dxa"/>
          </w:tcPr>
          <w:p w14:paraId="0EA6CB98" w14:textId="111B8F70" w:rsidR="006E56B3" w:rsidRDefault="006E56B3" w:rsidP="006E56B3">
            <w:pPr>
              <w:spacing w:after="0" w:line="0" w:lineRule="atLeast"/>
              <w:jc w:val="both"/>
              <w:rPr>
                <w:rFonts w:ascii="Arial Narrow" w:hAnsi="Arial Narrow"/>
                <w:sz w:val="16"/>
                <w:szCs w:val="16"/>
              </w:rPr>
            </w:pPr>
            <w:r w:rsidRPr="006E56B3">
              <w:rPr>
                <w:rFonts w:ascii="Arial Narrow" w:eastAsia="Times New Roman" w:hAnsi="Arial Narrow" w:cstheme="minorHAnsi"/>
                <w:color w:val="000000"/>
                <w:sz w:val="16"/>
                <w:szCs w:val="16"/>
              </w:rPr>
              <w:t>Liquidación de Cobranza</w:t>
            </w:r>
          </w:p>
        </w:tc>
        <w:tc>
          <w:tcPr>
            <w:tcW w:w="253" w:type="dxa"/>
          </w:tcPr>
          <w:p w14:paraId="2FDD3AF8" w14:textId="58FFF975" w:rsidR="006E56B3" w:rsidRDefault="006E56B3" w:rsidP="006E56B3">
            <w:pPr>
              <w:spacing w:after="0" w:line="0" w:lineRule="atLeast"/>
              <w:jc w:val="both"/>
              <w:rPr>
                <w:rFonts w:ascii="Arial Narrow" w:hAnsi="Arial Narrow"/>
                <w:sz w:val="16"/>
                <w:szCs w:val="16"/>
              </w:rPr>
            </w:pPr>
            <w:r>
              <w:rPr>
                <w:rFonts w:ascii="Arial Narrow" w:hAnsi="Arial Narrow"/>
                <w:sz w:val="16"/>
                <w:szCs w:val="16"/>
              </w:rPr>
              <w:t>:</w:t>
            </w:r>
          </w:p>
        </w:tc>
        <w:tc>
          <w:tcPr>
            <w:tcW w:w="3008" w:type="dxa"/>
          </w:tcPr>
          <w:p w14:paraId="552C1123" w14:textId="41BE838F" w:rsidR="006E56B3" w:rsidRDefault="00803B98" w:rsidP="006E56B3">
            <w:pPr>
              <w:spacing w:after="0" w:line="0" w:lineRule="atLeast"/>
              <w:jc w:val="both"/>
              <w:rPr>
                <w:rFonts w:ascii="Arial Narrow" w:hAnsi="Arial Narrow"/>
                <w:sz w:val="16"/>
                <w:szCs w:val="16"/>
              </w:rPr>
            </w:pPr>
            <w:r w:rsidRPr="006E56B3">
              <w:rPr>
                <w:rFonts w:ascii="Arial Narrow" w:hAnsi="Arial Narrow" w:cstheme="minorHAnsi"/>
                <w:sz w:val="16"/>
                <w:szCs w:val="16"/>
                <w:lang w:val="es-ES_tradnl"/>
              </w:rPr>
              <w:t>15198-2024</w:t>
            </w:r>
          </w:p>
        </w:tc>
      </w:tr>
      <w:tr w:rsidR="006E56B3" w14:paraId="15290D42" w14:textId="77777777" w:rsidTr="00885EF1">
        <w:tc>
          <w:tcPr>
            <w:tcW w:w="1696" w:type="dxa"/>
          </w:tcPr>
          <w:p w14:paraId="3859BF86" w14:textId="37D0202D" w:rsidR="006E56B3" w:rsidRDefault="006E56B3" w:rsidP="006E56B3">
            <w:pPr>
              <w:spacing w:after="0" w:line="0" w:lineRule="atLeast"/>
              <w:jc w:val="both"/>
              <w:rPr>
                <w:rFonts w:ascii="Arial Narrow" w:hAnsi="Arial Narrow"/>
                <w:sz w:val="16"/>
                <w:szCs w:val="16"/>
              </w:rPr>
            </w:pPr>
            <w:r w:rsidRPr="006E56B3">
              <w:rPr>
                <w:rFonts w:ascii="Arial Narrow" w:eastAsia="Times New Roman" w:hAnsi="Arial Narrow" w:cstheme="minorHAnsi"/>
                <w:color w:val="000000"/>
                <w:sz w:val="16"/>
                <w:szCs w:val="16"/>
              </w:rPr>
              <w:t>Monto S/.</w:t>
            </w:r>
          </w:p>
        </w:tc>
        <w:tc>
          <w:tcPr>
            <w:tcW w:w="253" w:type="dxa"/>
          </w:tcPr>
          <w:p w14:paraId="6615544A" w14:textId="75608DCF" w:rsidR="006E56B3" w:rsidRDefault="006E56B3" w:rsidP="006E56B3">
            <w:pPr>
              <w:spacing w:after="0" w:line="0" w:lineRule="atLeast"/>
              <w:jc w:val="both"/>
              <w:rPr>
                <w:rFonts w:ascii="Arial Narrow" w:hAnsi="Arial Narrow"/>
                <w:sz w:val="16"/>
                <w:szCs w:val="16"/>
              </w:rPr>
            </w:pPr>
            <w:r>
              <w:rPr>
                <w:rFonts w:ascii="Arial Narrow" w:hAnsi="Arial Narrow"/>
                <w:sz w:val="16"/>
                <w:szCs w:val="16"/>
              </w:rPr>
              <w:t>:</w:t>
            </w:r>
          </w:p>
        </w:tc>
        <w:tc>
          <w:tcPr>
            <w:tcW w:w="3008" w:type="dxa"/>
          </w:tcPr>
          <w:p w14:paraId="5B4F8834" w14:textId="7ED807B4" w:rsidR="006E56B3" w:rsidRDefault="00803B98" w:rsidP="006E56B3">
            <w:pPr>
              <w:spacing w:after="0" w:line="0" w:lineRule="atLeast"/>
              <w:jc w:val="both"/>
              <w:rPr>
                <w:rFonts w:ascii="Arial Narrow" w:hAnsi="Arial Narrow"/>
                <w:sz w:val="16"/>
                <w:szCs w:val="16"/>
              </w:rPr>
            </w:pPr>
            <w:r w:rsidRPr="006E56B3">
              <w:rPr>
                <w:rFonts w:ascii="Arial Narrow" w:hAnsi="Arial Narrow" w:cstheme="minorHAnsi"/>
                <w:sz w:val="16"/>
                <w:szCs w:val="16"/>
                <w:lang w:val="es-ES_tradnl"/>
              </w:rPr>
              <w:t>570.00</w:t>
            </w:r>
          </w:p>
        </w:tc>
      </w:tr>
    </w:tbl>
    <w:p w14:paraId="78529F68" w14:textId="3CC36E6D" w:rsidR="00DD1691" w:rsidRPr="006E56B3" w:rsidRDefault="00DD1691" w:rsidP="00FB69BF">
      <w:pPr>
        <w:spacing w:after="0" w:line="0" w:lineRule="atLeast"/>
        <w:jc w:val="both"/>
        <w:rPr>
          <w:rFonts w:ascii="Arial Narrow" w:hAnsi="Arial Narrow"/>
          <w:sz w:val="16"/>
          <w:szCs w:val="16"/>
        </w:rPr>
      </w:pPr>
    </w:p>
    <w:sectPr w:rsidR="00DD1691" w:rsidRPr="006E56B3" w:rsidSect="00885EF1">
      <w:pgSz w:w="11900" w:h="16840"/>
      <w:pgMar w:top="1440" w:right="85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1356EC"/>
    <w:rsid w:val="00294A03"/>
    <w:rsid w:val="002D2D1B"/>
    <w:rsid w:val="003362D5"/>
    <w:rsid w:val="00336A17"/>
    <w:rsid w:val="003535DC"/>
    <w:rsid w:val="003E2E54"/>
    <w:rsid w:val="00403782"/>
    <w:rsid w:val="004B08F7"/>
    <w:rsid w:val="0050456E"/>
    <w:rsid w:val="006377BE"/>
    <w:rsid w:val="006E56B3"/>
    <w:rsid w:val="00764C06"/>
    <w:rsid w:val="00803B98"/>
    <w:rsid w:val="00855DD0"/>
    <w:rsid w:val="00885EF1"/>
    <w:rsid w:val="009F338F"/>
    <w:rsid w:val="00C20106"/>
    <w:rsid w:val="00C84F20"/>
    <w:rsid w:val="00D20F76"/>
    <w:rsid w:val="00DD1691"/>
    <w:rsid w:val="00E34D9F"/>
    <w:rsid w:val="00EF721C"/>
    <w:rsid w:val="00F07BEF"/>
    <w:rsid w:val="00F50655"/>
    <w:rsid w:val="00FB69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8</cp:revision>
  <dcterms:created xsi:type="dcterms:W3CDTF">2024-08-29T19:24:00Z</dcterms:created>
  <dcterms:modified xsi:type="dcterms:W3CDTF">2024-08-29T20:28:00Z</dcterms:modified>
</cp:coreProperties>
</file>