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B72C" w14:textId="4EFD8313" w:rsidR="00EC5594" w:rsidRPr="00061B6D" w:rsidRDefault="00071B0D" w:rsidP="000029AC">
      <w:pPr>
        <w:spacing w:line="259" w:lineRule="auto"/>
        <w:ind w:left="993" w:right="289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061B6D">
        <w:rPr>
          <w:rFonts w:ascii="Arial Narrow" w:hAnsi="Arial Narrow"/>
          <w:b/>
          <w:bCs/>
          <w:sz w:val="16"/>
          <w:szCs w:val="16"/>
        </w:rPr>
        <w:t xml:space="preserve">SUPERINTENDENCIA NACIONAL DE ADUANAS Y ADMINISTRACIÓN TRIBUTARIA </w:t>
      </w:r>
    </w:p>
    <w:p w14:paraId="17B8E170" w14:textId="77777777" w:rsidR="00EC5594" w:rsidRPr="00061B6D" w:rsidRDefault="00071B0D" w:rsidP="000029AC">
      <w:pPr>
        <w:spacing w:line="259" w:lineRule="auto"/>
        <w:ind w:left="993" w:right="289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061B6D">
        <w:rPr>
          <w:rFonts w:ascii="Arial Narrow" w:hAnsi="Arial Narrow"/>
          <w:b/>
          <w:bCs/>
          <w:sz w:val="16"/>
          <w:szCs w:val="16"/>
        </w:rPr>
        <w:t xml:space="preserve">INTENDENCIA NACIONAL DE IMPUGNACIONES </w:t>
      </w:r>
    </w:p>
    <w:p w14:paraId="2AAD3FFC" w14:textId="77777777" w:rsidR="00EC5594" w:rsidRDefault="00071B0D" w:rsidP="000029AC">
      <w:pPr>
        <w:spacing w:line="259" w:lineRule="auto"/>
        <w:ind w:left="993" w:right="289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061B6D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6470A6ED" w14:textId="15F899CC" w:rsidR="00232310" w:rsidRPr="00232310" w:rsidRDefault="00232310" w:rsidP="00232310">
      <w:pPr>
        <w:spacing w:after="160" w:line="0" w:lineRule="atLeast"/>
        <w:ind w:left="-426" w:right="-993"/>
        <w:jc w:val="center"/>
        <w:rPr>
          <w:rFonts w:ascii="Arial Narrow" w:hAnsi="Arial Narrow" w:cstheme="minorBidi"/>
          <w:sz w:val="16"/>
          <w:szCs w:val="16"/>
        </w:rPr>
      </w:pPr>
      <w:r w:rsidRPr="00DB1724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21.</w:t>
      </w:r>
      <w:r w:rsidRPr="00DB1724">
        <w:rPr>
          <w:rFonts w:ascii="Arial Narrow" w:hAnsi="Arial Narrow"/>
          <w:sz w:val="16"/>
          <w:szCs w:val="16"/>
        </w:rPr>
        <w:t>05.2025)</w:t>
      </w:r>
    </w:p>
    <w:p w14:paraId="537C6629" w14:textId="77777777" w:rsidR="00EC5594" w:rsidRPr="00061B6D" w:rsidRDefault="00071B0D" w:rsidP="000029AC">
      <w:pPr>
        <w:spacing w:line="259" w:lineRule="auto"/>
        <w:ind w:left="993" w:right="289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061B6D">
        <w:rPr>
          <w:rFonts w:ascii="Arial Narrow" w:hAnsi="Arial Narrow"/>
          <w:b/>
          <w:bCs/>
          <w:sz w:val="16"/>
          <w:szCs w:val="16"/>
        </w:rPr>
        <w:t xml:space="preserve">NOTIFICACIÓN DE ACTOS ADMINISTRATIVOS </w:t>
      </w:r>
    </w:p>
    <w:p w14:paraId="41F6ABDF" w14:textId="6C0E1456" w:rsidR="00EC5594" w:rsidRPr="00061B6D" w:rsidRDefault="00EC5594" w:rsidP="000029AC">
      <w:pPr>
        <w:spacing w:line="259" w:lineRule="auto"/>
        <w:ind w:left="993" w:right="289" w:firstLine="0"/>
        <w:jc w:val="left"/>
        <w:rPr>
          <w:rFonts w:ascii="Arial Narrow" w:hAnsi="Arial Narrow"/>
          <w:sz w:val="16"/>
          <w:szCs w:val="16"/>
        </w:rPr>
      </w:pPr>
    </w:p>
    <w:p w14:paraId="569A815F" w14:textId="28101DDA" w:rsidR="00EC5594" w:rsidRPr="00061B6D" w:rsidRDefault="00071B0D" w:rsidP="000029AC">
      <w:pPr>
        <w:ind w:left="993" w:right="289" w:firstLine="0"/>
        <w:rPr>
          <w:rFonts w:ascii="Arial Narrow" w:hAnsi="Arial Narrow"/>
          <w:sz w:val="16"/>
          <w:szCs w:val="16"/>
        </w:rPr>
      </w:pPr>
      <w:r w:rsidRPr="00061B6D">
        <w:rPr>
          <w:rFonts w:ascii="Arial Narrow" w:hAnsi="Arial Narrow"/>
          <w:sz w:val="16"/>
          <w:szCs w:val="16"/>
        </w:rPr>
        <w:t xml:space="preserve">De conformidad con lo dispuesto en el artículo 104° inciso e) del Texto Único Ordenado del Código Tributario, aprobado por D.S. N° 133-2013-EF y su modificatoria Ley 30264; y considerando que los ciudadanos a notificar no tienen un domicilio cierto en el país, en su calidad de extranjeros; se cumple con NOTIFICAR a las personas incluidas en el presente cuadro, que la Intendencia Nacional de Impugnaciones, ha decretado y/o emitido los siguientes actos administrativos mediante documentos abajo indicados: </w:t>
      </w:r>
    </w:p>
    <w:tbl>
      <w:tblPr>
        <w:tblStyle w:val="TableGrid"/>
        <w:tblW w:w="14033" w:type="dxa"/>
        <w:tblInd w:w="846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117"/>
        <w:gridCol w:w="1135"/>
        <w:gridCol w:w="1179"/>
        <w:gridCol w:w="1163"/>
        <w:gridCol w:w="9439"/>
      </w:tblGrid>
      <w:tr w:rsidR="00061B6D" w:rsidRPr="00061B6D" w14:paraId="64F5A74C" w14:textId="77777777" w:rsidTr="000029AC">
        <w:trPr>
          <w:trHeight w:val="20"/>
        </w:trPr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620B68" w14:textId="77777777" w:rsidR="00EC5594" w:rsidRPr="00061B6D" w:rsidRDefault="00071B0D">
            <w:pPr>
              <w:spacing w:line="259" w:lineRule="auto"/>
              <w:ind w:left="106" w:right="56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 xml:space="preserve">Documento  de Identidad </w:t>
            </w:r>
          </w:p>
        </w:tc>
        <w:tc>
          <w:tcPr>
            <w:tcW w:w="1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5C4BDA" w14:textId="77777777" w:rsidR="00EC5594" w:rsidRPr="00061B6D" w:rsidRDefault="00071B0D">
            <w:pPr>
              <w:spacing w:line="259" w:lineRule="auto"/>
              <w:ind w:left="0" w:right="48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 xml:space="preserve">RECLAMANTE </w:t>
            </w:r>
          </w:p>
        </w:tc>
        <w:tc>
          <w:tcPr>
            <w:tcW w:w="11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D6D772" w14:textId="77777777" w:rsidR="00EC5594" w:rsidRPr="00061B6D" w:rsidRDefault="00071B0D">
            <w:pPr>
              <w:spacing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 xml:space="preserve">EXPEDIENTE DE RECLAMO 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13EBD5" w14:textId="77777777" w:rsidR="00EC5594" w:rsidRPr="00061B6D" w:rsidRDefault="00071B0D">
            <w:pPr>
              <w:spacing w:line="259" w:lineRule="auto"/>
              <w:ind w:left="0" w:right="4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 xml:space="preserve">Documento  </w:t>
            </w:r>
          </w:p>
        </w:tc>
        <w:tc>
          <w:tcPr>
            <w:tcW w:w="9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4B25CB" w14:textId="77777777" w:rsidR="00EC5594" w:rsidRPr="00061B6D" w:rsidRDefault="00071B0D">
            <w:pPr>
              <w:spacing w:line="259" w:lineRule="auto"/>
              <w:ind w:left="0" w:right="5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 xml:space="preserve">Sumilla </w:t>
            </w:r>
          </w:p>
        </w:tc>
      </w:tr>
      <w:tr w:rsidR="00061B6D" w:rsidRPr="00061B6D" w14:paraId="3C3AFA25" w14:textId="77777777" w:rsidTr="000029AC">
        <w:trPr>
          <w:trHeight w:val="20"/>
        </w:trPr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62D4F5" w14:textId="0B52AD20" w:rsidR="00EC5594" w:rsidRPr="00061B6D" w:rsidRDefault="00071B0D" w:rsidP="00061B6D">
            <w:pPr>
              <w:spacing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>C.I. 99720204</w:t>
            </w:r>
          </w:p>
        </w:tc>
        <w:tc>
          <w:tcPr>
            <w:tcW w:w="1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277625" w14:textId="7A3D3656" w:rsidR="00EC5594" w:rsidRPr="00061B6D" w:rsidRDefault="00071B0D" w:rsidP="00061B6D">
            <w:pPr>
              <w:spacing w:line="259" w:lineRule="auto"/>
              <w:ind w:left="0" w:right="4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>CHRISTIAN DANTE VALENZUELA YAÑEZ</w:t>
            </w:r>
          </w:p>
        </w:tc>
        <w:tc>
          <w:tcPr>
            <w:tcW w:w="11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281C02" w14:textId="0E571E5E" w:rsidR="00EC5594" w:rsidRPr="00061B6D" w:rsidRDefault="00071B0D" w:rsidP="00061B6D">
            <w:pPr>
              <w:spacing w:line="259" w:lineRule="auto"/>
              <w:ind w:left="0" w:right="43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>Expediente N.° 4090340016454 del 26.03.2025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FCC1E4" w14:textId="3BBBFB9C" w:rsidR="00EC5594" w:rsidRPr="00061B6D" w:rsidRDefault="00071B0D" w:rsidP="00061B6D">
            <w:pPr>
              <w:spacing w:line="259" w:lineRule="auto"/>
              <w:ind w:left="0" w:right="42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 xml:space="preserve">Resolución de División N.º 4090140014030 del 15.05.2025 </w:t>
            </w:r>
          </w:p>
        </w:tc>
        <w:tc>
          <w:tcPr>
            <w:tcW w:w="9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0AC91B" w14:textId="77777777" w:rsidR="00EC5594" w:rsidRPr="00061B6D" w:rsidRDefault="00071B0D" w:rsidP="00061B6D">
            <w:pPr>
              <w:ind w:left="0" w:right="57" w:firstLine="0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 xml:space="preserve">ARTÍCULO PRIMERO. - Declarar INFUNDADO el recurso de reclamación presentado mediante el Expediente de Reclamación N.° 4090340016454, por CHRISTIAN DANTE VALENZUELA YAÑEZ contra la Resolución de División N.° 000127-2025-SUNAT/3G0500 del 21.02.2025; en consecuencia, se CONFIRMA la infracción determinada, la responsabilidad atribuida y la sanción de comiso dispuesta, conforme a los fundamentos expuestos en la parte considerativa de la presente Resolución. </w:t>
            </w:r>
          </w:p>
          <w:p w14:paraId="160440E9" w14:textId="2374E8E5" w:rsidR="00EC5594" w:rsidRPr="00061B6D" w:rsidRDefault="00071B0D" w:rsidP="00061B6D">
            <w:pPr>
              <w:ind w:left="0" w:right="46" w:firstLine="0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>ARTÍCULO SEGUNDO. - DERÍVESE</w:t>
            </w:r>
            <w:r w:rsidRPr="00061B6D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Pr="00061B6D">
              <w:rPr>
                <w:rFonts w:ascii="Arial Narrow" w:hAnsi="Arial Narrow"/>
                <w:sz w:val="16"/>
                <w:szCs w:val="16"/>
              </w:rPr>
              <w:t xml:space="preserve">los actuados a la División de Control Operativo de la Intendencia de Aduana de Tacna, para las acciones de su competencia, una vez firme o consentida, quede la presente resolución. </w:t>
            </w:r>
          </w:p>
        </w:tc>
      </w:tr>
      <w:tr w:rsidR="00061B6D" w:rsidRPr="00061B6D" w14:paraId="414ED104" w14:textId="77777777" w:rsidTr="000029AC">
        <w:trPr>
          <w:trHeight w:val="20"/>
        </w:trPr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8B1A1B" w14:textId="17137FD5" w:rsidR="00061B6D" w:rsidRPr="00061B6D" w:rsidRDefault="00061B6D" w:rsidP="00061B6D">
            <w:pPr>
              <w:spacing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>PASAPORTE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1B6D">
              <w:rPr>
                <w:rFonts w:ascii="Arial Narrow" w:hAnsi="Arial Narrow"/>
                <w:sz w:val="16"/>
                <w:szCs w:val="16"/>
              </w:rPr>
              <w:t>AA4542230</w:t>
            </w:r>
          </w:p>
        </w:tc>
        <w:tc>
          <w:tcPr>
            <w:tcW w:w="1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758236" w14:textId="621BBF61" w:rsidR="00061B6D" w:rsidRPr="00061B6D" w:rsidRDefault="00061B6D" w:rsidP="00061B6D">
            <w:pPr>
              <w:spacing w:line="259" w:lineRule="auto"/>
              <w:ind w:left="0" w:right="4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 xml:space="preserve">AXEL CALBET BELLMAN </w:t>
            </w:r>
          </w:p>
        </w:tc>
        <w:tc>
          <w:tcPr>
            <w:tcW w:w="11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110398" w14:textId="5D89E47F" w:rsidR="00061B6D" w:rsidRPr="00061B6D" w:rsidRDefault="00061B6D" w:rsidP="00061B6D">
            <w:pPr>
              <w:spacing w:line="259" w:lineRule="auto"/>
              <w:ind w:left="0" w:right="43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>Expediente N.° 4090340016346 del 26.03.2025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C3BDFA" w14:textId="0E0FCA6F" w:rsidR="00061B6D" w:rsidRPr="00061B6D" w:rsidRDefault="00061B6D" w:rsidP="00061B6D">
            <w:pPr>
              <w:spacing w:line="259" w:lineRule="auto"/>
              <w:ind w:left="0" w:right="42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 xml:space="preserve">Resolución de División N.º 4090140014046 del 15.05.2025 </w:t>
            </w:r>
          </w:p>
        </w:tc>
        <w:tc>
          <w:tcPr>
            <w:tcW w:w="9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20EC51" w14:textId="1B03270E" w:rsidR="00061B6D" w:rsidRPr="00061B6D" w:rsidRDefault="00061B6D" w:rsidP="00061B6D">
            <w:pPr>
              <w:spacing w:line="259" w:lineRule="auto"/>
              <w:ind w:left="0" w:firstLine="0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 xml:space="preserve">ARTÍCULO PRIMERO. - Declarar INFUNDADO el recurso de reclamación presentado mediante Expediente de Reclamación N.° 4090340016346, por AXEL CALBET BELLMAN contra la Resolución de División N.° 0001272025-SUNAT/3G0500 del 21.02.2025; en consecuencia, se CONFIRMA la improcedencia de la solicitud de devolución del vehículo y la sanción de comiso dispuesta, conforme a los fundamentos expuestos en la parte considerativa de la presente Resolución. </w:t>
            </w:r>
          </w:p>
          <w:p w14:paraId="015BFEE9" w14:textId="1C16A0D7" w:rsidR="00061B6D" w:rsidRPr="00061B6D" w:rsidRDefault="00061B6D" w:rsidP="00061B6D">
            <w:pPr>
              <w:ind w:left="0" w:right="57" w:firstLine="0"/>
              <w:rPr>
                <w:rFonts w:ascii="Arial Narrow" w:hAnsi="Arial Narrow"/>
                <w:sz w:val="16"/>
                <w:szCs w:val="16"/>
              </w:rPr>
            </w:pPr>
            <w:r w:rsidRPr="00061B6D">
              <w:rPr>
                <w:rFonts w:ascii="Arial Narrow" w:hAnsi="Arial Narrow"/>
                <w:sz w:val="16"/>
                <w:szCs w:val="16"/>
              </w:rPr>
              <w:t>ARTÍCULO SEGUNDO. - DERÍVESE</w:t>
            </w:r>
            <w:r w:rsidRPr="00061B6D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Pr="00061B6D">
              <w:rPr>
                <w:rFonts w:ascii="Arial Narrow" w:hAnsi="Arial Narrow"/>
                <w:sz w:val="16"/>
                <w:szCs w:val="16"/>
              </w:rPr>
              <w:t xml:space="preserve">los actuados a la División de Control Operativo de la Intendencia de Aduana de Tacna, para las acciones de su competencia, una vez firme o consentida, quede la presente resolución. </w:t>
            </w:r>
          </w:p>
        </w:tc>
      </w:tr>
      <w:tr w:rsidR="00897424" w:rsidRPr="00061B6D" w14:paraId="02751291" w14:textId="77777777" w:rsidTr="000029AC">
        <w:trPr>
          <w:trHeight w:val="20"/>
        </w:trPr>
        <w:tc>
          <w:tcPr>
            <w:tcW w:w="1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34BD56" w14:textId="77777777" w:rsidR="00897424" w:rsidRPr="0043588A" w:rsidRDefault="00897424" w:rsidP="00897424">
            <w:pPr>
              <w:pStyle w:val="Default"/>
              <w:spacing w:line="0" w:lineRule="atLeast"/>
              <w:jc w:val="center"/>
              <w:rPr>
                <w:rFonts w:ascii="Arial Narrow" w:hAnsi="Arial Narrow" w:cs="Calibri"/>
                <w:sz w:val="16"/>
                <w:szCs w:val="16"/>
                <w:lang w:eastAsia="es-PE"/>
              </w:rPr>
            </w:pPr>
            <w:r w:rsidRPr="0043588A">
              <w:rPr>
                <w:rFonts w:ascii="Arial Narrow" w:hAnsi="Arial Narrow"/>
                <w:sz w:val="16"/>
                <w:szCs w:val="16"/>
                <w:lang w:eastAsia="es-PE"/>
              </w:rPr>
              <w:t>PAS N. °</w:t>
            </w:r>
          </w:p>
          <w:p w14:paraId="56BE9534" w14:textId="0B50409F" w:rsidR="00897424" w:rsidRPr="00061B6D" w:rsidRDefault="00897424" w:rsidP="00897424">
            <w:pPr>
              <w:spacing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588A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43588A">
              <w:rPr>
                <w:rFonts w:ascii="Arial Narrow" w:hAnsi="Arial Narrow"/>
                <w:sz w:val="16"/>
                <w:szCs w:val="16"/>
              </w:rPr>
              <w:t>C18PK2ZLY</w:t>
            </w:r>
          </w:p>
        </w:tc>
        <w:tc>
          <w:tcPr>
            <w:tcW w:w="1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6EE280" w14:textId="20CBC5F7" w:rsidR="00897424" w:rsidRPr="00061B6D" w:rsidRDefault="00897424" w:rsidP="00897424">
            <w:pPr>
              <w:spacing w:line="259" w:lineRule="auto"/>
              <w:ind w:left="0" w:right="4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588A">
              <w:rPr>
                <w:rFonts w:ascii="Arial Narrow" w:hAnsi="Arial Narrow"/>
                <w:sz w:val="16"/>
                <w:szCs w:val="16"/>
              </w:rPr>
              <w:t>HILLENBRAND TORRES ALOIS</w:t>
            </w:r>
          </w:p>
        </w:tc>
        <w:tc>
          <w:tcPr>
            <w:tcW w:w="11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766308" w14:textId="77777777" w:rsidR="00897424" w:rsidRPr="0043588A" w:rsidRDefault="00897424" w:rsidP="0089742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43588A">
              <w:rPr>
                <w:rFonts w:ascii="Arial Narrow" w:hAnsi="Arial Narrow"/>
                <w:sz w:val="16"/>
                <w:szCs w:val="16"/>
                <w:lang w:eastAsia="es-PE"/>
              </w:rPr>
              <w:t xml:space="preserve">N. ° 4090340014500 </w:t>
            </w:r>
          </w:p>
          <w:p w14:paraId="00F436F3" w14:textId="0CC1FCA1" w:rsidR="00897424" w:rsidRPr="00061B6D" w:rsidRDefault="00897424" w:rsidP="00897424">
            <w:pPr>
              <w:spacing w:line="259" w:lineRule="auto"/>
              <w:ind w:left="0" w:right="43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588A">
              <w:rPr>
                <w:rFonts w:ascii="Arial Narrow" w:hAnsi="Arial Narrow"/>
                <w:sz w:val="16"/>
                <w:szCs w:val="16"/>
              </w:rPr>
              <w:t>Expediente N.° 172-URD999-2025-74427 del 22.01.2025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057459" w14:textId="77777777" w:rsidR="00897424" w:rsidRPr="0043588A" w:rsidRDefault="00897424" w:rsidP="00897424">
            <w:pPr>
              <w:spacing w:line="0" w:lineRule="atLeast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588A">
              <w:rPr>
                <w:rFonts w:ascii="Arial Narrow" w:hAnsi="Arial Narrow"/>
                <w:sz w:val="16"/>
                <w:szCs w:val="16"/>
              </w:rPr>
              <w:t xml:space="preserve">Resolución de División </w:t>
            </w:r>
          </w:p>
          <w:p w14:paraId="33ECB1B7" w14:textId="314D353A" w:rsidR="00897424" w:rsidRPr="00061B6D" w:rsidRDefault="00897424" w:rsidP="00897424">
            <w:pPr>
              <w:spacing w:line="259" w:lineRule="auto"/>
              <w:ind w:left="0" w:right="42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588A">
              <w:rPr>
                <w:rFonts w:ascii="Arial Narrow" w:hAnsi="Arial Narrow"/>
                <w:sz w:val="16"/>
                <w:szCs w:val="16"/>
              </w:rPr>
              <w:t>4090140014049</w:t>
            </w:r>
          </w:p>
        </w:tc>
        <w:tc>
          <w:tcPr>
            <w:tcW w:w="9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FFC311" w14:textId="77777777" w:rsidR="00897424" w:rsidRPr="0043588A" w:rsidRDefault="00897424" w:rsidP="00897424">
            <w:pPr>
              <w:pStyle w:val="Sinespaciado"/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3588A">
              <w:rPr>
                <w:rFonts w:ascii="Arial Narrow" w:hAnsi="Arial Narrow" w:cs="Arial"/>
                <w:color w:val="000000"/>
                <w:sz w:val="16"/>
                <w:szCs w:val="16"/>
              </w:rPr>
              <w:t>Con Resolución de División N.º 4090140014049, Se resuelve:</w:t>
            </w:r>
          </w:p>
          <w:p w14:paraId="5498DCB7" w14:textId="127D38A1" w:rsidR="00897424" w:rsidRPr="0043588A" w:rsidRDefault="00897424" w:rsidP="00897424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43588A">
              <w:rPr>
                <w:rFonts w:ascii="Arial Narrow" w:hAnsi="Arial Narrow"/>
                <w:sz w:val="16"/>
                <w:szCs w:val="16"/>
                <w:lang w:eastAsia="es-PE"/>
              </w:rPr>
              <w:t>ARTÍCULO PRIMERO: Declarar INFUNDADO el Recurso de Reclamación presentado con expediente de Recursos Impugnatorios N.° 4090340014500, interpuesto por el señor HILLENBRAND TORRES ALOIS;en consecuencia, se CONFIRMA el artículo segundo de la Resolución de División N° 000007-2025-SUNAT/3G0100 en todos sus extremos, de conformidad con los fundamentos expuestos en la parte considerativa de la presente resolución.</w:t>
            </w:r>
          </w:p>
          <w:p w14:paraId="1A6A7E1E" w14:textId="59450685" w:rsidR="00897424" w:rsidRPr="00061B6D" w:rsidRDefault="00897424" w:rsidP="00897424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43588A">
              <w:rPr>
                <w:rFonts w:ascii="Arial Narrow" w:hAnsi="Arial Narrow"/>
                <w:sz w:val="16"/>
                <w:szCs w:val="16"/>
                <w:lang w:eastAsia="es-PE"/>
              </w:rPr>
              <w:t>ARTÍCULO SEGUNDO: DERÍVESE los actuados a la División de Técnica Aduanera de la Intendencia de</w:t>
            </w:r>
            <w:r>
              <w:rPr>
                <w:rFonts w:ascii="Arial Narrow" w:hAnsi="Arial Narrow"/>
                <w:sz w:val="16"/>
                <w:szCs w:val="16"/>
                <w:lang w:eastAsia="es-PE"/>
              </w:rPr>
              <w:t xml:space="preserve"> </w:t>
            </w:r>
            <w:r w:rsidRPr="0043588A">
              <w:rPr>
                <w:rFonts w:ascii="Arial Narrow" w:hAnsi="Arial Narrow"/>
                <w:sz w:val="16"/>
                <w:szCs w:val="16"/>
                <w:lang w:eastAsia="es-PE"/>
              </w:rPr>
              <w:t>Aduana de Tacna para las acciones de su competencia, una vez firme o consentido quede la presente resolución.</w:t>
            </w:r>
            <w:r w:rsidRPr="0043588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</w:tbl>
    <w:p w14:paraId="7F944A07" w14:textId="164FACE9" w:rsidR="00061B6D" w:rsidRPr="00396688" w:rsidRDefault="00071B0D" w:rsidP="000029AC">
      <w:pPr>
        <w:ind w:left="851" w:right="289" w:firstLine="0"/>
        <w:rPr>
          <w:rFonts w:ascii="Arial Narrow" w:hAnsi="Arial Narrow"/>
          <w:sz w:val="16"/>
          <w:szCs w:val="16"/>
        </w:rPr>
      </w:pPr>
      <w:r w:rsidRPr="00061B6D">
        <w:rPr>
          <w:rFonts w:ascii="Arial Narrow" w:hAnsi="Arial Narrow"/>
          <w:sz w:val="16"/>
          <w:szCs w:val="16"/>
        </w:rPr>
        <w:t xml:space="preserve">Los interesados pueden solicitar copia del documento notificado a través de la Mesa de Partes Virtual en </w:t>
      </w:r>
      <w:hyperlink r:id="rId4">
        <w:r w:rsidRPr="00061B6D">
          <w:rPr>
            <w:rFonts w:ascii="Arial Narrow" w:hAnsi="Arial Narrow"/>
            <w:sz w:val="16"/>
            <w:szCs w:val="16"/>
            <w:u w:val="single" w:color="000000"/>
          </w:rPr>
          <w:t>www.sunat.gob.pe</w:t>
        </w:r>
      </w:hyperlink>
      <w:hyperlink r:id="rId5">
        <w:r w:rsidRPr="00061B6D">
          <w:rPr>
            <w:rFonts w:ascii="Arial Narrow" w:hAnsi="Arial Narrow"/>
            <w:sz w:val="16"/>
            <w:szCs w:val="16"/>
          </w:rPr>
          <w:t xml:space="preserve"> </w:t>
        </w:r>
      </w:hyperlink>
      <w:r w:rsidRPr="00061B6D">
        <w:rPr>
          <w:rFonts w:ascii="Arial Narrow" w:hAnsi="Arial Narrow"/>
          <w:sz w:val="16"/>
          <w:szCs w:val="16"/>
        </w:rPr>
        <w:t>o acercarse a la Intendencia Nacional de Impugnaciones ubicada en Calle Arenales 335 -Piso 14 Cercado de Lima-Lima.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</w:t>
      </w:r>
    </w:p>
    <w:p w14:paraId="0CDE0F0D" w14:textId="77777777" w:rsidR="001B6318" w:rsidRPr="00396688" w:rsidRDefault="001B6318" w:rsidP="000029AC">
      <w:pPr>
        <w:ind w:left="851" w:right="289" w:firstLine="0"/>
        <w:rPr>
          <w:rFonts w:ascii="Arial Narrow" w:hAnsi="Arial Narrow"/>
          <w:sz w:val="16"/>
          <w:szCs w:val="16"/>
        </w:rPr>
      </w:pPr>
    </w:p>
    <w:p w14:paraId="227E0D34" w14:textId="77777777" w:rsidR="001B6318" w:rsidRPr="000029AC" w:rsidRDefault="001B6318" w:rsidP="000029AC">
      <w:pPr>
        <w:pStyle w:val="Ttulo"/>
        <w:tabs>
          <w:tab w:val="clear" w:pos="8364"/>
          <w:tab w:val="clear" w:pos="8595"/>
        </w:tabs>
        <w:ind w:left="851" w:right="289"/>
        <w:rPr>
          <w:rFonts w:ascii="Arial Narrow" w:hAnsi="Arial Narrow"/>
          <w:bCs/>
          <w:sz w:val="16"/>
          <w:szCs w:val="16"/>
        </w:rPr>
      </w:pPr>
      <w:r w:rsidRPr="000029AC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58CD387D" w14:textId="77777777" w:rsidR="001B6318" w:rsidRPr="00396688" w:rsidRDefault="001B6318" w:rsidP="000029AC">
      <w:pPr>
        <w:pStyle w:val="Ttulo"/>
        <w:tabs>
          <w:tab w:val="clear" w:pos="8364"/>
          <w:tab w:val="clear" w:pos="8595"/>
        </w:tabs>
        <w:ind w:left="851" w:right="289"/>
        <w:rPr>
          <w:rFonts w:ascii="Arial Narrow" w:hAnsi="Arial Narrow"/>
          <w:b w:val="0"/>
          <w:sz w:val="16"/>
          <w:szCs w:val="16"/>
        </w:rPr>
      </w:pPr>
    </w:p>
    <w:p w14:paraId="53FD00E1" w14:textId="77777777" w:rsidR="001B6318" w:rsidRPr="00396688" w:rsidRDefault="001B6318" w:rsidP="000029AC">
      <w:pPr>
        <w:ind w:left="851" w:right="289" w:firstLine="0"/>
        <w:rPr>
          <w:rFonts w:ascii="Arial Narrow" w:hAnsi="Arial Narrow" w:cs="Utsaah"/>
          <w:sz w:val="16"/>
          <w:szCs w:val="16"/>
        </w:rPr>
      </w:pPr>
      <w:r w:rsidRPr="00396688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éste; en ese sentido la SUNAT cumple con NOTIFICAR la presente publicación, a los deudores tributarios que a continuación se detallan, debiendo apersonarse a recabar sus documentos en la Av. Arenales N° 335 – Cercado de Lima.</w:t>
      </w:r>
    </w:p>
    <w:p w14:paraId="2163737B" w14:textId="39F67043" w:rsidR="001B6318" w:rsidRPr="00396688" w:rsidRDefault="001B6318" w:rsidP="000029AC">
      <w:pPr>
        <w:ind w:left="851" w:right="289" w:firstLine="0"/>
        <w:rPr>
          <w:rFonts w:ascii="Arial Narrow" w:hAnsi="Arial Narrow"/>
          <w:sz w:val="16"/>
          <w:szCs w:val="16"/>
        </w:rPr>
      </w:pPr>
      <w:r w:rsidRPr="00396688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51F2F9" w14:textId="71359055" w:rsidR="001B6318" w:rsidRPr="00396688" w:rsidRDefault="001B6318" w:rsidP="000029AC">
      <w:pPr>
        <w:ind w:left="851" w:right="289" w:firstLine="0"/>
        <w:rPr>
          <w:rFonts w:ascii="Arial Narrow" w:hAnsi="Arial Narrow"/>
          <w:sz w:val="16"/>
          <w:szCs w:val="16"/>
        </w:rPr>
      </w:pPr>
      <w:r w:rsidRPr="00396688">
        <w:rPr>
          <w:rFonts w:ascii="Arial Narrow" w:hAnsi="Arial Narrow"/>
          <w:sz w:val="16"/>
          <w:szCs w:val="16"/>
          <w:u w:val="single"/>
        </w:rPr>
        <w:t>ACTO ADMINISTRATIVO</w:t>
      </w:r>
    </w:p>
    <w:tbl>
      <w:tblPr>
        <w:tblStyle w:val="Tablaconcuadrculaclara"/>
        <w:tblW w:w="1403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275"/>
        <w:gridCol w:w="1560"/>
        <w:gridCol w:w="8788"/>
      </w:tblGrid>
      <w:tr w:rsidR="000029AC" w:rsidRPr="00396688" w14:paraId="78D04900" w14:textId="77777777" w:rsidTr="002D4274">
        <w:tc>
          <w:tcPr>
            <w:tcW w:w="992" w:type="dxa"/>
          </w:tcPr>
          <w:p w14:paraId="05E32AA1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6688">
              <w:rPr>
                <w:rFonts w:ascii="Arial Narrow" w:hAnsi="Arial Narrow"/>
                <w:sz w:val="16"/>
                <w:szCs w:val="16"/>
              </w:rPr>
              <w:t>CE N°</w:t>
            </w:r>
          </w:p>
        </w:tc>
        <w:tc>
          <w:tcPr>
            <w:tcW w:w="1418" w:type="dxa"/>
          </w:tcPr>
          <w:p w14:paraId="76E712D0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6688">
              <w:rPr>
                <w:rFonts w:ascii="Arial Narrow" w:hAnsi="Arial Narrow"/>
                <w:sz w:val="16"/>
                <w:szCs w:val="16"/>
              </w:rPr>
              <w:t>CONTRIBUYENTE</w:t>
            </w:r>
          </w:p>
        </w:tc>
        <w:tc>
          <w:tcPr>
            <w:tcW w:w="1275" w:type="dxa"/>
          </w:tcPr>
          <w:p w14:paraId="19C9BBD6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6688">
              <w:rPr>
                <w:rFonts w:ascii="Arial Narrow" w:hAnsi="Arial Narrow"/>
                <w:sz w:val="16"/>
                <w:szCs w:val="16"/>
              </w:rPr>
              <w:t>DOCUMENTO</w:t>
            </w:r>
          </w:p>
        </w:tc>
        <w:tc>
          <w:tcPr>
            <w:tcW w:w="1560" w:type="dxa"/>
          </w:tcPr>
          <w:p w14:paraId="6B37C766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6688">
              <w:rPr>
                <w:rFonts w:ascii="Arial Narrow" w:hAnsi="Arial Narrow"/>
                <w:sz w:val="16"/>
                <w:szCs w:val="16"/>
              </w:rPr>
              <w:t>ACTO QUE SE IMPUGNA</w:t>
            </w:r>
          </w:p>
        </w:tc>
        <w:tc>
          <w:tcPr>
            <w:tcW w:w="8788" w:type="dxa"/>
          </w:tcPr>
          <w:p w14:paraId="55E978E8" w14:textId="77777777" w:rsidR="001B6318" w:rsidRPr="00396688" w:rsidRDefault="001B6318" w:rsidP="00396688">
            <w:pPr>
              <w:ind w:left="2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6688">
              <w:rPr>
                <w:rFonts w:ascii="Arial Narrow" w:hAnsi="Arial Narrow"/>
                <w:sz w:val="16"/>
                <w:szCs w:val="16"/>
              </w:rPr>
              <w:t>COMUNICACIÓN</w:t>
            </w:r>
          </w:p>
        </w:tc>
      </w:tr>
      <w:tr w:rsidR="000029AC" w:rsidRPr="00396688" w14:paraId="08782AB8" w14:textId="77777777" w:rsidTr="002D4274">
        <w:tc>
          <w:tcPr>
            <w:tcW w:w="992" w:type="dxa"/>
          </w:tcPr>
          <w:p w14:paraId="698D7457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6688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263245717</w:t>
            </w:r>
          </w:p>
        </w:tc>
        <w:tc>
          <w:tcPr>
            <w:tcW w:w="1418" w:type="dxa"/>
          </w:tcPr>
          <w:p w14:paraId="72B52ACF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6688">
              <w:rPr>
                <w:rFonts w:ascii="Arial Narrow" w:hAnsi="Arial Narrow" w:cstheme="minorHAnsi"/>
                <w:sz w:val="16"/>
                <w:szCs w:val="16"/>
              </w:rPr>
              <w:t>NICOLAS VERA LITZI CAROL</w:t>
            </w:r>
          </w:p>
        </w:tc>
        <w:tc>
          <w:tcPr>
            <w:tcW w:w="1275" w:type="dxa"/>
          </w:tcPr>
          <w:p w14:paraId="2B38350C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/>
                <w:sz w:val="16"/>
                <w:szCs w:val="16"/>
              </w:rPr>
            </w:pPr>
            <w:bookmarkStart w:id="0" w:name="_Hlk174722748"/>
            <w:r w:rsidRPr="00396688">
              <w:rPr>
                <w:rFonts w:ascii="Arial Narrow" w:hAnsi="Arial Narrow"/>
                <w:sz w:val="16"/>
                <w:szCs w:val="16"/>
              </w:rPr>
              <w:t>Carta N° 4091200002319</w:t>
            </w:r>
            <w:bookmarkEnd w:id="0"/>
          </w:p>
        </w:tc>
        <w:tc>
          <w:tcPr>
            <w:tcW w:w="1560" w:type="dxa"/>
          </w:tcPr>
          <w:p w14:paraId="2657CBED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6688">
              <w:rPr>
                <w:rFonts w:ascii="Arial Narrow" w:hAnsi="Arial Narrow" w:cstheme="minorHAnsi"/>
                <w:sz w:val="16"/>
                <w:szCs w:val="16"/>
              </w:rPr>
              <w:t>Resolución de División N° 4090140011500</w:t>
            </w:r>
          </w:p>
        </w:tc>
        <w:tc>
          <w:tcPr>
            <w:tcW w:w="8788" w:type="dxa"/>
          </w:tcPr>
          <w:p w14:paraId="11371047" w14:textId="77777777" w:rsidR="001B6318" w:rsidRPr="00396688" w:rsidRDefault="001B6318" w:rsidP="00396688">
            <w:pPr>
              <w:ind w:left="25"/>
              <w:rPr>
                <w:rFonts w:ascii="Arial Narrow" w:hAnsi="Arial Narrow"/>
                <w:sz w:val="16"/>
                <w:szCs w:val="16"/>
              </w:rPr>
            </w:pPr>
            <w:r w:rsidRPr="00396688">
              <w:rPr>
                <w:rFonts w:ascii="Arial Narrow" w:hAnsi="Arial Narrow"/>
                <w:sz w:val="16"/>
                <w:szCs w:val="16"/>
              </w:rPr>
              <w:t>Se comunica que esta Administración ha calificado el escrito presentado bajo el asunto “recurso de apelación de la Resolución N° 800-2024-SUNAT/3G0500”, como un Recurso de Apelación contra la Resolución de División N° 4090140011500, que declara infundado el recurso de reclamación interpuesto contra la Resolución de División N° 800-2024-SUNAT/3G0500 (que declaró comiso de vehículo), notificada al usuario el 13/02/2025 mediante publicación en el diario oficial El Peruano, generándose para tal fin el Expediente N° 4090350006061.</w:t>
            </w:r>
          </w:p>
        </w:tc>
      </w:tr>
      <w:tr w:rsidR="000029AC" w:rsidRPr="00396688" w14:paraId="19BA34F4" w14:textId="77777777" w:rsidTr="002D4274">
        <w:tc>
          <w:tcPr>
            <w:tcW w:w="992" w:type="dxa"/>
          </w:tcPr>
          <w:p w14:paraId="4C3AC387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bookmarkStart w:id="1" w:name="_Hlk174722814"/>
            <w:r w:rsidRPr="00396688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263245717</w:t>
            </w:r>
          </w:p>
        </w:tc>
        <w:tc>
          <w:tcPr>
            <w:tcW w:w="1418" w:type="dxa"/>
          </w:tcPr>
          <w:p w14:paraId="056BF986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96688">
              <w:rPr>
                <w:rFonts w:ascii="Arial Narrow" w:hAnsi="Arial Narrow" w:cstheme="minorHAnsi"/>
                <w:sz w:val="16"/>
                <w:szCs w:val="16"/>
              </w:rPr>
              <w:t>NICOLAS VERA LITZI CAROL</w:t>
            </w:r>
          </w:p>
        </w:tc>
        <w:tc>
          <w:tcPr>
            <w:tcW w:w="1275" w:type="dxa"/>
          </w:tcPr>
          <w:p w14:paraId="1A50373D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/>
                <w:sz w:val="16"/>
                <w:szCs w:val="16"/>
              </w:rPr>
            </w:pPr>
            <w:bookmarkStart w:id="2" w:name="_Hlk174722789"/>
            <w:r w:rsidRPr="00396688">
              <w:rPr>
                <w:rFonts w:ascii="Arial Narrow" w:hAnsi="Arial Narrow"/>
                <w:sz w:val="16"/>
                <w:szCs w:val="16"/>
              </w:rPr>
              <w:t>Requerimiento N° 4090550005747</w:t>
            </w:r>
            <w:bookmarkEnd w:id="2"/>
          </w:p>
        </w:tc>
        <w:tc>
          <w:tcPr>
            <w:tcW w:w="1560" w:type="dxa"/>
          </w:tcPr>
          <w:p w14:paraId="1263E36C" w14:textId="77777777" w:rsidR="001B6318" w:rsidRPr="00396688" w:rsidRDefault="001B6318" w:rsidP="008B0C46">
            <w:pPr>
              <w:ind w:left="25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96688">
              <w:rPr>
                <w:rFonts w:ascii="Arial Narrow" w:hAnsi="Arial Narrow" w:cstheme="minorHAnsi"/>
                <w:sz w:val="16"/>
                <w:szCs w:val="16"/>
              </w:rPr>
              <w:t>Resolución de División N° 4090140011500</w:t>
            </w:r>
          </w:p>
        </w:tc>
        <w:tc>
          <w:tcPr>
            <w:tcW w:w="8788" w:type="dxa"/>
          </w:tcPr>
          <w:p w14:paraId="082F4D6E" w14:textId="0005EF6D" w:rsidR="001B6318" w:rsidRPr="00396688" w:rsidRDefault="001B6318" w:rsidP="002D4274">
            <w:pPr>
              <w:ind w:left="25"/>
              <w:rPr>
                <w:rFonts w:ascii="Arial Narrow" w:hAnsi="Arial Narrow"/>
                <w:sz w:val="16"/>
                <w:szCs w:val="16"/>
              </w:rPr>
            </w:pPr>
            <w:r w:rsidRPr="00396688">
              <w:rPr>
                <w:rFonts w:ascii="Arial Narrow" w:hAnsi="Arial Narrow"/>
                <w:sz w:val="16"/>
                <w:szCs w:val="16"/>
              </w:rPr>
              <w:t>Afiliación al Sistema de Notificación Electrónica del Tribunal Fiscal para lo cual debe seguir las instrucciones señaladas</w:t>
            </w:r>
            <w:r w:rsidR="00C441E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96688">
              <w:rPr>
                <w:rFonts w:ascii="Arial Narrow" w:hAnsi="Arial Narrow"/>
                <w:sz w:val="16"/>
                <w:szCs w:val="16"/>
              </w:rPr>
              <w:t>en la “Guía para la Afiliación al Sistema de Notificación Electrónica del Tribunal Fiscal”, ingresando al siguiente linkhttps://www.mef.gob.pe/contenidos/tribu_fisc/ne/guia_afiliacion_not_ele.pdf. Cabe precisar que, el registro debe</w:t>
            </w:r>
            <w:r w:rsidR="002D427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96688">
              <w:rPr>
                <w:rFonts w:ascii="Arial Narrow" w:hAnsi="Arial Narrow"/>
                <w:sz w:val="16"/>
                <w:szCs w:val="16"/>
              </w:rPr>
              <w:t>efectuarlo el representante legal debidamente acreditado.</w:t>
            </w:r>
          </w:p>
        </w:tc>
      </w:tr>
      <w:tr w:rsidR="00C441EA" w:rsidRPr="00396688" w14:paraId="26C690CB" w14:textId="77777777" w:rsidTr="002D4274">
        <w:tc>
          <w:tcPr>
            <w:tcW w:w="992" w:type="dxa"/>
          </w:tcPr>
          <w:p w14:paraId="754CD095" w14:textId="3DA8658C" w:rsidR="00C441EA" w:rsidRPr="00396688" w:rsidRDefault="00C441EA" w:rsidP="008B0C46">
            <w:pPr>
              <w:ind w:left="25"/>
              <w:jc w:val="center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r w:rsidRPr="000D3514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004442072</w:t>
            </w:r>
          </w:p>
        </w:tc>
        <w:tc>
          <w:tcPr>
            <w:tcW w:w="1418" w:type="dxa"/>
          </w:tcPr>
          <w:p w14:paraId="1EEAE77B" w14:textId="004C8135" w:rsidR="00C441EA" w:rsidRPr="00396688" w:rsidRDefault="00C441EA" w:rsidP="008B0C46">
            <w:pPr>
              <w:ind w:left="25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0D3514">
              <w:rPr>
                <w:rFonts w:ascii="Arial Narrow" w:hAnsi="Arial Narrow" w:cstheme="minorHAnsi"/>
                <w:sz w:val="16"/>
                <w:szCs w:val="16"/>
              </w:rPr>
              <w:t>OMAR ENRIQUE BRICEÑO PÉREZ</w:t>
            </w:r>
          </w:p>
        </w:tc>
        <w:tc>
          <w:tcPr>
            <w:tcW w:w="1275" w:type="dxa"/>
          </w:tcPr>
          <w:p w14:paraId="34BF1D32" w14:textId="12057D76" w:rsidR="00C441EA" w:rsidRPr="00396688" w:rsidRDefault="00C441EA" w:rsidP="008B0C46">
            <w:pPr>
              <w:ind w:left="2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3514">
              <w:rPr>
                <w:rFonts w:ascii="Arial Narrow" w:hAnsi="Arial Narrow"/>
                <w:sz w:val="16"/>
                <w:szCs w:val="16"/>
              </w:rPr>
              <w:t>RD N° 4090140014039</w:t>
            </w:r>
          </w:p>
        </w:tc>
        <w:tc>
          <w:tcPr>
            <w:tcW w:w="1560" w:type="dxa"/>
          </w:tcPr>
          <w:p w14:paraId="22CFD3E5" w14:textId="77AADBFA" w:rsidR="00C441EA" w:rsidRPr="00396688" w:rsidRDefault="00C441EA" w:rsidP="008B0C46">
            <w:pPr>
              <w:ind w:left="25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0D3514">
              <w:rPr>
                <w:rFonts w:ascii="Arial Narrow" w:hAnsi="Arial Narrow" w:cstheme="minorHAnsi"/>
                <w:sz w:val="16"/>
                <w:szCs w:val="16"/>
              </w:rPr>
              <w:t>Resolución de División N° 306-2024-SUNAT/3K0500</w:t>
            </w:r>
          </w:p>
        </w:tc>
        <w:tc>
          <w:tcPr>
            <w:tcW w:w="8788" w:type="dxa"/>
          </w:tcPr>
          <w:p w14:paraId="1A00ABAB" w14:textId="64A73F33" w:rsidR="00C441EA" w:rsidRPr="00396688" w:rsidRDefault="00C441EA" w:rsidP="00C441EA">
            <w:pPr>
              <w:ind w:left="0" w:firstLine="25"/>
              <w:rPr>
                <w:rFonts w:ascii="Arial Narrow" w:hAnsi="Arial Narrow"/>
                <w:sz w:val="16"/>
                <w:szCs w:val="16"/>
              </w:rPr>
            </w:pPr>
            <w:r w:rsidRPr="000D3514">
              <w:rPr>
                <w:rFonts w:ascii="Arial Narrow" w:hAnsi="Arial Narrow"/>
                <w:sz w:val="16"/>
                <w:szCs w:val="16"/>
              </w:rPr>
              <w:t>Declarar INADMISIBLE el recurso de reclamación interpuesto por OMAR ENRIQUE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3514">
              <w:rPr>
                <w:rFonts w:ascii="Arial Narrow" w:hAnsi="Arial Narrow"/>
                <w:sz w:val="16"/>
                <w:szCs w:val="16"/>
              </w:rPr>
              <w:t>BRICEÑO PÉREZ contra el artículo segundo de la Resolución de División N° 306-2024-SUNAT/3K0500 (que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3514">
              <w:rPr>
                <w:rFonts w:ascii="Arial Narrow" w:hAnsi="Arial Narrow"/>
                <w:sz w:val="16"/>
                <w:szCs w:val="16"/>
              </w:rPr>
              <w:t>dio mérito a la Liquidación de Cobranza N° 046-2024-1096), mediante Expediente N° 4090340016125.</w:t>
            </w:r>
          </w:p>
        </w:tc>
      </w:tr>
      <w:bookmarkEnd w:id="1"/>
    </w:tbl>
    <w:p w14:paraId="26F1A6A1" w14:textId="357071DD" w:rsidR="00230937" w:rsidRPr="0043588A" w:rsidRDefault="00230937" w:rsidP="008D14E3">
      <w:pPr>
        <w:pStyle w:val="Ttulo"/>
        <w:tabs>
          <w:tab w:val="clear" w:pos="8364"/>
          <w:tab w:val="clear" w:pos="8595"/>
        </w:tabs>
        <w:spacing w:line="0" w:lineRule="atLeast"/>
        <w:ind w:left="851" w:right="289"/>
        <w:rPr>
          <w:rFonts w:ascii="Arial Narrow" w:hAnsi="Arial Narrow"/>
          <w:b w:val="0"/>
          <w:sz w:val="16"/>
          <w:szCs w:val="16"/>
        </w:rPr>
      </w:pPr>
    </w:p>
    <w:sectPr w:rsidR="00230937" w:rsidRPr="0043588A" w:rsidSect="00897424">
      <w:pgSz w:w="16841" w:h="11899" w:orient="landscape"/>
      <w:pgMar w:top="810" w:right="1102" w:bottom="187" w:left="56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94"/>
    <w:rsid w:val="000029AC"/>
    <w:rsid w:val="00061B6D"/>
    <w:rsid w:val="00071B0D"/>
    <w:rsid w:val="000D3514"/>
    <w:rsid w:val="001B6318"/>
    <w:rsid w:val="00230937"/>
    <w:rsid w:val="00232310"/>
    <w:rsid w:val="002D4274"/>
    <w:rsid w:val="00396688"/>
    <w:rsid w:val="0043588A"/>
    <w:rsid w:val="00897424"/>
    <w:rsid w:val="008B0C46"/>
    <w:rsid w:val="008D14E3"/>
    <w:rsid w:val="00975E4D"/>
    <w:rsid w:val="00C441EA"/>
    <w:rsid w:val="00CA7E78"/>
    <w:rsid w:val="00E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20A12F"/>
  <w15:docId w15:val="{660DD077-1AB7-F04B-9428-818B6648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1" w:lineRule="auto"/>
      <w:ind w:left="437" w:hanging="10"/>
      <w:jc w:val="both"/>
    </w:pPr>
    <w:rPr>
      <w:rFonts w:ascii="Arial" w:eastAsia="Arial" w:hAnsi="Arial" w:cs="Arial"/>
      <w:color w:val="000000"/>
      <w:sz w:val="20"/>
      <w:lang w:eastAsia="es-PE" w:bidi="es-PE"/>
    </w:rPr>
  </w:style>
  <w:style w:type="paragraph" w:styleId="Ttulo2">
    <w:name w:val="heading 2"/>
    <w:basedOn w:val="Normal"/>
    <w:next w:val="Normal"/>
    <w:link w:val="Ttulo2Car"/>
    <w:qFormat/>
    <w:rsid w:val="0043588A"/>
    <w:pPr>
      <w:keepNext/>
      <w:spacing w:line="240" w:lineRule="auto"/>
      <w:ind w:left="0" w:firstLine="0"/>
      <w:jc w:val="center"/>
      <w:outlineLvl w:val="1"/>
    </w:pPr>
    <w:rPr>
      <w:rFonts w:ascii="Calibri" w:eastAsia="Times New Roman" w:hAnsi="Calibri" w:cs="Times New Roman"/>
      <w:b/>
      <w:bCs/>
      <w:color w:val="FFFFFF"/>
      <w:kern w:val="0"/>
      <w:sz w:val="18"/>
      <w:szCs w:val="18"/>
      <w:lang w:val="es-ES" w:eastAsia="es-ES" w:bidi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1B6318"/>
    <w:pPr>
      <w:tabs>
        <w:tab w:val="left" w:pos="8364"/>
        <w:tab w:val="left" w:pos="8595"/>
      </w:tabs>
      <w:spacing w:line="240" w:lineRule="auto"/>
      <w:ind w:left="0" w:right="231" w:firstLine="0"/>
      <w:jc w:val="center"/>
    </w:pPr>
    <w:rPr>
      <w:rFonts w:eastAsia="Times New Roman" w:cs="Times New Roman"/>
      <w:b/>
      <w:color w:val="auto"/>
      <w:kern w:val="0"/>
      <w:sz w:val="18"/>
      <w:szCs w:val="20"/>
      <w:lang w:val="es-ES" w:eastAsia="es-ES" w:bidi="ar-SA"/>
      <w14:ligatures w14:val="none"/>
    </w:rPr>
  </w:style>
  <w:style w:type="character" w:customStyle="1" w:styleId="TtuloCar">
    <w:name w:val="Título Car"/>
    <w:basedOn w:val="Fuentedeprrafopredeter"/>
    <w:link w:val="Ttulo"/>
    <w:rsid w:val="001B6318"/>
    <w:rPr>
      <w:rFonts w:ascii="Arial" w:eastAsia="Times New Roman" w:hAnsi="Arial" w:cs="Times New Roman"/>
      <w:b/>
      <w:kern w:val="0"/>
      <w:sz w:val="18"/>
      <w:szCs w:val="20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1B63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029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rsid w:val="0043588A"/>
    <w:rPr>
      <w:rFonts w:ascii="Calibri" w:eastAsia="Times New Roman" w:hAnsi="Calibri" w:cs="Times New Roman"/>
      <w:b/>
      <w:bCs/>
      <w:color w:val="FFFFFF"/>
      <w:kern w:val="0"/>
      <w:sz w:val="18"/>
      <w:szCs w:val="18"/>
      <w:lang w:val="es-ES" w:eastAsia="es-ES"/>
      <w14:ligatures w14:val="none"/>
    </w:rPr>
  </w:style>
  <w:style w:type="paragraph" w:styleId="NormalWeb">
    <w:name w:val="Normal (Web)"/>
    <w:basedOn w:val="Normal"/>
    <w:rsid w:val="0043588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lang w:val="es-ES" w:eastAsia="es-ES" w:bidi="ar-SA"/>
      <w14:ligatures w14:val="none"/>
    </w:rPr>
  </w:style>
  <w:style w:type="paragraph" w:styleId="Sinespaciado">
    <w:name w:val="No Spacing"/>
    <w:uiPriority w:val="1"/>
    <w:qFormat/>
    <w:rsid w:val="0043588A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efault">
    <w:name w:val="Default"/>
    <w:rsid w:val="004358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styleId="Hipervnculo">
    <w:name w:val="Hyperlink"/>
    <w:uiPriority w:val="99"/>
    <w:unhideWhenUsed/>
    <w:rsid w:val="00435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nat.gob.pe/" TargetMode="External"/><Relationship Id="rId4" Type="http://schemas.openxmlformats.org/officeDocument/2006/relationships/hyperlink" Target="http://www.sunat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2025-05-16T20:34:00Z</cp:lastPrinted>
  <dcterms:created xsi:type="dcterms:W3CDTF">2025-05-16T20:34:00Z</dcterms:created>
  <dcterms:modified xsi:type="dcterms:W3CDTF">2025-05-16T20:43:00Z</dcterms:modified>
</cp:coreProperties>
</file>