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5FFF4" w14:textId="1BC95997" w:rsidR="008E0D65" w:rsidRDefault="008E0D65" w:rsidP="008E0D65">
      <w:pPr>
        <w:pStyle w:val="Prrafodelista"/>
        <w:autoSpaceDE w:val="0"/>
        <w:autoSpaceDN w:val="0"/>
        <w:spacing w:after="120"/>
        <w:ind w:left="1134" w:right="474"/>
        <w:jc w:val="right"/>
        <w:rPr>
          <w:rFonts w:ascii="Arial" w:eastAsia="Times New Roman" w:hAnsi="Arial"/>
          <w:b/>
          <w:i/>
          <w:lang w:val="es-ES" w:eastAsia="es-ES"/>
        </w:rPr>
      </w:pPr>
      <w:r>
        <w:rPr>
          <w:rFonts w:ascii="Arial" w:eastAsia="Times New Roman" w:hAnsi="Arial"/>
          <w:b/>
          <w:i/>
          <w:lang w:val="es-ES" w:eastAsia="es-ES"/>
        </w:rPr>
        <w:t xml:space="preserve">Nota de Prensa </w:t>
      </w:r>
      <w:proofErr w:type="spellStart"/>
      <w:r>
        <w:rPr>
          <w:rFonts w:ascii="Arial" w:eastAsia="Times New Roman" w:hAnsi="Arial"/>
          <w:b/>
          <w:i/>
          <w:lang w:val="es-ES" w:eastAsia="es-ES"/>
        </w:rPr>
        <w:t>N°</w:t>
      </w:r>
      <w:proofErr w:type="spellEnd"/>
      <w:r>
        <w:rPr>
          <w:rFonts w:ascii="Arial" w:eastAsia="Times New Roman" w:hAnsi="Arial"/>
          <w:b/>
          <w:i/>
          <w:lang w:val="es-ES" w:eastAsia="es-ES"/>
        </w:rPr>
        <w:t xml:space="preserve"> 0</w:t>
      </w:r>
      <w:r>
        <w:rPr>
          <w:rFonts w:ascii="Arial" w:eastAsia="Times New Roman" w:hAnsi="Arial"/>
          <w:b/>
          <w:i/>
          <w:lang w:val="es-ES" w:eastAsia="es-ES"/>
        </w:rPr>
        <w:t>03</w:t>
      </w:r>
      <w:r>
        <w:rPr>
          <w:rFonts w:ascii="Arial" w:eastAsia="Times New Roman" w:hAnsi="Arial"/>
          <w:b/>
          <w:i/>
          <w:lang w:val="es-ES" w:eastAsia="es-ES"/>
        </w:rPr>
        <w:t>-20</w:t>
      </w:r>
      <w:r>
        <w:rPr>
          <w:rFonts w:ascii="Arial" w:eastAsia="Times New Roman" w:hAnsi="Arial"/>
          <w:b/>
          <w:i/>
          <w:lang w:val="es-ES" w:eastAsia="es-ES"/>
        </w:rPr>
        <w:t>20</w:t>
      </w:r>
    </w:p>
    <w:p w14:paraId="77A1ECB8" w14:textId="0014E952" w:rsidR="00173624" w:rsidRDefault="00E32235" w:rsidP="0000227B">
      <w:pPr>
        <w:pStyle w:val="Piedepgina"/>
        <w:tabs>
          <w:tab w:val="clear" w:pos="4419"/>
          <w:tab w:val="clear" w:pos="8838"/>
        </w:tabs>
        <w:ind w:left="66"/>
        <w:jc w:val="center"/>
        <w:rPr>
          <w:rFonts w:ascii="Arial" w:hAnsi="Arial" w:cs="Arial"/>
          <w:b/>
          <w:bCs/>
          <w:color w:val="0070C0"/>
          <w:sz w:val="44"/>
        </w:rPr>
      </w:pPr>
      <w:r>
        <w:rPr>
          <w:rFonts w:ascii="Arial" w:hAnsi="Arial" w:cs="Arial"/>
          <w:b/>
          <w:bCs/>
          <w:color w:val="0070C0"/>
          <w:sz w:val="44"/>
        </w:rPr>
        <w:t>SUNAT</w:t>
      </w:r>
      <w:r w:rsidR="00557C3D">
        <w:rPr>
          <w:rFonts w:ascii="Arial" w:hAnsi="Arial" w:cs="Arial"/>
          <w:b/>
          <w:bCs/>
          <w:color w:val="0070C0"/>
          <w:sz w:val="44"/>
        </w:rPr>
        <w:t xml:space="preserve">: </w:t>
      </w:r>
      <w:r w:rsidR="00A25F87" w:rsidRPr="00A25F87">
        <w:rPr>
          <w:rFonts w:ascii="Arial" w:hAnsi="Arial" w:cs="Arial"/>
          <w:b/>
          <w:bCs/>
          <w:color w:val="0070C0"/>
          <w:sz w:val="44"/>
        </w:rPr>
        <w:t>RECAUDACIÓN TRIBUTARIA CONSOLIDÓ SU RECUPERACIÓN Y CRECIÓ 3,7% E</w:t>
      </w:r>
      <w:r w:rsidR="00533FAD">
        <w:rPr>
          <w:rFonts w:ascii="Arial" w:hAnsi="Arial" w:cs="Arial"/>
          <w:b/>
          <w:bCs/>
          <w:color w:val="0070C0"/>
          <w:sz w:val="44"/>
        </w:rPr>
        <w:t>L</w:t>
      </w:r>
      <w:r w:rsidR="00A25F87" w:rsidRPr="00A25F87">
        <w:rPr>
          <w:rFonts w:ascii="Arial" w:hAnsi="Arial" w:cs="Arial"/>
          <w:b/>
          <w:bCs/>
          <w:color w:val="0070C0"/>
          <w:sz w:val="44"/>
        </w:rPr>
        <w:t xml:space="preserve"> 2019</w:t>
      </w:r>
    </w:p>
    <w:p w14:paraId="73782451" w14:textId="4FB85DB5" w:rsidR="0099594D" w:rsidRPr="001A0249" w:rsidRDefault="000A4F40" w:rsidP="008412ED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</w:rPr>
      </w:pPr>
      <w:r w:rsidRPr="001A0249">
        <w:rPr>
          <w:rFonts w:ascii="Arial" w:hAnsi="Arial" w:cs="Arial"/>
          <w:b/>
        </w:rPr>
        <w:t>Se reca</w:t>
      </w:r>
      <w:r w:rsidR="00AC4938" w:rsidRPr="001A0249">
        <w:rPr>
          <w:rFonts w:ascii="Arial" w:hAnsi="Arial" w:cs="Arial"/>
          <w:b/>
        </w:rPr>
        <w:t>udaron S/ 1</w:t>
      </w:r>
      <w:r w:rsidR="009073AC" w:rsidRPr="001A0249">
        <w:rPr>
          <w:rFonts w:ascii="Arial" w:hAnsi="Arial" w:cs="Arial"/>
          <w:b/>
        </w:rPr>
        <w:t>10</w:t>
      </w:r>
      <w:r w:rsidR="00AC4938" w:rsidRPr="001A0249">
        <w:rPr>
          <w:rFonts w:ascii="Arial" w:hAnsi="Arial" w:cs="Arial"/>
          <w:b/>
        </w:rPr>
        <w:t xml:space="preserve"> </w:t>
      </w:r>
      <w:r w:rsidR="009073AC" w:rsidRPr="001A0249">
        <w:rPr>
          <w:rFonts w:ascii="Arial" w:hAnsi="Arial" w:cs="Arial"/>
          <w:b/>
        </w:rPr>
        <w:t>768</w:t>
      </w:r>
      <w:r w:rsidR="00AC4938" w:rsidRPr="001A0249">
        <w:rPr>
          <w:rFonts w:ascii="Arial" w:hAnsi="Arial" w:cs="Arial"/>
          <w:b/>
        </w:rPr>
        <w:t xml:space="preserve"> millones</w:t>
      </w:r>
      <w:r w:rsidR="0099594D" w:rsidRPr="001A0249">
        <w:rPr>
          <w:rFonts w:ascii="Arial" w:hAnsi="Arial" w:cs="Arial"/>
          <w:b/>
        </w:rPr>
        <w:t xml:space="preserve"> </w:t>
      </w:r>
      <w:r w:rsidR="00A25F87">
        <w:rPr>
          <w:rFonts w:ascii="Arial" w:hAnsi="Arial" w:cs="Arial"/>
          <w:b/>
        </w:rPr>
        <w:t xml:space="preserve">netos </w:t>
      </w:r>
      <w:r w:rsidR="0099594D" w:rsidRPr="001A0249">
        <w:rPr>
          <w:rFonts w:ascii="Arial" w:hAnsi="Arial" w:cs="Arial"/>
          <w:b/>
        </w:rPr>
        <w:t>que</w:t>
      </w:r>
      <w:r w:rsidR="00AC4938" w:rsidRPr="001A0249">
        <w:rPr>
          <w:rFonts w:ascii="Arial" w:hAnsi="Arial" w:cs="Arial"/>
          <w:b/>
        </w:rPr>
        <w:t xml:space="preserve"> </w:t>
      </w:r>
      <w:r w:rsidR="0099594D" w:rsidRPr="001A0249">
        <w:rPr>
          <w:rFonts w:ascii="Arial" w:hAnsi="Arial" w:cs="Arial"/>
          <w:b/>
        </w:rPr>
        <w:t>representa</w:t>
      </w:r>
      <w:r w:rsidR="0043751E" w:rsidRPr="001A0249">
        <w:rPr>
          <w:rFonts w:ascii="Arial" w:hAnsi="Arial" w:cs="Arial"/>
          <w:b/>
        </w:rPr>
        <w:t>n</w:t>
      </w:r>
      <w:r w:rsidR="0099594D" w:rsidRPr="001A0249">
        <w:rPr>
          <w:rFonts w:ascii="Arial" w:hAnsi="Arial" w:cs="Arial"/>
          <w:b/>
        </w:rPr>
        <w:t xml:space="preserve"> S/ 6 178 millones adicionales con respecto al año anterior.</w:t>
      </w:r>
    </w:p>
    <w:p w14:paraId="0802BEE4" w14:textId="282226EA" w:rsidR="00173624" w:rsidRPr="001A0249" w:rsidRDefault="0099594D" w:rsidP="008412ED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</w:rPr>
      </w:pPr>
      <w:r w:rsidRPr="001A0249">
        <w:rPr>
          <w:rFonts w:ascii="Arial" w:hAnsi="Arial" w:cs="Arial"/>
          <w:b/>
        </w:rPr>
        <w:t>L</w:t>
      </w:r>
      <w:r w:rsidR="00AC4938" w:rsidRPr="001A0249">
        <w:rPr>
          <w:rFonts w:ascii="Arial" w:hAnsi="Arial" w:cs="Arial"/>
          <w:b/>
        </w:rPr>
        <w:t>a presión tributaria</w:t>
      </w:r>
      <w:r w:rsidRPr="001A0249">
        <w:rPr>
          <w:rFonts w:ascii="Arial" w:hAnsi="Arial" w:cs="Arial"/>
          <w:b/>
        </w:rPr>
        <w:t xml:space="preserve"> creció por segundo año consecutivo y</w:t>
      </w:r>
      <w:r w:rsidR="00AC4938" w:rsidRPr="001A0249">
        <w:rPr>
          <w:rFonts w:ascii="Arial" w:hAnsi="Arial" w:cs="Arial"/>
          <w:b/>
        </w:rPr>
        <w:t xml:space="preserve"> </w:t>
      </w:r>
      <w:r w:rsidRPr="001A0249">
        <w:rPr>
          <w:rFonts w:ascii="Arial" w:hAnsi="Arial" w:cs="Arial"/>
          <w:b/>
        </w:rPr>
        <w:t xml:space="preserve">alcanzó el </w:t>
      </w:r>
      <w:r w:rsidR="00AC4938" w:rsidRPr="001A0249">
        <w:rPr>
          <w:rFonts w:ascii="Arial" w:hAnsi="Arial" w:cs="Arial"/>
          <w:b/>
        </w:rPr>
        <w:t>14,</w:t>
      </w:r>
      <w:r w:rsidR="009073AC" w:rsidRPr="001A0249">
        <w:rPr>
          <w:rFonts w:ascii="Arial" w:hAnsi="Arial" w:cs="Arial"/>
          <w:b/>
        </w:rPr>
        <w:t>4</w:t>
      </w:r>
      <w:r w:rsidR="00AC4938" w:rsidRPr="001A0249">
        <w:rPr>
          <w:rFonts w:ascii="Arial" w:hAnsi="Arial" w:cs="Arial"/>
          <w:b/>
        </w:rPr>
        <w:t>% del PBI</w:t>
      </w:r>
      <w:r w:rsidR="00AA010D" w:rsidRPr="001A0249">
        <w:rPr>
          <w:rFonts w:ascii="Arial" w:hAnsi="Arial" w:cs="Arial"/>
          <w:b/>
        </w:rPr>
        <w:t xml:space="preserve"> nacional</w:t>
      </w:r>
      <w:r w:rsidRPr="001A0249">
        <w:rPr>
          <w:rFonts w:ascii="Arial" w:hAnsi="Arial" w:cs="Arial"/>
          <w:b/>
        </w:rPr>
        <w:t>.</w:t>
      </w:r>
    </w:p>
    <w:p w14:paraId="12382B27" w14:textId="18A70BAF" w:rsidR="008412ED" w:rsidRPr="001A0249" w:rsidRDefault="00B77E8A" w:rsidP="0000227B">
      <w:pPr>
        <w:ind w:left="284" w:hanging="218"/>
        <w:rPr>
          <w:rFonts w:ascii="Arial" w:hAnsi="Arial" w:cs="Arial"/>
        </w:rPr>
      </w:pPr>
      <w:r w:rsidRPr="001A0249">
        <w:rPr>
          <w:rFonts w:ascii="Arial" w:hAnsi="Arial" w:cs="Arial"/>
          <w:b/>
          <w:noProof/>
          <w:lang w:val="en-US"/>
        </w:rPr>
        <w:drawing>
          <wp:anchor distT="0" distB="0" distL="114300" distR="114300" simplePos="0" relativeHeight="251693056" behindDoc="0" locked="0" layoutInCell="1" allowOverlap="1" wp14:anchorId="27E2750B" wp14:editId="1735A824">
            <wp:simplePos x="0" y="0"/>
            <wp:positionH relativeFrom="column">
              <wp:posOffset>2745740</wp:posOffset>
            </wp:positionH>
            <wp:positionV relativeFrom="paragraph">
              <wp:posOffset>129540</wp:posOffset>
            </wp:positionV>
            <wp:extent cx="3512185" cy="2378075"/>
            <wp:effectExtent l="0" t="0" r="0" b="3175"/>
            <wp:wrapSquare wrapText="bothSides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63AD">
        <w:rPr>
          <w:rFonts w:ascii="Arial" w:hAnsi="Arial" w:cs="Arial"/>
        </w:rPr>
        <w:pict w14:anchorId="0C294FAE">
          <v:rect id="_x0000_i1025" style="width:0;height:1.5pt" o:hralign="center" o:hrstd="t" o:hr="t" fillcolor="#a0a0a0" stroked="f"/>
        </w:pict>
      </w:r>
    </w:p>
    <w:p w14:paraId="0FDC257A" w14:textId="0461026F" w:rsidR="00932603" w:rsidRPr="00BD18F3" w:rsidRDefault="00932603" w:rsidP="0000227B">
      <w:pPr>
        <w:ind w:left="284" w:hanging="218"/>
        <w:rPr>
          <w:rFonts w:ascii="Arial" w:hAnsi="Arial" w:cs="Arial"/>
          <w:b/>
          <w:sz w:val="21"/>
          <w:szCs w:val="21"/>
        </w:rPr>
      </w:pPr>
      <w:r w:rsidRPr="00BD18F3">
        <w:rPr>
          <w:rFonts w:ascii="Arial" w:hAnsi="Arial" w:cs="Arial"/>
          <w:b/>
          <w:sz w:val="21"/>
          <w:szCs w:val="21"/>
        </w:rPr>
        <w:t>Resultados de la recaudación del 201</w:t>
      </w:r>
      <w:r w:rsidR="009073AC" w:rsidRPr="00BD18F3">
        <w:rPr>
          <w:rFonts w:ascii="Arial" w:hAnsi="Arial" w:cs="Arial"/>
          <w:b/>
          <w:sz w:val="21"/>
          <w:szCs w:val="21"/>
        </w:rPr>
        <w:t>9</w:t>
      </w:r>
    </w:p>
    <w:p w14:paraId="264E4EF9" w14:textId="68C08214" w:rsidR="00845BD7" w:rsidRPr="005B5A9D" w:rsidRDefault="008E4015" w:rsidP="0034063A">
      <w:pPr>
        <w:pStyle w:val="Prrafodelista"/>
        <w:numPr>
          <w:ilvl w:val="0"/>
          <w:numId w:val="11"/>
        </w:numPr>
        <w:spacing w:before="240" w:after="240"/>
        <w:ind w:left="284" w:hanging="218"/>
        <w:contextualSpacing w:val="0"/>
        <w:jc w:val="both"/>
        <w:rPr>
          <w:rFonts w:ascii="Arial" w:hAnsi="Arial" w:cs="Arial"/>
          <w:color w:val="0070C0"/>
          <w:kern w:val="24"/>
          <w:sz w:val="21"/>
          <w:szCs w:val="21"/>
        </w:rPr>
      </w:pPr>
      <w:r w:rsidRPr="00BD18F3">
        <w:rPr>
          <w:rFonts w:ascii="Arial" w:hAnsi="Arial" w:cs="Arial"/>
          <w:color w:val="0070C0"/>
          <w:kern w:val="24"/>
          <w:sz w:val="21"/>
          <w:szCs w:val="21"/>
        </w:rPr>
        <w:t xml:space="preserve">En </w:t>
      </w:r>
      <w:r w:rsidR="00C66E41">
        <w:rPr>
          <w:rFonts w:ascii="Arial" w:hAnsi="Arial" w:cs="Arial"/>
          <w:color w:val="0070C0"/>
          <w:kern w:val="24"/>
          <w:sz w:val="21"/>
          <w:szCs w:val="21"/>
        </w:rPr>
        <w:t xml:space="preserve">el </w:t>
      </w:r>
      <w:r w:rsidRPr="00BD18F3">
        <w:rPr>
          <w:rFonts w:ascii="Arial" w:hAnsi="Arial" w:cs="Arial"/>
          <w:color w:val="0070C0"/>
          <w:kern w:val="24"/>
          <w:sz w:val="21"/>
          <w:szCs w:val="21"/>
        </w:rPr>
        <w:t>201</w:t>
      </w:r>
      <w:r w:rsidR="009073AC" w:rsidRPr="00BD18F3">
        <w:rPr>
          <w:rFonts w:ascii="Arial" w:hAnsi="Arial" w:cs="Arial"/>
          <w:color w:val="0070C0"/>
          <w:kern w:val="24"/>
          <w:sz w:val="21"/>
          <w:szCs w:val="21"/>
        </w:rPr>
        <w:t>9</w:t>
      </w:r>
      <w:r w:rsidRPr="00BD18F3">
        <w:rPr>
          <w:rFonts w:ascii="Arial" w:hAnsi="Arial" w:cs="Arial"/>
          <w:color w:val="0070C0"/>
          <w:kern w:val="24"/>
          <w:sz w:val="21"/>
          <w:szCs w:val="21"/>
        </w:rPr>
        <w:t xml:space="preserve">, se recaudaron S/ </w:t>
      </w:r>
      <w:r w:rsidRPr="005B5A9D">
        <w:rPr>
          <w:rFonts w:ascii="Arial" w:hAnsi="Arial" w:cs="Arial"/>
          <w:color w:val="0070C0"/>
          <w:kern w:val="24"/>
          <w:sz w:val="21"/>
          <w:szCs w:val="21"/>
        </w:rPr>
        <w:t>1</w:t>
      </w:r>
      <w:r w:rsidR="009073AC" w:rsidRPr="005B5A9D">
        <w:rPr>
          <w:rFonts w:ascii="Arial" w:hAnsi="Arial" w:cs="Arial"/>
          <w:color w:val="0070C0"/>
          <w:kern w:val="24"/>
          <w:sz w:val="21"/>
          <w:szCs w:val="21"/>
        </w:rPr>
        <w:t>10</w:t>
      </w:r>
      <w:r w:rsidRPr="005B5A9D">
        <w:rPr>
          <w:rFonts w:ascii="Arial" w:hAnsi="Arial" w:cs="Arial"/>
          <w:color w:val="0070C0"/>
          <w:kern w:val="24"/>
          <w:sz w:val="21"/>
          <w:szCs w:val="21"/>
        </w:rPr>
        <w:t xml:space="preserve"> </w:t>
      </w:r>
      <w:r w:rsidR="009073AC" w:rsidRPr="005B5A9D">
        <w:rPr>
          <w:rFonts w:ascii="Arial" w:hAnsi="Arial" w:cs="Arial"/>
          <w:color w:val="0070C0"/>
          <w:kern w:val="24"/>
          <w:sz w:val="21"/>
          <w:szCs w:val="21"/>
        </w:rPr>
        <w:t>768</w:t>
      </w:r>
      <w:r w:rsidRPr="005B5A9D">
        <w:rPr>
          <w:rFonts w:ascii="Arial" w:hAnsi="Arial" w:cs="Arial"/>
          <w:color w:val="0070C0"/>
          <w:kern w:val="24"/>
          <w:sz w:val="21"/>
          <w:szCs w:val="21"/>
        </w:rPr>
        <w:t xml:space="preserve"> </w:t>
      </w:r>
      <w:r w:rsidRPr="00BD18F3">
        <w:rPr>
          <w:rFonts w:ascii="Arial" w:hAnsi="Arial" w:cs="Arial"/>
          <w:color w:val="0070C0"/>
          <w:kern w:val="24"/>
          <w:sz w:val="21"/>
          <w:szCs w:val="21"/>
        </w:rPr>
        <w:t>millones de ingresos tributarios del Gobierno Central (descontando las devoluciones de impuestos)</w:t>
      </w:r>
      <w:r w:rsidR="008066C8" w:rsidRPr="00BD18F3">
        <w:rPr>
          <w:rFonts w:ascii="Arial" w:hAnsi="Arial" w:cs="Arial"/>
          <w:color w:val="0070C0"/>
          <w:kern w:val="24"/>
          <w:sz w:val="21"/>
          <w:szCs w:val="21"/>
        </w:rPr>
        <w:t xml:space="preserve"> </w:t>
      </w:r>
      <w:r w:rsidR="008066C8" w:rsidRPr="005B5A9D">
        <w:rPr>
          <w:rFonts w:ascii="Arial" w:hAnsi="Arial" w:cs="Arial"/>
          <w:color w:val="0070C0"/>
          <w:kern w:val="24"/>
          <w:sz w:val="21"/>
          <w:szCs w:val="21"/>
        </w:rPr>
        <w:t xml:space="preserve">y superando en casi </w:t>
      </w:r>
      <w:r w:rsidR="00F33ED2" w:rsidRPr="005B5A9D">
        <w:rPr>
          <w:rFonts w:ascii="Arial" w:hAnsi="Arial" w:cs="Arial"/>
          <w:color w:val="0070C0"/>
          <w:kern w:val="24"/>
          <w:sz w:val="21"/>
          <w:szCs w:val="21"/>
        </w:rPr>
        <w:t xml:space="preserve">S/ </w:t>
      </w:r>
      <w:r w:rsidR="008066C8" w:rsidRPr="005B5A9D">
        <w:rPr>
          <w:rFonts w:ascii="Arial" w:hAnsi="Arial" w:cs="Arial"/>
          <w:color w:val="0070C0"/>
          <w:kern w:val="24"/>
          <w:sz w:val="21"/>
          <w:szCs w:val="21"/>
        </w:rPr>
        <w:t xml:space="preserve">300 millones </w:t>
      </w:r>
      <w:r w:rsidR="0010218D" w:rsidRPr="005B5A9D">
        <w:rPr>
          <w:rFonts w:ascii="Arial" w:hAnsi="Arial" w:cs="Arial"/>
          <w:color w:val="0070C0"/>
          <w:kern w:val="24"/>
          <w:sz w:val="21"/>
          <w:szCs w:val="21"/>
        </w:rPr>
        <w:t xml:space="preserve">la recaudación </w:t>
      </w:r>
      <w:r w:rsidR="008066C8" w:rsidRPr="005B5A9D">
        <w:rPr>
          <w:rFonts w:ascii="Arial" w:hAnsi="Arial" w:cs="Arial"/>
          <w:color w:val="0070C0"/>
          <w:kern w:val="24"/>
          <w:sz w:val="21"/>
          <w:szCs w:val="21"/>
        </w:rPr>
        <w:t>proyectad</w:t>
      </w:r>
      <w:r w:rsidR="0010218D" w:rsidRPr="005B5A9D">
        <w:rPr>
          <w:rFonts w:ascii="Arial" w:hAnsi="Arial" w:cs="Arial"/>
          <w:color w:val="0070C0"/>
          <w:kern w:val="24"/>
          <w:sz w:val="21"/>
          <w:szCs w:val="21"/>
        </w:rPr>
        <w:t>a</w:t>
      </w:r>
      <w:r w:rsidR="008066C8" w:rsidRPr="005B5A9D">
        <w:rPr>
          <w:rFonts w:ascii="Arial" w:hAnsi="Arial" w:cs="Arial"/>
          <w:color w:val="0070C0"/>
          <w:kern w:val="24"/>
          <w:sz w:val="21"/>
          <w:szCs w:val="21"/>
        </w:rPr>
        <w:t xml:space="preserve"> </w:t>
      </w:r>
      <w:r w:rsidR="00314245" w:rsidRPr="005B5A9D">
        <w:rPr>
          <w:rFonts w:ascii="Arial" w:hAnsi="Arial" w:cs="Arial"/>
          <w:color w:val="0070C0"/>
          <w:kern w:val="24"/>
          <w:sz w:val="21"/>
          <w:szCs w:val="21"/>
        </w:rPr>
        <w:t>de acuerdo a</w:t>
      </w:r>
      <w:r w:rsidR="008066C8" w:rsidRPr="005B5A9D">
        <w:rPr>
          <w:rFonts w:ascii="Arial" w:hAnsi="Arial" w:cs="Arial"/>
          <w:color w:val="0070C0"/>
          <w:kern w:val="24"/>
          <w:sz w:val="21"/>
          <w:szCs w:val="21"/>
        </w:rPr>
        <w:t>l Marco Macroeconómico Multianual (MMM)</w:t>
      </w:r>
      <w:r w:rsidR="0010218D" w:rsidRPr="005B5A9D">
        <w:rPr>
          <w:rFonts w:ascii="Arial" w:hAnsi="Arial" w:cs="Arial"/>
          <w:color w:val="0070C0"/>
          <w:kern w:val="24"/>
          <w:sz w:val="21"/>
          <w:szCs w:val="21"/>
        </w:rPr>
        <w:t xml:space="preserve"> publicado en agosto último.</w:t>
      </w:r>
      <w:r w:rsidR="00845BD7" w:rsidRPr="005B5A9D">
        <w:rPr>
          <w:rFonts w:ascii="Arial" w:hAnsi="Arial" w:cs="Arial"/>
          <w:color w:val="0070C0"/>
          <w:kern w:val="24"/>
          <w:sz w:val="21"/>
          <w:szCs w:val="21"/>
        </w:rPr>
        <w:t xml:space="preserve"> </w:t>
      </w:r>
    </w:p>
    <w:p w14:paraId="7C159E33" w14:textId="05A6DC21" w:rsidR="007D3C58" w:rsidRPr="00BD18F3" w:rsidRDefault="008E4015" w:rsidP="0034063A">
      <w:pPr>
        <w:pStyle w:val="Prrafodelista"/>
        <w:numPr>
          <w:ilvl w:val="0"/>
          <w:numId w:val="11"/>
        </w:numPr>
        <w:spacing w:before="240" w:after="240"/>
        <w:ind w:left="284" w:hanging="218"/>
        <w:contextualSpacing w:val="0"/>
        <w:jc w:val="both"/>
        <w:rPr>
          <w:rFonts w:ascii="Arial" w:hAnsi="Arial" w:cs="Arial"/>
          <w:color w:val="0070C0"/>
          <w:sz w:val="21"/>
          <w:szCs w:val="21"/>
        </w:rPr>
      </w:pPr>
      <w:r w:rsidRPr="00BD18F3">
        <w:rPr>
          <w:rFonts w:ascii="Arial" w:hAnsi="Arial" w:cs="Arial"/>
          <w:color w:val="0070C0"/>
          <w:kern w:val="24"/>
          <w:sz w:val="21"/>
          <w:szCs w:val="21"/>
        </w:rPr>
        <w:t xml:space="preserve">Dicho importe representa S/ </w:t>
      </w:r>
      <w:r w:rsidR="009073AC" w:rsidRPr="00BD18F3">
        <w:rPr>
          <w:rFonts w:ascii="Arial" w:hAnsi="Arial" w:cs="Arial"/>
          <w:bCs/>
          <w:color w:val="0070C0"/>
          <w:kern w:val="24"/>
          <w:sz w:val="21"/>
          <w:szCs w:val="21"/>
        </w:rPr>
        <w:t>6 178</w:t>
      </w:r>
      <w:r w:rsidRPr="00BD18F3">
        <w:rPr>
          <w:rFonts w:ascii="Arial" w:hAnsi="Arial" w:cs="Arial"/>
          <w:bCs/>
          <w:color w:val="0070C0"/>
          <w:kern w:val="24"/>
          <w:sz w:val="21"/>
          <w:szCs w:val="21"/>
        </w:rPr>
        <w:t xml:space="preserve"> </w:t>
      </w:r>
      <w:r w:rsidRPr="00BD18F3">
        <w:rPr>
          <w:rFonts w:ascii="Arial" w:hAnsi="Arial" w:cs="Arial"/>
          <w:color w:val="0070C0"/>
          <w:kern w:val="24"/>
          <w:sz w:val="21"/>
          <w:szCs w:val="21"/>
        </w:rPr>
        <w:t>millones más que e</w:t>
      </w:r>
      <w:r w:rsidR="007E1C68">
        <w:rPr>
          <w:rFonts w:ascii="Arial" w:hAnsi="Arial" w:cs="Arial"/>
          <w:color w:val="0070C0"/>
          <w:kern w:val="24"/>
          <w:sz w:val="21"/>
          <w:szCs w:val="21"/>
        </w:rPr>
        <w:t>l</w:t>
      </w:r>
      <w:r w:rsidRPr="00BD18F3">
        <w:rPr>
          <w:rFonts w:ascii="Arial" w:hAnsi="Arial" w:cs="Arial"/>
          <w:color w:val="0070C0"/>
          <w:kern w:val="24"/>
          <w:sz w:val="21"/>
          <w:szCs w:val="21"/>
        </w:rPr>
        <w:t xml:space="preserve"> 201</w:t>
      </w:r>
      <w:r w:rsidR="009073AC" w:rsidRPr="00BD18F3">
        <w:rPr>
          <w:rFonts w:ascii="Arial" w:hAnsi="Arial" w:cs="Arial"/>
          <w:color w:val="0070C0"/>
          <w:kern w:val="24"/>
          <w:sz w:val="21"/>
          <w:szCs w:val="21"/>
        </w:rPr>
        <w:t>8</w:t>
      </w:r>
      <w:r w:rsidR="0034063A" w:rsidRPr="00BD18F3">
        <w:rPr>
          <w:rFonts w:ascii="Arial" w:hAnsi="Arial" w:cs="Arial"/>
          <w:color w:val="0070C0"/>
          <w:kern w:val="24"/>
          <w:sz w:val="21"/>
          <w:szCs w:val="21"/>
        </w:rPr>
        <w:t xml:space="preserve"> y equivale a un crecimiento de </w:t>
      </w:r>
      <w:r w:rsidRPr="00BD18F3">
        <w:rPr>
          <w:rFonts w:ascii="Arial" w:hAnsi="Arial" w:cs="Arial"/>
          <w:bCs/>
          <w:color w:val="0070C0"/>
          <w:kern w:val="24"/>
          <w:sz w:val="21"/>
          <w:szCs w:val="21"/>
        </w:rPr>
        <w:t>3,</w:t>
      </w:r>
      <w:r w:rsidR="008C2926" w:rsidRPr="00BD18F3">
        <w:rPr>
          <w:rFonts w:ascii="Arial" w:hAnsi="Arial" w:cs="Arial"/>
          <w:bCs/>
          <w:color w:val="0070C0"/>
          <w:kern w:val="24"/>
          <w:sz w:val="21"/>
          <w:szCs w:val="21"/>
        </w:rPr>
        <w:t>7</w:t>
      </w:r>
      <w:r w:rsidRPr="00BD18F3">
        <w:rPr>
          <w:rFonts w:ascii="Arial" w:hAnsi="Arial" w:cs="Arial"/>
          <w:bCs/>
          <w:color w:val="0070C0"/>
          <w:kern w:val="24"/>
          <w:sz w:val="21"/>
          <w:szCs w:val="21"/>
        </w:rPr>
        <w:t>%</w:t>
      </w:r>
      <w:r w:rsidR="00D57CD9" w:rsidRPr="00BD18F3">
        <w:rPr>
          <w:rStyle w:val="Refdenotaalpie"/>
          <w:rFonts w:ascii="Arial" w:hAnsi="Arial" w:cs="Arial"/>
          <w:bCs/>
          <w:color w:val="0070C0"/>
          <w:kern w:val="24"/>
          <w:sz w:val="21"/>
          <w:szCs w:val="21"/>
        </w:rPr>
        <w:footnoteReference w:id="1"/>
      </w:r>
      <w:r w:rsidR="0034063A" w:rsidRPr="00BD18F3">
        <w:rPr>
          <w:rFonts w:ascii="Arial" w:hAnsi="Arial" w:cs="Arial"/>
          <w:bCs/>
          <w:color w:val="0070C0"/>
          <w:kern w:val="24"/>
          <w:sz w:val="21"/>
          <w:szCs w:val="21"/>
        </w:rPr>
        <w:t xml:space="preserve">. </w:t>
      </w:r>
    </w:p>
    <w:p w14:paraId="1C71DC1F" w14:textId="62962FE8" w:rsidR="008E4015" w:rsidRPr="00BD18F3" w:rsidRDefault="00E32235" w:rsidP="00C8715C">
      <w:pPr>
        <w:spacing w:before="240" w:after="240" w:line="240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BD18F3">
        <w:rPr>
          <w:rFonts w:ascii="Arial" w:hAnsi="Arial" w:cs="Arial"/>
          <w:noProof/>
          <w:sz w:val="21"/>
          <w:szCs w:val="21"/>
          <w:lang w:val="en-US"/>
        </w:rPr>
        <w:drawing>
          <wp:anchor distT="0" distB="0" distL="114300" distR="114300" simplePos="0" relativeHeight="251670528" behindDoc="0" locked="0" layoutInCell="1" allowOverlap="1" wp14:anchorId="5FBF62D7" wp14:editId="2A3CDA6C">
            <wp:simplePos x="0" y="0"/>
            <wp:positionH relativeFrom="column">
              <wp:posOffset>2861310</wp:posOffset>
            </wp:positionH>
            <wp:positionV relativeFrom="paragraph">
              <wp:posOffset>862965</wp:posOffset>
            </wp:positionV>
            <wp:extent cx="3364230" cy="2025015"/>
            <wp:effectExtent l="0" t="0" r="7620" b="6985"/>
            <wp:wrapSquare wrapText="bothSides"/>
            <wp:docPr id="17" name="Gráfico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063A" w:rsidRPr="00BD18F3">
        <w:rPr>
          <w:rFonts w:ascii="Arial" w:hAnsi="Arial" w:cs="Arial"/>
          <w:bCs/>
          <w:kern w:val="24"/>
          <w:sz w:val="21"/>
          <w:szCs w:val="21"/>
        </w:rPr>
        <w:t>Este re</w:t>
      </w:r>
      <w:r w:rsidR="0034063A" w:rsidRPr="00BD18F3">
        <w:rPr>
          <w:rFonts w:ascii="Arial" w:hAnsi="Arial" w:cs="Arial"/>
          <w:kern w:val="24"/>
          <w:sz w:val="21"/>
          <w:szCs w:val="21"/>
        </w:rPr>
        <w:t xml:space="preserve">sultado positivo </w:t>
      </w:r>
      <w:r w:rsidR="008E4015" w:rsidRPr="00BD18F3">
        <w:rPr>
          <w:rFonts w:ascii="Arial" w:hAnsi="Arial" w:cs="Arial"/>
          <w:kern w:val="24"/>
          <w:sz w:val="21"/>
          <w:szCs w:val="21"/>
        </w:rPr>
        <w:t xml:space="preserve">consolida la tendencia a </w:t>
      </w:r>
      <w:r w:rsidR="008E4015" w:rsidRPr="00BD18F3">
        <w:rPr>
          <w:rFonts w:ascii="Arial" w:hAnsi="Arial" w:cs="Arial"/>
          <w:noProof/>
          <w:sz w:val="21"/>
          <w:szCs w:val="21"/>
        </w:rPr>
        <w:t>la</w:t>
      </w:r>
      <w:r w:rsidR="008E4015" w:rsidRPr="00BD18F3">
        <w:rPr>
          <w:rFonts w:ascii="Arial" w:hAnsi="Arial" w:cs="Arial"/>
          <w:kern w:val="24"/>
          <w:sz w:val="21"/>
          <w:szCs w:val="21"/>
        </w:rPr>
        <w:t xml:space="preserve"> recuperación de la recaudación</w:t>
      </w:r>
      <w:r w:rsidR="00845BD7" w:rsidRPr="00BD18F3">
        <w:rPr>
          <w:rFonts w:ascii="Arial" w:hAnsi="Arial" w:cs="Arial"/>
          <w:kern w:val="24"/>
          <w:sz w:val="21"/>
          <w:szCs w:val="21"/>
        </w:rPr>
        <w:t xml:space="preserve"> </w:t>
      </w:r>
      <w:r w:rsidR="003C49D1" w:rsidRPr="00BD18F3">
        <w:rPr>
          <w:rFonts w:ascii="Arial" w:hAnsi="Arial" w:cs="Arial"/>
          <w:kern w:val="24"/>
          <w:sz w:val="21"/>
          <w:szCs w:val="21"/>
        </w:rPr>
        <w:t>tributaria</w:t>
      </w:r>
      <w:r w:rsidR="0034063A" w:rsidRPr="00BD18F3">
        <w:rPr>
          <w:rFonts w:ascii="Arial" w:hAnsi="Arial" w:cs="Arial"/>
          <w:kern w:val="24"/>
          <w:sz w:val="21"/>
          <w:szCs w:val="21"/>
        </w:rPr>
        <w:t>, luego de las contracciones experimentadas entre 2015 y 2017</w:t>
      </w:r>
      <w:r w:rsidR="008E4015" w:rsidRPr="00BD18F3">
        <w:rPr>
          <w:rFonts w:ascii="Arial" w:hAnsi="Arial" w:cs="Arial"/>
          <w:kern w:val="24"/>
          <w:sz w:val="21"/>
          <w:szCs w:val="21"/>
        </w:rPr>
        <w:t>.</w:t>
      </w:r>
      <w:r w:rsidR="008E4015" w:rsidRPr="00BD18F3">
        <w:rPr>
          <w:rFonts w:ascii="Arial" w:hAnsi="Arial" w:cs="Arial"/>
          <w:noProof/>
          <w:sz w:val="21"/>
          <w:szCs w:val="21"/>
        </w:rPr>
        <w:t xml:space="preserve"> </w:t>
      </w:r>
      <w:r w:rsidR="00845BD7" w:rsidRPr="00BD18F3">
        <w:rPr>
          <w:rFonts w:ascii="Arial" w:hAnsi="Arial" w:cs="Arial"/>
          <w:noProof/>
          <w:sz w:val="21"/>
          <w:szCs w:val="21"/>
        </w:rPr>
        <w:t xml:space="preserve"> </w:t>
      </w:r>
      <w:r w:rsidR="007D3C58" w:rsidRPr="00BD18F3">
        <w:rPr>
          <w:rFonts w:ascii="Arial" w:hAnsi="Arial" w:cs="Arial"/>
          <w:noProof/>
          <w:sz w:val="21"/>
          <w:szCs w:val="21"/>
        </w:rPr>
        <w:t xml:space="preserve">Asimismo, </w:t>
      </w:r>
      <w:r w:rsidR="00845BD7" w:rsidRPr="00BD18F3">
        <w:rPr>
          <w:rFonts w:ascii="Arial" w:hAnsi="Arial" w:cs="Arial"/>
          <w:noProof/>
          <w:sz w:val="21"/>
          <w:szCs w:val="21"/>
        </w:rPr>
        <w:t xml:space="preserve">el </w:t>
      </w:r>
      <w:r w:rsidR="007D3C58" w:rsidRPr="00BD18F3">
        <w:rPr>
          <w:rFonts w:ascii="Arial" w:hAnsi="Arial" w:cs="Arial"/>
          <w:noProof/>
          <w:sz w:val="21"/>
          <w:szCs w:val="21"/>
        </w:rPr>
        <w:t xml:space="preserve">incremento </w:t>
      </w:r>
      <w:r w:rsidR="00845BD7" w:rsidRPr="00BD18F3">
        <w:rPr>
          <w:rFonts w:ascii="Arial" w:hAnsi="Arial" w:cs="Arial"/>
          <w:noProof/>
          <w:sz w:val="21"/>
          <w:szCs w:val="21"/>
        </w:rPr>
        <w:t xml:space="preserve">de la recaudación reportado ha sido obtenido </w:t>
      </w:r>
      <w:r w:rsidR="002E4C59" w:rsidRPr="00BD18F3">
        <w:rPr>
          <w:rFonts w:ascii="Arial" w:hAnsi="Arial" w:cs="Arial"/>
          <w:noProof/>
          <w:sz w:val="21"/>
          <w:szCs w:val="21"/>
        </w:rPr>
        <w:t>aún cuando</w:t>
      </w:r>
      <w:r w:rsidR="00845BD7" w:rsidRPr="00BD18F3">
        <w:rPr>
          <w:rFonts w:ascii="Arial" w:hAnsi="Arial" w:cs="Arial"/>
          <w:noProof/>
          <w:sz w:val="21"/>
          <w:szCs w:val="21"/>
        </w:rPr>
        <w:t xml:space="preserve"> </w:t>
      </w:r>
      <w:r w:rsidR="0010432F" w:rsidRPr="00BD18F3">
        <w:rPr>
          <w:rFonts w:ascii="Arial" w:hAnsi="Arial" w:cs="Arial"/>
          <w:noProof/>
          <w:sz w:val="21"/>
          <w:szCs w:val="21"/>
        </w:rPr>
        <w:t xml:space="preserve">el crecimiento </w:t>
      </w:r>
      <w:r w:rsidR="007D3C58" w:rsidRPr="00BD18F3">
        <w:rPr>
          <w:rFonts w:ascii="Arial" w:hAnsi="Arial" w:cs="Arial"/>
          <w:noProof/>
          <w:sz w:val="21"/>
          <w:szCs w:val="21"/>
        </w:rPr>
        <w:t xml:space="preserve">anual </w:t>
      </w:r>
      <w:r w:rsidR="0010432F" w:rsidRPr="00BD18F3">
        <w:rPr>
          <w:rFonts w:ascii="Arial" w:hAnsi="Arial" w:cs="Arial"/>
          <w:noProof/>
          <w:sz w:val="21"/>
          <w:szCs w:val="21"/>
        </w:rPr>
        <w:t xml:space="preserve">del PBI </w:t>
      </w:r>
      <w:r w:rsidR="007D3C58" w:rsidRPr="00BD18F3">
        <w:rPr>
          <w:rFonts w:ascii="Arial" w:hAnsi="Arial" w:cs="Arial"/>
          <w:noProof/>
          <w:sz w:val="21"/>
          <w:szCs w:val="21"/>
        </w:rPr>
        <w:t xml:space="preserve">del año 2019 sería </w:t>
      </w:r>
      <w:r w:rsidR="003C49D1" w:rsidRPr="00BD18F3">
        <w:rPr>
          <w:rFonts w:ascii="Arial" w:hAnsi="Arial" w:cs="Arial"/>
          <w:noProof/>
          <w:sz w:val="21"/>
          <w:szCs w:val="21"/>
        </w:rPr>
        <w:t>inferior al inicialmente proyectado</w:t>
      </w:r>
      <w:r w:rsidR="0010432F" w:rsidRPr="00BD18F3">
        <w:rPr>
          <w:rFonts w:ascii="Arial" w:hAnsi="Arial" w:cs="Arial"/>
          <w:noProof/>
          <w:sz w:val="21"/>
          <w:szCs w:val="21"/>
        </w:rPr>
        <w:t>, lo cu</w:t>
      </w:r>
      <w:r w:rsidR="0095447D">
        <w:rPr>
          <w:rFonts w:ascii="Arial" w:hAnsi="Arial" w:cs="Arial"/>
          <w:noProof/>
          <w:sz w:val="21"/>
          <w:szCs w:val="21"/>
        </w:rPr>
        <w:t>a</w:t>
      </w:r>
      <w:r w:rsidR="0010432F" w:rsidRPr="00BD18F3">
        <w:rPr>
          <w:rFonts w:ascii="Arial" w:hAnsi="Arial" w:cs="Arial"/>
          <w:noProof/>
          <w:sz w:val="21"/>
          <w:szCs w:val="21"/>
        </w:rPr>
        <w:t>l refleja</w:t>
      </w:r>
      <w:r w:rsidR="007D3C58" w:rsidRPr="00BD18F3">
        <w:rPr>
          <w:rFonts w:ascii="Arial" w:hAnsi="Arial" w:cs="Arial"/>
          <w:noProof/>
          <w:sz w:val="21"/>
          <w:szCs w:val="21"/>
        </w:rPr>
        <w:t xml:space="preserve"> </w:t>
      </w:r>
      <w:r w:rsidR="00C8715C" w:rsidRPr="00BD18F3">
        <w:rPr>
          <w:rFonts w:ascii="Arial" w:hAnsi="Arial" w:cs="Arial"/>
          <w:noProof/>
          <w:sz w:val="21"/>
          <w:szCs w:val="21"/>
        </w:rPr>
        <w:t xml:space="preserve">la importacia de las </w:t>
      </w:r>
      <w:r w:rsidR="0010432F" w:rsidRPr="00BD18F3">
        <w:rPr>
          <w:rFonts w:ascii="Arial" w:hAnsi="Arial" w:cs="Arial"/>
          <w:noProof/>
          <w:sz w:val="21"/>
          <w:szCs w:val="21"/>
        </w:rPr>
        <w:t xml:space="preserve">acciones </w:t>
      </w:r>
      <w:r w:rsidR="003C49D1" w:rsidRPr="00BD18F3">
        <w:rPr>
          <w:rFonts w:ascii="Arial" w:hAnsi="Arial" w:cs="Arial"/>
          <w:noProof/>
          <w:sz w:val="21"/>
          <w:szCs w:val="21"/>
        </w:rPr>
        <w:t>orientadas a la mejora del cumplimiento</w:t>
      </w:r>
      <w:r w:rsidR="006F0E55" w:rsidRPr="00BD18F3">
        <w:rPr>
          <w:rFonts w:ascii="Arial" w:hAnsi="Arial" w:cs="Arial"/>
          <w:noProof/>
          <w:sz w:val="21"/>
          <w:szCs w:val="21"/>
        </w:rPr>
        <w:t xml:space="preserve"> </w:t>
      </w:r>
      <w:r w:rsidR="00C8715C" w:rsidRPr="00BD18F3">
        <w:rPr>
          <w:rFonts w:ascii="Arial" w:hAnsi="Arial" w:cs="Arial"/>
          <w:noProof/>
          <w:sz w:val="21"/>
          <w:szCs w:val="21"/>
        </w:rPr>
        <w:t xml:space="preserve">llevadas a cabo por </w:t>
      </w:r>
      <w:r w:rsidR="0010432F" w:rsidRPr="00BD18F3">
        <w:rPr>
          <w:rFonts w:ascii="Arial" w:hAnsi="Arial" w:cs="Arial"/>
          <w:noProof/>
          <w:sz w:val="21"/>
          <w:szCs w:val="21"/>
        </w:rPr>
        <w:t>la SUNAT</w:t>
      </w:r>
      <w:r w:rsidR="00C8715C" w:rsidRPr="00BD18F3">
        <w:rPr>
          <w:rFonts w:ascii="Arial" w:hAnsi="Arial" w:cs="Arial"/>
          <w:noProof/>
          <w:sz w:val="21"/>
          <w:szCs w:val="21"/>
        </w:rPr>
        <w:t xml:space="preserve"> durante</w:t>
      </w:r>
      <w:r w:rsidR="00845BD7" w:rsidRPr="00BD18F3">
        <w:rPr>
          <w:rFonts w:ascii="Arial" w:hAnsi="Arial" w:cs="Arial"/>
          <w:noProof/>
          <w:sz w:val="21"/>
          <w:szCs w:val="21"/>
        </w:rPr>
        <w:t xml:space="preserve"> el año</w:t>
      </w:r>
      <w:r w:rsidR="0010432F" w:rsidRPr="00BD18F3">
        <w:rPr>
          <w:rFonts w:ascii="Arial" w:hAnsi="Arial" w:cs="Arial"/>
          <w:noProof/>
          <w:sz w:val="21"/>
          <w:szCs w:val="21"/>
        </w:rPr>
        <w:t>.</w:t>
      </w:r>
      <w:r w:rsidR="00845BD7" w:rsidRPr="00BD18F3">
        <w:rPr>
          <w:rFonts w:ascii="Arial" w:hAnsi="Arial" w:cs="Arial"/>
          <w:noProof/>
          <w:sz w:val="21"/>
          <w:szCs w:val="21"/>
        </w:rPr>
        <w:t xml:space="preserve"> </w:t>
      </w:r>
    </w:p>
    <w:p w14:paraId="152D4176" w14:textId="0E0F46D4" w:rsidR="008E4015" w:rsidRPr="00BD18F3" w:rsidRDefault="007D3C58" w:rsidP="00155699">
      <w:pPr>
        <w:pStyle w:val="Prrafodelista"/>
        <w:numPr>
          <w:ilvl w:val="0"/>
          <w:numId w:val="11"/>
        </w:numPr>
        <w:spacing w:before="240" w:after="240"/>
        <w:ind w:left="284" w:hanging="218"/>
        <w:contextualSpacing w:val="0"/>
        <w:jc w:val="both"/>
        <w:rPr>
          <w:rFonts w:ascii="Arial" w:hAnsi="Arial" w:cs="Arial"/>
          <w:sz w:val="21"/>
          <w:szCs w:val="21"/>
        </w:rPr>
      </w:pPr>
      <w:r w:rsidRPr="00BD18F3">
        <w:rPr>
          <w:rFonts w:ascii="Arial" w:hAnsi="Arial" w:cs="Arial"/>
          <w:color w:val="0070C0"/>
          <w:kern w:val="24"/>
          <w:sz w:val="21"/>
          <w:szCs w:val="21"/>
          <w:lang w:val="es-ES"/>
        </w:rPr>
        <w:t>La</w:t>
      </w:r>
      <w:r w:rsidR="008E4015" w:rsidRPr="00BD18F3">
        <w:rPr>
          <w:rFonts w:ascii="Arial" w:hAnsi="Arial" w:cs="Arial"/>
          <w:color w:val="0070C0"/>
          <w:kern w:val="24"/>
          <w:sz w:val="21"/>
          <w:szCs w:val="21"/>
          <w:lang w:val="es-ES"/>
        </w:rPr>
        <w:t xml:space="preserve"> presión tributaria</w:t>
      </w:r>
      <w:r w:rsidRPr="00BD18F3">
        <w:rPr>
          <w:rFonts w:ascii="Arial" w:hAnsi="Arial" w:cs="Arial"/>
          <w:color w:val="0070C0"/>
          <w:kern w:val="24"/>
          <w:sz w:val="21"/>
          <w:szCs w:val="21"/>
          <w:lang w:val="es-ES"/>
        </w:rPr>
        <w:t xml:space="preserve"> del 2019 </w:t>
      </w:r>
      <w:r w:rsidR="005619F3" w:rsidRPr="00BD18F3">
        <w:rPr>
          <w:rFonts w:ascii="Arial" w:hAnsi="Arial" w:cs="Arial"/>
          <w:color w:val="0070C0"/>
          <w:kern w:val="24"/>
          <w:sz w:val="21"/>
          <w:szCs w:val="21"/>
          <w:lang w:val="es-ES"/>
        </w:rPr>
        <w:t>alcanzaría</w:t>
      </w:r>
      <w:r w:rsidR="008E4015" w:rsidRPr="00BD18F3">
        <w:rPr>
          <w:rFonts w:ascii="Arial" w:hAnsi="Arial" w:cs="Arial"/>
          <w:color w:val="0070C0"/>
          <w:kern w:val="24"/>
          <w:sz w:val="21"/>
          <w:szCs w:val="21"/>
          <w:lang w:val="es-ES"/>
        </w:rPr>
        <w:t xml:space="preserve"> </w:t>
      </w:r>
      <w:r w:rsidR="008E4015" w:rsidRPr="00BD18F3">
        <w:rPr>
          <w:rFonts w:ascii="Arial" w:hAnsi="Arial" w:cs="Arial"/>
          <w:bCs/>
          <w:color w:val="0070C0"/>
          <w:kern w:val="24"/>
          <w:sz w:val="21"/>
          <w:szCs w:val="21"/>
          <w:lang w:val="es-ES"/>
        </w:rPr>
        <w:t>14,</w:t>
      </w:r>
      <w:r w:rsidR="0010432F" w:rsidRPr="00BD18F3">
        <w:rPr>
          <w:rFonts w:ascii="Arial" w:hAnsi="Arial" w:cs="Arial"/>
          <w:bCs/>
          <w:color w:val="0070C0"/>
          <w:kern w:val="24"/>
          <w:sz w:val="21"/>
          <w:szCs w:val="21"/>
          <w:lang w:val="es-ES"/>
        </w:rPr>
        <w:t>4</w:t>
      </w:r>
      <w:r w:rsidR="008E4015" w:rsidRPr="00BD18F3">
        <w:rPr>
          <w:rFonts w:ascii="Arial" w:hAnsi="Arial" w:cs="Arial"/>
          <w:bCs/>
          <w:color w:val="0070C0"/>
          <w:kern w:val="24"/>
          <w:sz w:val="21"/>
          <w:szCs w:val="21"/>
          <w:lang w:val="es-ES"/>
        </w:rPr>
        <w:t>%</w:t>
      </w:r>
      <w:r w:rsidR="0000227B" w:rsidRPr="00BD18F3">
        <w:rPr>
          <w:rStyle w:val="Refdenotaalpie"/>
          <w:rFonts w:ascii="Arial" w:hAnsi="Arial" w:cs="Arial"/>
          <w:bCs/>
          <w:color w:val="0070C0"/>
          <w:kern w:val="24"/>
          <w:sz w:val="21"/>
          <w:szCs w:val="21"/>
          <w:lang w:val="es-ES"/>
        </w:rPr>
        <w:footnoteReference w:id="2"/>
      </w:r>
      <w:r w:rsidR="00155699" w:rsidRPr="00BD18F3">
        <w:rPr>
          <w:rFonts w:ascii="Arial" w:hAnsi="Arial" w:cs="Arial"/>
          <w:bCs/>
          <w:color w:val="0070C0"/>
          <w:kern w:val="24"/>
          <w:sz w:val="21"/>
          <w:szCs w:val="21"/>
          <w:lang w:val="es-ES"/>
        </w:rPr>
        <w:t xml:space="preserve">. </w:t>
      </w:r>
      <w:r w:rsidR="00155699" w:rsidRPr="00BD18F3">
        <w:rPr>
          <w:rFonts w:ascii="Arial" w:hAnsi="Arial" w:cs="Arial"/>
          <w:bCs/>
          <w:kern w:val="24"/>
          <w:sz w:val="21"/>
          <w:szCs w:val="21"/>
          <w:lang w:val="es-ES"/>
        </w:rPr>
        <w:t>Dicho</w:t>
      </w:r>
      <w:r w:rsidR="00C8715C" w:rsidRPr="00BD18F3">
        <w:rPr>
          <w:rFonts w:ascii="Arial" w:hAnsi="Arial" w:cs="Arial"/>
          <w:bCs/>
          <w:kern w:val="24"/>
          <w:sz w:val="21"/>
          <w:szCs w:val="21"/>
          <w:lang w:val="es-ES"/>
        </w:rPr>
        <w:t xml:space="preserve"> </w:t>
      </w:r>
      <w:r w:rsidR="003531BB" w:rsidRPr="00BD18F3">
        <w:rPr>
          <w:rFonts w:ascii="Arial" w:hAnsi="Arial" w:cs="Arial"/>
          <w:kern w:val="24"/>
          <w:sz w:val="21"/>
          <w:szCs w:val="21"/>
          <w:lang w:val="es-ES"/>
        </w:rPr>
        <w:t>nivel</w:t>
      </w:r>
      <w:r w:rsidR="00F14A2E">
        <w:rPr>
          <w:rFonts w:ascii="Arial" w:hAnsi="Arial" w:cs="Arial"/>
          <w:kern w:val="24"/>
          <w:sz w:val="21"/>
          <w:szCs w:val="21"/>
          <w:lang w:val="es-ES"/>
        </w:rPr>
        <w:t xml:space="preserve"> </w:t>
      </w:r>
      <w:r w:rsidR="00155699" w:rsidRPr="00BD18F3">
        <w:rPr>
          <w:rFonts w:ascii="Arial" w:hAnsi="Arial" w:cs="Arial"/>
          <w:sz w:val="21"/>
          <w:szCs w:val="21"/>
        </w:rPr>
        <w:t>representa</w:t>
      </w:r>
      <w:r w:rsidR="008E4015" w:rsidRPr="00BD18F3">
        <w:rPr>
          <w:rFonts w:ascii="Arial" w:hAnsi="Arial" w:cs="Arial"/>
          <w:kern w:val="24"/>
          <w:sz w:val="21"/>
          <w:szCs w:val="21"/>
          <w:lang w:val="es-ES"/>
        </w:rPr>
        <w:t xml:space="preserve"> un </w:t>
      </w:r>
      <w:r w:rsidR="0010432F" w:rsidRPr="00BD18F3">
        <w:rPr>
          <w:rFonts w:ascii="Arial" w:hAnsi="Arial" w:cs="Arial"/>
          <w:kern w:val="24"/>
          <w:sz w:val="21"/>
          <w:szCs w:val="21"/>
          <w:lang w:val="es-ES"/>
        </w:rPr>
        <w:t xml:space="preserve">incremento </w:t>
      </w:r>
      <w:r w:rsidR="008E4015" w:rsidRPr="00BD18F3">
        <w:rPr>
          <w:rFonts w:ascii="Arial" w:hAnsi="Arial" w:cs="Arial"/>
          <w:kern w:val="24"/>
          <w:sz w:val="21"/>
          <w:szCs w:val="21"/>
          <w:lang w:val="es-ES"/>
        </w:rPr>
        <w:t xml:space="preserve">de </w:t>
      </w:r>
      <w:r w:rsidR="0010432F" w:rsidRPr="00BD18F3">
        <w:rPr>
          <w:rFonts w:ascii="Arial" w:hAnsi="Arial" w:cs="Arial"/>
          <w:bCs/>
          <w:kern w:val="24"/>
          <w:sz w:val="21"/>
          <w:szCs w:val="21"/>
          <w:lang w:val="es-ES"/>
        </w:rPr>
        <w:t>0</w:t>
      </w:r>
      <w:r w:rsidR="008E4015" w:rsidRPr="00BD18F3">
        <w:rPr>
          <w:rFonts w:ascii="Arial" w:hAnsi="Arial" w:cs="Arial"/>
          <w:bCs/>
          <w:kern w:val="24"/>
          <w:sz w:val="21"/>
          <w:szCs w:val="21"/>
          <w:lang w:val="es-ES"/>
        </w:rPr>
        <w:t>,</w:t>
      </w:r>
      <w:r w:rsidR="0010432F" w:rsidRPr="00BD18F3">
        <w:rPr>
          <w:rFonts w:ascii="Arial" w:hAnsi="Arial" w:cs="Arial"/>
          <w:bCs/>
          <w:kern w:val="24"/>
          <w:sz w:val="21"/>
          <w:szCs w:val="21"/>
          <w:lang w:val="es-ES"/>
        </w:rPr>
        <w:t>3</w:t>
      </w:r>
      <w:r w:rsidR="008E4015" w:rsidRPr="00BD18F3">
        <w:rPr>
          <w:rFonts w:ascii="Arial" w:hAnsi="Arial" w:cs="Arial"/>
          <w:bCs/>
          <w:kern w:val="24"/>
          <w:sz w:val="21"/>
          <w:szCs w:val="21"/>
          <w:lang w:val="es-ES"/>
        </w:rPr>
        <w:t xml:space="preserve"> pp.</w:t>
      </w:r>
      <w:r w:rsidR="008E4015" w:rsidRPr="00BD18F3">
        <w:rPr>
          <w:rFonts w:ascii="Arial" w:hAnsi="Arial" w:cs="Arial"/>
          <w:kern w:val="24"/>
          <w:sz w:val="21"/>
          <w:szCs w:val="21"/>
          <w:lang w:val="es-ES"/>
        </w:rPr>
        <w:t xml:space="preserve"> </w:t>
      </w:r>
      <w:r w:rsidR="008E4015" w:rsidRPr="00BD18F3">
        <w:rPr>
          <w:rFonts w:ascii="Arial" w:hAnsi="Arial" w:cs="Arial"/>
          <w:kern w:val="24"/>
          <w:sz w:val="21"/>
          <w:szCs w:val="21"/>
        </w:rPr>
        <w:t>respecto</w:t>
      </w:r>
      <w:r w:rsidR="008E4015" w:rsidRPr="00BD18F3">
        <w:rPr>
          <w:rFonts w:ascii="Arial" w:hAnsi="Arial" w:cs="Arial"/>
          <w:kern w:val="24"/>
          <w:sz w:val="21"/>
          <w:szCs w:val="21"/>
          <w:lang w:val="es-ES"/>
        </w:rPr>
        <w:t xml:space="preserve"> </w:t>
      </w:r>
      <w:r w:rsidR="00155699" w:rsidRPr="00BD18F3">
        <w:rPr>
          <w:rFonts w:ascii="Arial" w:hAnsi="Arial" w:cs="Arial"/>
          <w:kern w:val="24"/>
          <w:sz w:val="21"/>
          <w:szCs w:val="21"/>
          <w:lang w:val="es-ES"/>
        </w:rPr>
        <w:t>de</w:t>
      </w:r>
      <w:r w:rsidR="008E4015" w:rsidRPr="00BD18F3">
        <w:rPr>
          <w:rFonts w:ascii="Arial" w:hAnsi="Arial" w:cs="Arial"/>
          <w:kern w:val="24"/>
          <w:sz w:val="21"/>
          <w:szCs w:val="21"/>
          <w:lang w:val="es-ES"/>
        </w:rPr>
        <w:t xml:space="preserve"> la </w:t>
      </w:r>
      <w:r w:rsidR="003531BB" w:rsidRPr="00BD18F3">
        <w:rPr>
          <w:rFonts w:ascii="Arial" w:hAnsi="Arial" w:cs="Arial"/>
          <w:kern w:val="24"/>
          <w:sz w:val="21"/>
          <w:szCs w:val="21"/>
          <w:lang w:val="es-ES"/>
        </w:rPr>
        <w:t xml:space="preserve">presión </w:t>
      </w:r>
      <w:r w:rsidR="008E4015" w:rsidRPr="00BD18F3">
        <w:rPr>
          <w:rFonts w:ascii="Arial" w:hAnsi="Arial" w:cs="Arial"/>
          <w:kern w:val="24"/>
          <w:sz w:val="21"/>
          <w:szCs w:val="21"/>
          <w:lang w:val="es-ES"/>
        </w:rPr>
        <w:t>registrada</w:t>
      </w:r>
      <w:r w:rsidR="0027242C" w:rsidRPr="00BD18F3">
        <w:rPr>
          <w:rFonts w:ascii="Arial" w:hAnsi="Arial" w:cs="Arial"/>
          <w:kern w:val="24"/>
          <w:sz w:val="21"/>
          <w:szCs w:val="21"/>
          <w:lang w:val="es-ES"/>
        </w:rPr>
        <w:t xml:space="preserve"> </w:t>
      </w:r>
      <w:r w:rsidR="008E4015" w:rsidRPr="00BD18F3">
        <w:rPr>
          <w:rFonts w:ascii="Arial" w:hAnsi="Arial" w:cs="Arial"/>
          <w:kern w:val="24"/>
          <w:sz w:val="21"/>
          <w:szCs w:val="21"/>
          <w:lang w:val="es-ES"/>
        </w:rPr>
        <w:t>el 201</w:t>
      </w:r>
      <w:r w:rsidR="0010432F" w:rsidRPr="00BD18F3">
        <w:rPr>
          <w:rFonts w:ascii="Arial" w:hAnsi="Arial" w:cs="Arial"/>
          <w:kern w:val="24"/>
          <w:sz w:val="21"/>
          <w:szCs w:val="21"/>
          <w:lang w:val="es-ES"/>
        </w:rPr>
        <w:t>8</w:t>
      </w:r>
      <w:r w:rsidR="008E4015" w:rsidRPr="00BD18F3">
        <w:rPr>
          <w:rFonts w:ascii="Arial" w:hAnsi="Arial" w:cs="Arial"/>
          <w:kern w:val="24"/>
          <w:sz w:val="21"/>
          <w:szCs w:val="21"/>
          <w:lang w:val="es-ES"/>
        </w:rPr>
        <w:t xml:space="preserve">, </w:t>
      </w:r>
      <w:r w:rsidR="0010432F" w:rsidRPr="00BD18F3">
        <w:rPr>
          <w:rFonts w:ascii="Arial" w:hAnsi="Arial" w:cs="Arial"/>
          <w:kern w:val="24"/>
          <w:sz w:val="21"/>
          <w:szCs w:val="21"/>
          <w:lang w:val="es-ES"/>
        </w:rPr>
        <w:t xml:space="preserve">manteniéndose la tendencia de recuperación </w:t>
      </w:r>
      <w:r w:rsidR="005619F3" w:rsidRPr="00BD18F3">
        <w:rPr>
          <w:rFonts w:ascii="Arial" w:hAnsi="Arial" w:cs="Arial"/>
          <w:kern w:val="24"/>
          <w:sz w:val="21"/>
          <w:szCs w:val="21"/>
          <w:lang w:val="es-ES"/>
        </w:rPr>
        <w:t xml:space="preserve">observada </w:t>
      </w:r>
      <w:r w:rsidR="007E1C68">
        <w:rPr>
          <w:rFonts w:ascii="Arial" w:hAnsi="Arial" w:cs="Arial"/>
          <w:kern w:val="24"/>
          <w:sz w:val="21"/>
          <w:szCs w:val="21"/>
          <w:lang w:val="es-ES"/>
        </w:rPr>
        <w:t>ese año.</w:t>
      </w:r>
    </w:p>
    <w:p w14:paraId="7E7DE3DB" w14:textId="66BB662C" w:rsidR="002F0C2F" w:rsidRPr="00BD18F3" w:rsidRDefault="002F0C2F" w:rsidP="0034063A">
      <w:pPr>
        <w:spacing w:before="240" w:after="240" w:line="240" w:lineRule="auto"/>
        <w:rPr>
          <w:rFonts w:ascii="Arial" w:hAnsi="Arial" w:cs="Arial"/>
          <w:sz w:val="21"/>
          <w:szCs w:val="21"/>
        </w:rPr>
      </w:pPr>
    </w:p>
    <w:p w14:paraId="3E4B88BE" w14:textId="72C9A3EE" w:rsidR="00155699" w:rsidRPr="00BD18F3" w:rsidRDefault="00155699" w:rsidP="0034063A">
      <w:pPr>
        <w:spacing w:before="240" w:after="240" w:line="240" w:lineRule="auto"/>
        <w:rPr>
          <w:rFonts w:ascii="Arial" w:hAnsi="Arial" w:cs="Arial"/>
          <w:sz w:val="21"/>
          <w:szCs w:val="21"/>
        </w:rPr>
      </w:pPr>
    </w:p>
    <w:p w14:paraId="3CA2E988" w14:textId="50E5DADA" w:rsidR="00155699" w:rsidRPr="00BD18F3" w:rsidRDefault="00155699" w:rsidP="0034063A">
      <w:pPr>
        <w:spacing w:before="240" w:after="240" w:line="240" w:lineRule="auto"/>
        <w:rPr>
          <w:rFonts w:ascii="Arial" w:hAnsi="Arial" w:cs="Arial"/>
          <w:sz w:val="21"/>
          <w:szCs w:val="21"/>
        </w:rPr>
      </w:pPr>
    </w:p>
    <w:p w14:paraId="3E9B5580" w14:textId="7151DA09" w:rsidR="003531BB" w:rsidRPr="00BD18F3" w:rsidRDefault="00155699" w:rsidP="003A63C4">
      <w:pPr>
        <w:spacing w:before="240" w:after="240" w:line="240" w:lineRule="auto"/>
        <w:ind w:left="284" w:hanging="218"/>
        <w:rPr>
          <w:rFonts w:ascii="Arial" w:hAnsi="Arial" w:cs="Arial"/>
          <w:b/>
          <w:sz w:val="21"/>
          <w:szCs w:val="21"/>
        </w:rPr>
      </w:pPr>
      <w:r w:rsidRPr="00BD18F3">
        <w:rPr>
          <w:rFonts w:ascii="Arial" w:hAnsi="Arial" w:cs="Arial"/>
          <w:b/>
          <w:noProof/>
          <w:sz w:val="21"/>
          <w:szCs w:val="21"/>
          <w:lang w:val="en-US"/>
        </w:rPr>
        <w:lastRenderedPageBreak/>
        <w:drawing>
          <wp:anchor distT="0" distB="0" distL="114300" distR="114300" simplePos="0" relativeHeight="251694080" behindDoc="0" locked="0" layoutInCell="1" allowOverlap="1" wp14:anchorId="423B4E82" wp14:editId="4A0FC43C">
            <wp:simplePos x="0" y="0"/>
            <wp:positionH relativeFrom="margin">
              <wp:posOffset>2635885</wp:posOffset>
            </wp:positionH>
            <wp:positionV relativeFrom="paragraph">
              <wp:posOffset>0</wp:posOffset>
            </wp:positionV>
            <wp:extent cx="3740150" cy="2268220"/>
            <wp:effectExtent l="0" t="0" r="0" b="0"/>
            <wp:wrapSquare wrapText="bothSides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0C2F" w:rsidRPr="00BD18F3">
        <w:rPr>
          <w:rFonts w:ascii="Arial" w:hAnsi="Arial" w:cs="Arial"/>
          <w:b/>
          <w:sz w:val="21"/>
          <w:szCs w:val="21"/>
        </w:rPr>
        <w:t>Principales resultados por tributos</w:t>
      </w:r>
    </w:p>
    <w:p w14:paraId="682BE823" w14:textId="5542038A" w:rsidR="00D57CD9" w:rsidRPr="00BD18F3" w:rsidRDefault="00D57CD9" w:rsidP="00822B07">
      <w:pPr>
        <w:pStyle w:val="Prrafodelista"/>
        <w:numPr>
          <w:ilvl w:val="0"/>
          <w:numId w:val="11"/>
        </w:numPr>
        <w:spacing w:before="240" w:after="240"/>
        <w:ind w:left="284" w:hanging="218"/>
        <w:contextualSpacing w:val="0"/>
        <w:jc w:val="both"/>
        <w:rPr>
          <w:rFonts w:ascii="Arial" w:hAnsi="Arial" w:cs="Arial"/>
          <w:kern w:val="24"/>
          <w:sz w:val="21"/>
          <w:szCs w:val="21"/>
        </w:rPr>
      </w:pPr>
      <w:r w:rsidRPr="00BD18F3">
        <w:rPr>
          <w:rFonts w:ascii="Arial" w:hAnsi="Arial" w:cs="Arial"/>
          <w:color w:val="0070C0"/>
          <w:kern w:val="24"/>
          <w:sz w:val="21"/>
          <w:szCs w:val="21"/>
        </w:rPr>
        <w:t>En</w:t>
      </w:r>
      <w:r w:rsidR="002F0C2F" w:rsidRPr="00BD18F3">
        <w:rPr>
          <w:rFonts w:ascii="Arial" w:hAnsi="Arial" w:cs="Arial"/>
          <w:color w:val="0070C0"/>
          <w:kern w:val="24"/>
          <w:sz w:val="21"/>
          <w:szCs w:val="21"/>
        </w:rPr>
        <w:t xml:space="preserve"> lo que respecta al </w:t>
      </w:r>
      <w:r w:rsidR="005619F3" w:rsidRPr="00BD18F3">
        <w:rPr>
          <w:rFonts w:ascii="Arial" w:hAnsi="Arial" w:cs="Arial"/>
          <w:color w:val="0070C0"/>
          <w:kern w:val="24"/>
          <w:sz w:val="21"/>
          <w:szCs w:val="21"/>
        </w:rPr>
        <w:t>Im</w:t>
      </w:r>
      <w:r w:rsidR="002F0C2F" w:rsidRPr="00BD18F3">
        <w:rPr>
          <w:rFonts w:ascii="Arial" w:hAnsi="Arial" w:cs="Arial"/>
          <w:color w:val="0070C0"/>
          <w:kern w:val="24"/>
          <w:sz w:val="21"/>
          <w:szCs w:val="21"/>
        </w:rPr>
        <w:t xml:space="preserve">puesto a la </w:t>
      </w:r>
      <w:r w:rsidR="005619F3" w:rsidRPr="00BD18F3">
        <w:rPr>
          <w:rFonts w:ascii="Arial" w:hAnsi="Arial" w:cs="Arial"/>
          <w:color w:val="0070C0"/>
          <w:kern w:val="24"/>
          <w:sz w:val="21"/>
          <w:szCs w:val="21"/>
        </w:rPr>
        <w:t>R</w:t>
      </w:r>
      <w:r w:rsidR="002F0C2F" w:rsidRPr="00BD18F3">
        <w:rPr>
          <w:rFonts w:ascii="Arial" w:hAnsi="Arial" w:cs="Arial"/>
          <w:color w:val="0070C0"/>
          <w:kern w:val="24"/>
          <w:sz w:val="21"/>
          <w:szCs w:val="21"/>
        </w:rPr>
        <w:t xml:space="preserve">enta, </w:t>
      </w:r>
      <w:r w:rsidRPr="00BD18F3">
        <w:rPr>
          <w:rFonts w:ascii="Arial" w:hAnsi="Arial" w:cs="Arial"/>
          <w:color w:val="0070C0"/>
          <w:kern w:val="24"/>
          <w:sz w:val="21"/>
          <w:szCs w:val="21"/>
        </w:rPr>
        <w:t xml:space="preserve">se </w:t>
      </w:r>
      <w:r w:rsidRPr="00BD18F3">
        <w:rPr>
          <w:rFonts w:ascii="Arial" w:hAnsi="Arial" w:cs="Arial"/>
          <w:color w:val="0070C0"/>
          <w:kern w:val="24"/>
          <w:sz w:val="21"/>
          <w:szCs w:val="21"/>
          <w:lang w:val="es-ES"/>
        </w:rPr>
        <w:t>recaudaron</w:t>
      </w:r>
      <w:r w:rsidRPr="00BD18F3">
        <w:rPr>
          <w:rFonts w:ascii="Arial" w:hAnsi="Arial" w:cs="Arial"/>
          <w:color w:val="0070C0"/>
          <w:kern w:val="24"/>
          <w:sz w:val="21"/>
          <w:szCs w:val="21"/>
        </w:rPr>
        <w:t xml:space="preserve"> S/ </w:t>
      </w:r>
      <w:r w:rsidRPr="00BD18F3">
        <w:rPr>
          <w:rFonts w:ascii="Arial" w:hAnsi="Arial" w:cs="Arial"/>
          <w:bCs/>
          <w:color w:val="0070C0"/>
          <w:kern w:val="24"/>
          <w:sz w:val="21"/>
          <w:szCs w:val="21"/>
        </w:rPr>
        <w:t>4</w:t>
      </w:r>
      <w:r w:rsidR="001F1FDF" w:rsidRPr="00BD18F3">
        <w:rPr>
          <w:rFonts w:ascii="Arial" w:hAnsi="Arial" w:cs="Arial"/>
          <w:bCs/>
          <w:color w:val="0070C0"/>
          <w:kern w:val="24"/>
          <w:sz w:val="21"/>
          <w:szCs w:val="21"/>
        </w:rPr>
        <w:t>4</w:t>
      </w:r>
      <w:r w:rsidRPr="00BD18F3">
        <w:rPr>
          <w:rFonts w:ascii="Arial" w:hAnsi="Arial" w:cs="Arial"/>
          <w:bCs/>
          <w:color w:val="0070C0"/>
          <w:kern w:val="24"/>
          <w:sz w:val="21"/>
          <w:szCs w:val="21"/>
        </w:rPr>
        <w:t xml:space="preserve"> </w:t>
      </w:r>
      <w:r w:rsidR="001F1FDF" w:rsidRPr="00BD18F3">
        <w:rPr>
          <w:rFonts w:ascii="Arial" w:hAnsi="Arial" w:cs="Arial"/>
          <w:bCs/>
          <w:color w:val="0070C0"/>
          <w:kern w:val="24"/>
          <w:sz w:val="21"/>
          <w:szCs w:val="21"/>
        </w:rPr>
        <w:t>015</w:t>
      </w:r>
      <w:r w:rsidRPr="00BD18F3">
        <w:rPr>
          <w:rFonts w:ascii="Arial" w:hAnsi="Arial" w:cs="Arial"/>
          <w:bCs/>
          <w:color w:val="0070C0"/>
          <w:kern w:val="24"/>
          <w:sz w:val="21"/>
          <w:szCs w:val="21"/>
        </w:rPr>
        <w:t xml:space="preserve"> </w:t>
      </w:r>
      <w:r w:rsidRPr="00BD18F3">
        <w:rPr>
          <w:rFonts w:ascii="Arial" w:hAnsi="Arial" w:cs="Arial"/>
          <w:color w:val="0070C0"/>
          <w:kern w:val="24"/>
          <w:sz w:val="21"/>
          <w:szCs w:val="21"/>
        </w:rPr>
        <w:t>m</w:t>
      </w:r>
      <w:r w:rsidR="00F05C72" w:rsidRPr="00BD18F3">
        <w:rPr>
          <w:rFonts w:ascii="Arial" w:hAnsi="Arial" w:cs="Arial"/>
          <w:color w:val="0070C0"/>
          <w:kern w:val="24"/>
          <w:sz w:val="21"/>
          <w:szCs w:val="21"/>
        </w:rPr>
        <w:t>illones</w:t>
      </w:r>
      <w:r w:rsidR="004F68EF" w:rsidRPr="00BD18F3">
        <w:rPr>
          <w:rFonts w:ascii="Arial" w:hAnsi="Arial" w:cs="Arial"/>
          <w:color w:val="0070C0"/>
          <w:kern w:val="24"/>
          <w:sz w:val="21"/>
          <w:szCs w:val="21"/>
        </w:rPr>
        <w:t xml:space="preserve"> durante el 2019</w:t>
      </w:r>
      <w:r w:rsidR="00F05C72" w:rsidRPr="00BD18F3">
        <w:rPr>
          <w:rFonts w:ascii="Arial" w:hAnsi="Arial" w:cs="Arial"/>
          <w:color w:val="0070C0"/>
          <w:kern w:val="24"/>
          <w:sz w:val="21"/>
          <w:szCs w:val="21"/>
        </w:rPr>
        <w:t xml:space="preserve">, </w:t>
      </w:r>
      <w:r w:rsidR="005619F3" w:rsidRPr="00BD18F3">
        <w:rPr>
          <w:rFonts w:ascii="Arial" w:hAnsi="Arial" w:cs="Arial"/>
          <w:color w:val="0070C0"/>
          <w:kern w:val="24"/>
          <w:sz w:val="21"/>
          <w:szCs w:val="21"/>
        </w:rPr>
        <w:t>importe</w:t>
      </w:r>
      <w:r w:rsidR="0099594D" w:rsidRPr="00BD18F3">
        <w:rPr>
          <w:rFonts w:ascii="Arial" w:hAnsi="Arial" w:cs="Arial"/>
          <w:color w:val="0070C0"/>
          <w:kern w:val="24"/>
          <w:sz w:val="21"/>
          <w:szCs w:val="21"/>
          <w:lang w:val="es-ES"/>
        </w:rPr>
        <w:t xml:space="preserve"> </w:t>
      </w:r>
      <w:r w:rsidR="00F05C72" w:rsidRPr="00BD18F3">
        <w:rPr>
          <w:rFonts w:ascii="Arial" w:hAnsi="Arial" w:cs="Arial"/>
          <w:color w:val="0070C0"/>
          <w:kern w:val="24"/>
          <w:sz w:val="21"/>
          <w:szCs w:val="21"/>
          <w:lang w:val="es-ES"/>
        </w:rPr>
        <w:t xml:space="preserve">que </w:t>
      </w:r>
      <w:r w:rsidRPr="00BD18F3">
        <w:rPr>
          <w:rFonts w:ascii="Arial" w:hAnsi="Arial" w:cs="Arial"/>
          <w:color w:val="0070C0"/>
          <w:kern w:val="24"/>
          <w:sz w:val="21"/>
          <w:szCs w:val="21"/>
          <w:lang w:val="es-ES"/>
        </w:rPr>
        <w:t xml:space="preserve">significó un </w:t>
      </w:r>
      <w:r w:rsidR="00907642" w:rsidRPr="00BD18F3">
        <w:rPr>
          <w:rFonts w:ascii="Arial" w:hAnsi="Arial" w:cs="Arial"/>
          <w:color w:val="0070C0"/>
          <w:kern w:val="24"/>
          <w:sz w:val="21"/>
          <w:szCs w:val="21"/>
          <w:lang w:val="es-ES"/>
        </w:rPr>
        <w:t>increment</w:t>
      </w:r>
      <w:r w:rsidR="005619F3" w:rsidRPr="00BD18F3">
        <w:rPr>
          <w:rFonts w:ascii="Arial" w:hAnsi="Arial" w:cs="Arial"/>
          <w:color w:val="0070C0"/>
          <w:kern w:val="24"/>
          <w:sz w:val="21"/>
          <w:szCs w:val="21"/>
          <w:lang w:val="es-ES"/>
        </w:rPr>
        <w:t>o</w:t>
      </w:r>
      <w:r w:rsidR="00907642" w:rsidRPr="00BD18F3">
        <w:rPr>
          <w:rFonts w:ascii="Arial" w:hAnsi="Arial" w:cs="Arial"/>
          <w:color w:val="0070C0"/>
          <w:kern w:val="24"/>
          <w:sz w:val="21"/>
          <w:szCs w:val="21"/>
          <w:lang w:val="es-ES"/>
        </w:rPr>
        <w:t xml:space="preserve"> </w:t>
      </w:r>
      <w:r w:rsidRPr="00BD18F3">
        <w:rPr>
          <w:rFonts w:ascii="Arial" w:hAnsi="Arial" w:cs="Arial"/>
          <w:color w:val="0070C0"/>
          <w:kern w:val="24"/>
          <w:sz w:val="21"/>
          <w:szCs w:val="21"/>
          <w:lang w:val="es-ES"/>
        </w:rPr>
        <w:t xml:space="preserve">de </w:t>
      </w:r>
      <w:r w:rsidR="001F1FDF" w:rsidRPr="00BD18F3">
        <w:rPr>
          <w:rFonts w:ascii="Arial" w:hAnsi="Arial" w:cs="Arial"/>
          <w:bCs/>
          <w:color w:val="0070C0"/>
          <w:kern w:val="24"/>
          <w:sz w:val="21"/>
          <w:szCs w:val="21"/>
          <w:lang w:val="es-ES"/>
        </w:rPr>
        <w:t>3</w:t>
      </w:r>
      <w:r w:rsidRPr="00BD18F3">
        <w:rPr>
          <w:rFonts w:ascii="Arial" w:hAnsi="Arial" w:cs="Arial"/>
          <w:bCs/>
          <w:color w:val="0070C0"/>
          <w:kern w:val="24"/>
          <w:sz w:val="21"/>
          <w:szCs w:val="21"/>
          <w:lang w:val="es-ES"/>
        </w:rPr>
        <w:t>,</w:t>
      </w:r>
      <w:r w:rsidR="001F1FDF" w:rsidRPr="00BD18F3">
        <w:rPr>
          <w:rFonts w:ascii="Arial" w:hAnsi="Arial" w:cs="Arial"/>
          <w:bCs/>
          <w:color w:val="0070C0"/>
          <w:kern w:val="24"/>
          <w:sz w:val="21"/>
          <w:szCs w:val="21"/>
          <w:lang w:val="es-ES"/>
        </w:rPr>
        <w:t>5</w:t>
      </w:r>
      <w:r w:rsidRPr="00BD18F3">
        <w:rPr>
          <w:rFonts w:ascii="Arial" w:hAnsi="Arial" w:cs="Arial"/>
          <w:bCs/>
          <w:color w:val="0070C0"/>
          <w:kern w:val="24"/>
          <w:sz w:val="21"/>
          <w:szCs w:val="21"/>
          <w:lang w:val="es-ES"/>
        </w:rPr>
        <w:t>%</w:t>
      </w:r>
      <w:r w:rsidR="00F05C72" w:rsidRPr="00BD18F3">
        <w:rPr>
          <w:rFonts w:ascii="Arial" w:hAnsi="Arial" w:cs="Arial"/>
          <w:bCs/>
          <w:color w:val="0070C0"/>
          <w:kern w:val="24"/>
          <w:sz w:val="21"/>
          <w:szCs w:val="21"/>
          <w:lang w:val="es-ES"/>
        </w:rPr>
        <w:t xml:space="preserve"> </w:t>
      </w:r>
      <w:r w:rsidR="00F05C72" w:rsidRPr="00BD18F3">
        <w:rPr>
          <w:rFonts w:ascii="Arial" w:hAnsi="Arial" w:cs="Arial"/>
          <w:bCs/>
          <w:kern w:val="24"/>
          <w:sz w:val="21"/>
          <w:szCs w:val="21"/>
          <w:lang w:val="es-ES"/>
        </w:rPr>
        <w:t xml:space="preserve">y </w:t>
      </w:r>
      <w:r w:rsidRPr="00BD18F3">
        <w:rPr>
          <w:rFonts w:ascii="Arial" w:hAnsi="Arial" w:cs="Arial"/>
          <w:bCs/>
          <w:kern w:val="24"/>
          <w:sz w:val="21"/>
          <w:szCs w:val="21"/>
          <w:lang w:val="es-ES"/>
        </w:rPr>
        <w:t xml:space="preserve">S/ </w:t>
      </w:r>
      <w:r w:rsidR="001F1FDF" w:rsidRPr="00BD18F3">
        <w:rPr>
          <w:rFonts w:ascii="Arial" w:hAnsi="Arial" w:cs="Arial"/>
          <w:bCs/>
          <w:kern w:val="24"/>
          <w:sz w:val="21"/>
          <w:szCs w:val="21"/>
          <w:lang w:val="es-ES"/>
        </w:rPr>
        <w:t>2 417</w:t>
      </w:r>
      <w:r w:rsidRPr="00BD18F3">
        <w:rPr>
          <w:rFonts w:ascii="Arial" w:hAnsi="Arial" w:cs="Arial"/>
          <w:bCs/>
          <w:kern w:val="24"/>
          <w:sz w:val="21"/>
          <w:szCs w:val="21"/>
          <w:lang w:val="es-ES"/>
        </w:rPr>
        <w:t xml:space="preserve"> </w:t>
      </w:r>
      <w:r w:rsidRPr="00BD18F3">
        <w:rPr>
          <w:rFonts w:ascii="Arial" w:hAnsi="Arial" w:cs="Arial"/>
          <w:kern w:val="24"/>
          <w:sz w:val="21"/>
          <w:szCs w:val="21"/>
          <w:lang w:val="es-ES"/>
        </w:rPr>
        <w:t xml:space="preserve">millones </w:t>
      </w:r>
      <w:r w:rsidR="00F05C72" w:rsidRPr="00BD18F3">
        <w:rPr>
          <w:rFonts w:ascii="Arial" w:hAnsi="Arial" w:cs="Arial"/>
          <w:kern w:val="24"/>
          <w:sz w:val="21"/>
          <w:szCs w:val="21"/>
          <w:lang w:val="es-ES"/>
        </w:rPr>
        <w:t>de recaudación adicional con</w:t>
      </w:r>
      <w:r w:rsidRPr="00BD18F3">
        <w:rPr>
          <w:rFonts w:ascii="Arial" w:hAnsi="Arial" w:cs="Arial"/>
          <w:kern w:val="24"/>
          <w:sz w:val="21"/>
          <w:szCs w:val="21"/>
          <w:lang w:val="es-ES"/>
        </w:rPr>
        <w:t xml:space="preserve"> respecto al año </w:t>
      </w:r>
      <w:r w:rsidR="00907642" w:rsidRPr="00BD18F3">
        <w:rPr>
          <w:rFonts w:ascii="Arial" w:hAnsi="Arial" w:cs="Arial"/>
          <w:kern w:val="24"/>
          <w:sz w:val="21"/>
          <w:szCs w:val="21"/>
          <w:lang w:val="es-ES"/>
        </w:rPr>
        <w:t>previo</w:t>
      </w:r>
      <w:r w:rsidRPr="00BD18F3">
        <w:rPr>
          <w:rFonts w:ascii="Arial" w:hAnsi="Arial" w:cs="Arial"/>
          <w:kern w:val="24"/>
          <w:sz w:val="21"/>
          <w:szCs w:val="21"/>
          <w:lang w:val="es-ES"/>
        </w:rPr>
        <w:t>.</w:t>
      </w:r>
    </w:p>
    <w:p w14:paraId="72165EEE" w14:textId="7AD4EB73" w:rsidR="00D57CD9" w:rsidRPr="00BD18F3" w:rsidRDefault="00BD18F3" w:rsidP="00822B07">
      <w:pPr>
        <w:spacing w:before="240" w:after="240"/>
        <w:ind w:left="284"/>
        <w:jc w:val="both"/>
        <w:rPr>
          <w:rFonts w:ascii="Arial" w:hAnsi="Arial" w:cs="Arial"/>
          <w:kern w:val="24"/>
          <w:sz w:val="21"/>
          <w:szCs w:val="21"/>
          <w:lang w:val="es-ES"/>
        </w:rPr>
      </w:pPr>
      <w:r w:rsidRPr="00BD18F3">
        <w:rPr>
          <w:rFonts w:ascii="Arial" w:eastAsia="Times New Roman" w:hAnsi="Arial" w:cs="Arial"/>
          <w:noProof/>
          <w:sz w:val="21"/>
          <w:szCs w:val="21"/>
          <w:lang w:val="en-US"/>
        </w:rPr>
        <w:drawing>
          <wp:anchor distT="0" distB="0" distL="114300" distR="114300" simplePos="0" relativeHeight="251696128" behindDoc="0" locked="0" layoutInCell="1" allowOverlap="1" wp14:anchorId="51D90484" wp14:editId="2316E1A4">
            <wp:simplePos x="0" y="0"/>
            <wp:positionH relativeFrom="column">
              <wp:posOffset>2642235</wp:posOffset>
            </wp:positionH>
            <wp:positionV relativeFrom="paragraph">
              <wp:posOffset>1454785</wp:posOffset>
            </wp:positionV>
            <wp:extent cx="3604260" cy="2545080"/>
            <wp:effectExtent l="0" t="0" r="0" b="7620"/>
            <wp:wrapSquare wrapText="bothSides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1293">
        <w:rPr>
          <w:rFonts w:ascii="Arial" w:hAnsi="Arial" w:cs="Arial"/>
          <w:kern w:val="24"/>
          <w:sz w:val="21"/>
          <w:szCs w:val="21"/>
          <w:lang w:val="es-ES"/>
        </w:rPr>
        <w:t>Ese incremento se debe a</w:t>
      </w:r>
      <w:r w:rsidR="001F1FDF" w:rsidRPr="00BD18F3">
        <w:rPr>
          <w:rFonts w:ascii="Arial" w:hAnsi="Arial" w:cs="Arial"/>
          <w:kern w:val="24"/>
          <w:sz w:val="21"/>
          <w:szCs w:val="21"/>
          <w:lang w:val="es-ES"/>
        </w:rPr>
        <w:t xml:space="preserve"> los mayores pagos en </w:t>
      </w:r>
      <w:r w:rsidR="005619F3" w:rsidRPr="00BD18F3">
        <w:rPr>
          <w:rFonts w:ascii="Arial" w:hAnsi="Arial" w:cs="Arial"/>
          <w:kern w:val="24"/>
          <w:sz w:val="21"/>
          <w:szCs w:val="21"/>
          <w:lang w:val="es-ES"/>
        </w:rPr>
        <w:t>la</w:t>
      </w:r>
      <w:r w:rsidR="00907642" w:rsidRPr="00BD18F3">
        <w:rPr>
          <w:rFonts w:ascii="Arial" w:hAnsi="Arial" w:cs="Arial"/>
          <w:kern w:val="24"/>
          <w:sz w:val="21"/>
          <w:szCs w:val="21"/>
          <w:lang w:val="es-ES"/>
        </w:rPr>
        <w:t xml:space="preserve"> </w:t>
      </w:r>
      <w:r w:rsidR="001F1FDF" w:rsidRPr="00BD18F3">
        <w:rPr>
          <w:rFonts w:ascii="Arial" w:hAnsi="Arial" w:cs="Arial"/>
          <w:kern w:val="24"/>
          <w:sz w:val="21"/>
          <w:szCs w:val="21"/>
          <w:lang w:val="es-ES"/>
        </w:rPr>
        <w:t>Segunda Categoría (33,2</w:t>
      </w:r>
      <w:r w:rsidR="00F33ED2">
        <w:rPr>
          <w:rFonts w:ascii="Arial" w:hAnsi="Arial" w:cs="Arial"/>
          <w:kern w:val="24"/>
          <w:sz w:val="21"/>
          <w:szCs w:val="21"/>
          <w:lang w:val="es-ES"/>
        </w:rPr>
        <w:t>%</w:t>
      </w:r>
      <w:r w:rsidR="001F1FDF" w:rsidRPr="00BD18F3">
        <w:rPr>
          <w:rFonts w:ascii="Arial" w:hAnsi="Arial" w:cs="Arial"/>
          <w:kern w:val="24"/>
          <w:sz w:val="21"/>
          <w:szCs w:val="21"/>
          <w:lang w:val="es-ES"/>
        </w:rPr>
        <w:t>), No Domiciliados (13,7</w:t>
      </w:r>
      <w:r w:rsidR="00F33ED2">
        <w:rPr>
          <w:rFonts w:ascii="Arial" w:hAnsi="Arial" w:cs="Arial"/>
          <w:kern w:val="24"/>
          <w:sz w:val="21"/>
          <w:szCs w:val="21"/>
          <w:lang w:val="es-ES"/>
        </w:rPr>
        <w:t>%</w:t>
      </w:r>
      <w:r w:rsidR="001F1FDF" w:rsidRPr="00BD18F3">
        <w:rPr>
          <w:rFonts w:ascii="Arial" w:hAnsi="Arial" w:cs="Arial"/>
          <w:kern w:val="24"/>
          <w:sz w:val="21"/>
          <w:szCs w:val="21"/>
          <w:lang w:val="es-ES"/>
        </w:rPr>
        <w:t>) y Quinta Categoría (</w:t>
      </w:r>
      <w:r w:rsidR="004F68EF" w:rsidRPr="00BD18F3">
        <w:rPr>
          <w:rFonts w:ascii="Arial" w:hAnsi="Arial" w:cs="Arial"/>
          <w:kern w:val="24"/>
          <w:sz w:val="21"/>
          <w:szCs w:val="21"/>
          <w:lang w:val="es-ES"/>
        </w:rPr>
        <w:t>4</w:t>
      </w:r>
      <w:r w:rsidR="001F1FDF" w:rsidRPr="00BD18F3">
        <w:rPr>
          <w:rFonts w:ascii="Arial" w:hAnsi="Arial" w:cs="Arial"/>
          <w:kern w:val="24"/>
          <w:sz w:val="21"/>
          <w:szCs w:val="21"/>
          <w:lang w:val="es-ES"/>
        </w:rPr>
        <w:t>,3</w:t>
      </w:r>
      <w:r w:rsidR="00F33ED2">
        <w:rPr>
          <w:rFonts w:ascii="Arial" w:hAnsi="Arial" w:cs="Arial"/>
          <w:kern w:val="24"/>
          <w:sz w:val="21"/>
          <w:szCs w:val="21"/>
          <w:lang w:val="es-ES"/>
        </w:rPr>
        <w:t>%</w:t>
      </w:r>
      <w:r w:rsidR="001F1FDF" w:rsidRPr="00BD18F3">
        <w:rPr>
          <w:rFonts w:ascii="Arial" w:hAnsi="Arial" w:cs="Arial"/>
          <w:kern w:val="24"/>
          <w:sz w:val="21"/>
          <w:szCs w:val="21"/>
          <w:lang w:val="es-ES"/>
        </w:rPr>
        <w:t>)</w:t>
      </w:r>
      <w:r w:rsidR="00AC01C8" w:rsidRPr="00BD18F3">
        <w:rPr>
          <w:rFonts w:ascii="Arial" w:hAnsi="Arial" w:cs="Arial"/>
          <w:kern w:val="24"/>
          <w:sz w:val="21"/>
          <w:szCs w:val="21"/>
          <w:lang w:val="es-ES"/>
        </w:rPr>
        <w:t>;</w:t>
      </w:r>
      <w:r w:rsidR="001F1FDF" w:rsidRPr="00BD18F3">
        <w:rPr>
          <w:rFonts w:ascii="Arial" w:hAnsi="Arial" w:cs="Arial"/>
          <w:kern w:val="24"/>
          <w:sz w:val="21"/>
          <w:szCs w:val="21"/>
          <w:lang w:val="es-ES"/>
        </w:rPr>
        <w:t xml:space="preserve"> </w:t>
      </w:r>
      <w:r w:rsidR="00B033C0" w:rsidRPr="00BD18F3">
        <w:rPr>
          <w:rFonts w:ascii="Arial" w:hAnsi="Arial" w:cs="Arial"/>
          <w:kern w:val="24"/>
          <w:sz w:val="21"/>
          <w:szCs w:val="21"/>
          <w:lang w:val="es-ES"/>
        </w:rPr>
        <w:t>rubros</w:t>
      </w:r>
      <w:r w:rsidR="001F1FDF" w:rsidRPr="00BD18F3">
        <w:rPr>
          <w:rFonts w:ascii="Arial" w:hAnsi="Arial" w:cs="Arial"/>
          <w:kern w:val="24"/>
          <w:sz w:val="21"/>
          <w:szCs w:val="21"/>
          <w:lang w:val="es-ES"/>
        </w:rPr>
        <w:t xml:space="preserve"> </w:t>
      </w:r>
      <w:r w:rsidR="00907642" w:rsidRPr="00BD18F3">
        <w:rPr>
          <w:rFonts w:ascii="Arial" w:hAnsi="Arial" w:cs="Arial"/>
          <w:kern w:val="24"/>
          <w:sz w:val="21"/>
          <w:szCs w:val="21"/>
          <w:lang w:val="es-ES"/>
        </w:rPr>
        <w:t>en los que se registraron</w:t>
      </w:r>
      <w:r w:rsidR="001F1FDF" w:rsidRPr="00BD18F3">
        <w:rPr>
          <w:rFonts w:ascii="Arial" w:hAnsi="Arial" w:cs="Arial"/>
          <w:kern w:val="24"/>
          <w:sz w:val="21"/>
          <w:szCs w:val="21"/>
          <w:lang w:val="es-ES"/>
        </w:rPr>
        <w:t xml:space="preserve"> importantes pagos extraordinarios </w:t>
      </w:r>
      <w:r w:rsidR="00907642" w:rsidRPr="00BD18F3">
        <w:rPr>
          <w:rFonts w:ascii="Arial" w:hAnsi="Arial" w:cs="Arial"/>
          <w:kern w:val="24"/>
          <w:sz w:val="21"/>
          <w:szCs w:val="21"/>
          <w:lang w:val="es-ES"/>
        </w:rPr>
        <w:t xml:space="preserve">a lo largo del año, </w:t>
      </w:r>
      <w:r w:rsidR="001F1FDF" w:rsidRPr="00BD18F3">
        <w:rPr>
          <w:rFonts w:ascii="Arial" w:hAnsi="Arial" w:cs="Arial"/>
          <w:kern w:val="24"/>
          <w:sz w:val="21"/>
          <w:szCs w:val="21"/>
          <w:lang w:val="es-ES"/>
        </w:rPr>
        <w:t xml:space="preserve">producto de </w:t>
      </w:r>
      <w:r w:rsidR="00907642" w:rsidRPr="00BD18F3">
        <w:rPr>
          <w:rFonts w:ascii="Arial" w:hAnsi="Arial" w:cs="Arial"/>
          <w:kern w:val="24"/>
          <w:sz w:val="21"/>
          <w:szCs w:val="21"/>
          <w:lang w:val="es-ES"/>
        </w:rPr>
        <w:t xml:space="preserve">las </w:t>
      </w:r>
      <w:r w:rsidR="001F1FDF" w:rsidRPr="00BD18F3">
        <w:rPr>
          <w:rFonts w:ascii="Arial" w:hAnsi="Arial" w:cs="Arial"/>
          <w:kern w:val="24"/>
          <w:sz w:val="21"/>
          <w:szCs w:val="21"/>
          <w:lang w:val="es-ES"/>
        </w:rPr>
        <w:t xml:space="preserve">acciones de </w:t>
      </w:r>
      <w:r w:rsidR="00822B07" w:rsidRPr="00BD18F3">
        <w:rPr>
          <w:rFonts w:ascii="Arial" w:hAnsi="Arial" w:cs="Arial"/>
          <w:kern w:val="24"/>
          <w:sz w:val="21"/>
          <w:szCs w:val="21"/>
          <w:lang w:val="es-ES"/>
        </w:rPr>
        <w:t>SUNAT</w:t>
      </w:r>
      <w:r w:rsidR="001F1FDF" w:rsidRPr="00BD18F3">
        <w:rPr>
          <w:rFonts w:ascii="Arial" w:hAnsi="Arial" w:cs="Arial"/>
          <w:kern w:val="24"/>
          <w:sz w:val="21"/>
          <w:szCs w:val="21"/>
          <w:lang w:val="es-ES"/>
        </w:rPr>
        <w:t xml:space="preserve"> y</w:t>
      </w:r>
      <w:r w:rsidR="00907642" w:rsidRPr="00BD18F3">
        <w:rPr>
          <w:rFonts w:ascii="Arial" w:hAnsi="Arial" w:cs="Arial"/>
          <w:kern w:val="24"/>
          <w:sz w:val="21"/>
          <w:szCs w:val="21"/>
          <w:lang w:val="es-ES"/>
        </w:rPr>
        <w:t xml:space="preserve"> de</w:t>
      </w:r>
      <w:r w:rsidR="001F1FDF" w:rsidRPr="00BD18F3">
        <w:rPr>
          <w:rFonts w:ascii="Arial" w:hAnsi="Arial" w:cs="Arial"/>
          <w:kern w:val="24"/>
          <w:sz w:val="21"/>
          <w:szCs w:val="21"/>
          <w:lang w:val="es-ES"/>
        </w:rPr>
        <w:t xml:space="preserve"> </w:t>
      </w:r>
      <w:r w:rsidR="00907642" w:rsidRPr="00BD18F3">
        <w:rPr>
          <w:rFonts w:ascii="Arial" w:hAnsi="Arial" w:cs="Arial"/>
          <w:kern w:val="24"/>
          <w:sz w:val="21"/>
          <w:szCs w:val="21"/>
          <w:lang w:val="es-ES"/>
        </w:rPr>
        <w:t xml:space="preserve">la </w:t>
      </w:r>
      <w:r w:rsidR="001F1FDF" w:rsidRPr="00BD18F3">
        <w:rPr>
          <w:rFonts w:ascii="Arial" w:hAnsi="Arial" w:cs="Arial"/>
          <w:kern w:val="24"/>
          <w:sz w:val="21"/>
          <w:szCs w:val="21"/>
          <w:lang w:val="es-ES"/>
        </w:rPr>
        <w:t>venta de activos</w:t>
      </w:r>
      <w:r w:rsidR="00B033C0" w:rsidRPr="00BD18F3">
        <w:rPr>
          <w:rFonts w:ascii="Arial" w:hAnsi="Arial" w:cs="Arial"/>
          <w:kern w:val="24"/>
          <w:sz w:val="21"/>
          <w:szCs w:val="21"/>
          <w:lang w:val="es-ES"/>
        </w:rPr>
        <w:t xml:space="preserve"> por montos significativos</w:t>
      </w:r>
      <w:r w:rsidR="00907642" w:rsidRPr="00BD18F3">
        <w:rPr>
          <w:rFonts w:ascii="Arial" w:hAnsi="Arial" w:cs="Arial"/>
          <w:kern w:val="24"/>
          <w:sz w:val="21"/>
          <w:szCs w:val="21"/>
          <w:lang w:val="es-ES"/>
        </w:rPr>
        <w:t xml:space="preserve"> por parte de los contribuyentes</w:t>
      </w:r>
      <w:r w:rsidR="001F1FDF" w:rsidRPr="00BD18F3">
        <w:rPr>
          <w:rFonts w:ascii="Arial" w:hAnsi="Arial" w:cs="Arial"/>
          <w:kern w:val="24"/>
          <w:sz w:val="21"/>
          <w:szCs w:val="21"/>
          <w:lang w:val="es-ES"/>
        </w:rPr>
        <w:t xml:space="preserve">. </w:t>
      </w:r>
    </w:p>
    <w:p w14:paraId="216CD35D" w14:textId="58DBF77E" w:rsidR="009C54F2" w:rsidRPr="00BD18F3" w:rsidRDefault="00D57CD9" w:rsidP="001A0249">
      <w:pPr>
        <w:pStyle w:val="Prrafodelista"/>
        <w:numPr>
          <w:ilvl w:val="0"/>
          <w:numId w:val="11"/>
        </w:numPr>
        <w:spacing w:before="240" w:after="240"/>
        <w:ind w:left="284" w:hanging="218"/>
        <w:contextualSpacing w:val="0"/>
        <w:jc w:val="both"/>
        <w:rPr>
          <w:rFonts w:ascii="Arial" w:hAnsi="Arial" w:cs="Arial"/>
          <w:kern w:val="24"/>
          <w:sz w:val="21"/>
          <w:szCs w:val="21"/>
        </w:rPr>
      </w:pPr>
      <w:r w:rsidRPr="00BD18F3">
        <w:rPr>
          <w:rFonts w:ascii="Arial" w:hAnsi="Arial" w:cs="Arial"/>
          <w:kern w:val="24"/>
          <w:sz w:val="21"/>
          <w:szCs w:val="21"/>
        </w:rPr>
        <w:t>En</w:t>
      </w:r>
      <w:r w:rsidR="00F2628F" w:rsidRPr="00BD18F3">
        <w:rPr>
          <w:rFonts w:ascii="Arial" w:hAnsi="Arial" w:cs="Arial"/>
          <w:kern w:val="24"/>
          <w:sz w:val="21"/>
          <w:szCs w:val="21"/>
        </w:rPr>
        <w:t xml:space="preserve"> </w:t>
      </w:r>
      <w:r w:rsidR="001A0249" w:rsidRPr="00BD18F3">
        <w:rPr>
          <w:rFonts w:ascii="Arial" w:hAnsi="Arial" w:cs="Arial"/>
          <w:kern w:val="24"/>
          <w:sz w:val="21"/>
          <w:szCs w:val="21"/>
        </w:rPr>
        <w:t>cuanto</w:t>
      </w:r>
      <w:r w:rsidR="00F2628F" w:rsidRPr="00BD18F3">
        <w:rPr>
          <w:rFonts w:ascii="Arial" w:hAnsi="Arial" w:cs="Arial"/>
          <w:kern w:val="24"/>
          <w:sz w:val="21"/>
          <w:szCs w:val="21"/>
        </w:rPr>
        <w:t xml:space="preserve"> a los pagos a cuenta del Régimen General (RG) y el Régimen Mype Tributario</w:t>
      </w:r>
      <w:r w:rsidR="0079330A" w:rsidRPr="00BD18F3">
        <w:rPr>
          <w:rFonts w:ascii="Arial" w:hAnsi="Arial" w:cs="Arial"/>
          <w:kern w:val="24"/>
          <w:sz w:val="21"/>
          <w:szCs w:val="21"/>
        </w:rPr>
        <w:t xml:space="preserve"> del Impuesto a la Renta de la Tercera Categoría</w:t>
      </w:r>
      <w:r w:rsidR="00F2628F" w:rsidRPr="00BD18F3">
        <w:rPr>
          <w:rFonts w:ascii="Arial" w:hAnsi="Arial" w:cs="Arial"/>
          <w:kern w:val="24"/>
          <w:sz w:val="21"/>
          <w:szCs w:val="21"/>
        </w:rPr>
        <w:t xml:space="preserve">, en el </w:t>
      </w:r>
      <w:r w:rsidR="00C14E68" w:rsidRPr="00BD18F3">
        <w:rPr>
          <w:rFonts w:ascii="Arial" w:hAnsi="Arial" w:cs="Arial"/>
          <w:kern w:val="24"/>
          <w:sz w:val="21"/>
          <w:szCs w:val="21"/>
        </w:rPr>
        <w:t>año 2019</w:t>
      </w:r>
      <w:r w:rsidRPr="00BD18F3">
        <w:rPr>
          <w:rFonts w:ascii="Arial" w:hAnsi="Arial" w:cs="Arial"/>
          <w:kern w:val="24"/>
          <w:sz w:val="21"/>
          <w:szCs w:val="21"/>
        </w:rPr>
        <w:t xml:space="preserve"> se recaudaron S/ </w:t>
      </w:r>
      <w:r w:rsidR="009C54F2" w:rsidRPr="00BD18F3">
        <w:rPr>
          <w:rFonts w:ascii="Arial" w:hAnsi="Arial" w:cs="Arial"/>
          <w:kern w:val="24"/>
          <w:sz w:val="21"/>
          <w:szCs w:val="21"/>
        </w:rPr>
        <w:t>19 088</w:t>
      </w:r>
      <w:r w:rsidR="00F2628F" w:rsidRPr="00BD18F3">
        <w:rPr>
          <w:rFonts w:ascii="Arial" w:hAnsi="Arial" w:cs="Arial"/>
          <w:kern w:val="24"/>
          <w:sz w:val="21"/>
          <w:szCs w:val="21"/>
        </w:rPr>
        <w:t xml:space="preserve"> millones, </w:t>
      </w:r>
      <w:r w:rsidR="00AB49F5" w:rsidRPr="00BD18F3">
        <w:rPr>
          <w:rFonts w:ascii="Arial" w:hAnsi="Arial" w:cs="Arial"/>
          <w:kern w:val="24"/>
          <w:sz w:val="21"/>
          <w:szCs w:val="21"/>
        </w:rPr>
        <w:t>lo que permitió obtener un</w:t>
      </w:r>
      <w:r w:rsidR="009C54F2" w:rsidRPr="00BD18F3">
        <w:rPr>
          <w:rFonts w:ascii="Arial" w:hAnsi="Arial" w:cs="Arial"/>
          <w:kern w:val="24"/>
          <w:sz w:val="21"/>
          <w:szCs w:val="21"/>
        </w:rPr>
        <w:t xml:space="preserve"> crecimiento de 0</w:t>
      </w:r>
      <w:r w:rsidR="00426E1B" w:rsidRPr="00BD18F3">
        <w:rPr>
          <w:rFonts w:ascii="Arial" w:hAnsi="Arial" w:cs="Arial"/>
          <w:kern w:val="24"/>
          <w:sz w:val="21"/>
          <w:szCs w:val="21"/>
        </w:rPr>
        <w:t>,</w:t>
      </w:r>
      <w:r w:rsidR="009C54F2" w:rsidRPr="00BD18F3">
        <w:rPr>
          <w:rFonts w:ascii="Arial" w:hAnsi="Arial" w:cs="Arial"/>
          <w:kern w:val="24"/>
          <w:sz w:val="21"/>
          <w:szCs w:val="21"/>
        </w:rPr>
        <w:t>5</w:t>
      </w:r>
      <w:r w:rsidR="00426E1B" w:rsidRPr="00BD18F3">
        <w:rPr>
          <w:rFonts w:ascii="Arial" w:hAnsi="Arial" w:cs="Arial"/>
          <w:kern w:val="24"/>
          <w:sz w:val="21"/>
          <w:szCs w:val="21"/>
        </w:rPr>
        <w:t>%</w:t>
      </w:r>
      <w:r w:rsidR="00B033C0" w:rsidRPr="00BD18F3">
        <w:rPr>
          <w:rFonts w:ascii="Arial" w:hAnsi="Arial" w:cs="Arial"/>
          <w:kern w:val="24"/>
          <w:sz w:val="21"/>
          <w:szCs w:val="21"/>
        </w:rPr>
        <w:t xml:space="preserve"> en la recaudación anual</w:t>
      </w:r>
      <w:r w:rsidR="009C54F2" w:rsidRPr="00BD18F3">
        <w:rPr>
          <w:rFonts w:ascii="Arial" w:hAnsi="Arial" w:cs="Arial"/>
          <w:kern w:val="24"/>
          <w:sz w:val="21"/>
          <w:szCs w:val="21"/>
        </w:rPr>
        <w:t>.</w:t>
      </w:r>
    </w:p>
    <w:p w14:paraId="30DF263D" w14:textId="3896A3FC" w:rsidR="00D57CD9" w:rsidRPr="00BD18F3" w:rsidRDefault="00BD18F3" w:rsidP="00AB49F5">
      <w:pPr>
        <w:spacing w:before="240" w:after="240"/>
        <w:ind w:left="284"/>
        <w:jc w:val="both"/>
        <w:rPr>
          <w:rFonts w:ascii="Arial" w:hAnsi="Arial" w:cs="Arial"/>
          <w:kern w:val="24"/>
          <w:sz w:val="21"/>
          <w:szCs w:val="21"/>
        </w:rPr>
      </w:pPr>
      <w:r w:rsidRPr="00BD18F3">
        <w:rPr>
          <w:rFonts w:ascii="Arial" w:hAnsi="Arial" w:cs="Arial"/>
          <w:noProof/>
          <w:sz w:val="21"/>
          <w:szCs w:val="21"/>
          <w:lang w:val="en-US"/>
        </w:rPr>
        <w:drawing>
          <wp:anchor distT="0" distB="0" distL="114300" distR="114300" simplePos="0" relativeHeight="251709440" behindDoc="0" locked="0" layoutInCell="1" allowOverlap="1" wp14:anchorId="4C72EF49" wp14:editId="34D16370">
            <wp:simplePos x="0" y="0"/>
            <wp:positionH relativeFrom="column">
              <wp:posOffset>2608580</wp:posOffset>
            </wp:positionH>
            <wp:positionV relativeFrom="paragraph">
              <wp:posOffset>1725295</wp:posOffset>
            </wp:positionV>
            <wp:extent cx="3802380" cy="2697480"/>
            <wp:effectExtent l="0" t="0" r="7620" b="7620"/>
            <wp:wrapSquare wrapText="bothSides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4F2" w:rsidRPr="00BD18F3">
        <w:rPr>
          <w:rFonts w:ascii="Arial" w:hAnsi="Arial" w:cs="Arial"/>
          <w:kern w:val="24"/>
          <w:sz w:val="21"/>
          <w:szCs w:val="21"/>
        </w:rPr>
        <w:t xml:space="preserve">Este </w:t>
      </w:r>
      <w:r w:rsidR="00045DEE" w:rsidRPr="00BD18F3">
        <w:rPr>
          <w:rFonts w:ascii="Arial" w:hAnsi="Arial" w:cs="Arial"/>
          <w:kern w:val="24"/>
          <w:sz w:val="21"/>
          <w:szCs w:val="21"/>
        </w:rPr>
        <w:t xml:space="preserve">crecimiento se debe a la aplicación de </w:t>
      </w:r>
      <w:r w:rsidR="009C54F2" w:rsidRPr="00BD18F3">
        <w:rPr>
          <w:rFonts w:ascii="Arial" w:hAnsi="Arial" w:cs="Arial"/>
          <w:kern w:val="24"/>
          <w:sz w:val="21"/>
          <w:szCs w:val="21"/>
        </w:rPr>
        <w:t xml:space="preserve">mayores coeficientes para </w:t>
      </w:r>
      <w:r w:rsidR="00045DEE" w:rsidRPr="00BD18F3">
        <w:rPr>
          <w:rFonts w:ascii="Arial" w:hAnsi="Arial" w:cs="Arial"/>
          <w:kern w:val="24"/>
          <w:sz w:val="21"/>
          <w:szCs w:val="21"/>
        </w:rPr>
        <w:t xml:space="preserve">la determinación de los pagos mensuales, </w:t>
      </w:r>
      <w:r w:rsidR="00AB49F5" w:rsidRPr="00BD18F3">
        <w:rPr>
          <w:rFonts w:ascii="Arial" w:hAnsi="Arial" w:cs="Arial"/>
          <w:kern w:val="24"/>
          <w:sz w:val="21"/>
          <w:szCs w:val="21"/>
        </w:rPr>
        <w:t xml:space="preserve">a la </w:t>
      </w:r>
      <w:r w:rsidR="009C54F2" w:rsidRPr="00BD18F3">
        <w:rPr>
          <w:rFonts w:ascii="Arial" w:hAnsi="Arial" w:cs="Arial"/>
          <w:kern w:val="24"/>
          <w:sz w:val="21"/>
          <w:szCs w:val="21"/>
        </w:rPr>
        <w:t xml:space="preserve">reducción de </w:t>
      </w:r>
      <w:r w:rsidR="00AB49F5" w:rsidRPr="00BD18F3">
        <w:rPr>
          <w:rFonts w:ascii="Arial" w:hAnsi="Arial" w:cs="Arial"/>
          <w:kern w:val="24"/>
          <w:sz w:val="21"/>
          <w:szCs w:val="21"/>
        </w:rPr>
        <w:t xml:space="preserve">los </w:t>
      </w:r>
      <w:r w:rsidR="009C54F2" w:rsidRPr="00BD18F3">
        <w:rPr>
          <w:rFonts w:ascii="Arial" w:hAnsi="Arial" w:cs="Arial"/>
          <w:kern w:val="24"/>
          <w:sz w:val="21"/>
          <w:szCs w:val="21"/>
        </w:rPr>
        <w:t xml:space="preserve">saldos a favor </w:t>
      </w:r>
      <w:r w:rsidR="003C49D1" w:rsidRPr="00BD18F3">
        <w:rPr>
          <w:rFonts w:ascii="Arial" w:hAnsi="Arial" w:cs="Arial"/>
          <w:kern w:val="24"/>
          <w:sz w:val="21"/>
          <w:szCs w:val="21"/>
        </w:rPr>
        <w:t>de</w:t>
      </w:r>
      <w:r w:rsidR="00045DEE" w:rsidRPr="00BD18F3">
        <w:rPr>
          <w:rFonts w:ascii="Arial" w:hAnsi="Arial" w:cs="Arial"/>
          <w:kern w:val="24"/>
          <w:sz w:val="21"/>
          <w:szCs w:val="21"/>
        </w:rPr>
        <w:t xml:space="preserve"> los contribuyentes </w:t>
      </w:r>
      <w:r w:rsidR="00AB49F5" w:rsidRPr="00BD18F3">
        <w:rPr>
          <w:rFonts w:ascii="Arial" w:hAnsi="Arial" w:cs="Arial"/>
          <w:kern w:val="24"/>
          <w:sz w:val="21"/>
          <w:szCs w:val="21"/>
        </w:rPr>
        <w:t>y a los mayores</w:t>
      </w:r>
      <w:r w:rsidR="009C54F2" w:rsidRPr="00BD18F3">
        <w:rPr>
          <w:rFonts w:ascii="Arial" w:hAnsi="Arial" w:cs="Arial"/>
          <w:kern w:val="24"/>
          <w:sz w:val="21"/>
          <w:szCs w:val="21"/>
        </w:rPr>
        <w:t xml:space="preserve"> ingresos </w:t>
      </w:r>
      <w:r w:rsidR="00AB49F5" w:rsidRPr="00BD18F3">
        <w:rPr>
          <w:rFonts w:ascii="Arial" w:hAnsi="Arial" w:cs="Arial"/>
          <w:kern w:val="24"/>
          <w:sz w:val="21"/>
          <w:szCs w:val="21"/>
        </w:rPr>
        <w:t xml:space="preserve">obtenidos </w:t>
      </w:r>
      <w:r w:rsidR="00045DEE" w:rsidRPr="00BD18F3">
        <w:rPr>
          <w:rFonts w:ascii="Arial" w:hAnsi="Arial" w:cs="Arial"/>
          <w:kern w:val="24"/>
          <w:sz w:val="21"/>
          <w:szCs w:val="21"/>
        </w:rPr>
        <w:t>en</w:t>
      </w:r>
      <w:r w:rsidR="00AB49F5" w:rsidRPr="00BD18F3">
        <w:rPr>
          <w:rFonts w:ascii="Arial" w:hAnsi="Arial" w:cs="Arial"/>
          <w:kern w:val="24"/>
          <w:sz w:val="21"/>
          <w:szCs w:val="21"/>
        </w:rPr>
        <w:t xml:space="preserve"> sectores como </w:t>
      </w:r>
      <w:r w:rsidR="009C54F2" w:rsidRPr="00BD18F3">
        <w:rPr>
          <w:rFonts w:ascii="Arial" w:hAnsi="Arial" w:cs="Arial"/>
          <w:kern w:val="24"/>
          <w:sz w:val="21"/>
          <w:szCs w:val="21"/>
        </w:rPr>
        <w:t>intermediación financiera</w:t>
      </w:r>
      <w:r w:rsidR="00C14E68" w:rsidRPr="00BD18F3">
        <w:rPr>
          <w:rFonts w:ascii="Arial" w:hAnsi="Arial" w:cs="Arial"/>
          <w:kern w:val="24"/>
          <w:sz w:val="21"/>
          <w:szCs w:val="21"/>
        </w:rPr>
        <w:t xml:space="preserve"> y generación de energía eléctrica y agua</w:t>
      </w:r>
      <w:r w:rsidR="009C54F2" w:rsidRPr="00BD18F3">
        <w:rPr>
          <w:rFonts w:ascii="Arial" w:hAnsi="Arial" w:cs="Arial"/>
          <w:kern w:val="24"/>
          <w:sz w:val="21"/>
          <w:szCs w:val="21"/>
        </w:rPr>
        <w:t>.</w:t>
      </w:r>
      <w:r w:rsidR="00AB49F5" w:rsidRPr="00BD18F3">
        <w:rPr>
          <w:rFonts w:ascii="Arial" w:hAnsi="Arial" w:cs="Arial"/>
          <w:kern w:val="24"/>
          <w:sz w:val="21"/>
          <w:szCs w:val="21"/>
        </w:rPr>
        <w:t xml:space="preserve"> Dichos aspectos permitieron contrarresta</w:t>
      </w:r>
      <w:r w:rsidR="00045DEE" w:rsidRPr="00BD18F3">
        <w:rPr>
          <w:rFonts w:ascii="Arial" w:hAnsi="Arial" w:cs="Arial"/>
          <w:kern w:val="24"/>
          <w:sz w:val="21"/>
          <w:szCs w:val="21"/>
        </w:rPr>
        <w:t>r</w:t>
      </w:r>
      <w:r w:rsidR="00AB49F5" w:rsidRPr="00BD18F3">
        <w:rPr>
          <w:rFonts w:ascii="Arial" w:hAnsi="Arial" w:cs="Arial"/>
          <w:kern w:val="24"/>
          <w:sz w:val="21"/>
          <w:szCs w:val="21"/>
        </w:rPr>
        <w:t xml:space="preserve"> los menores pagos recibidos </w:t>
      </w:r>
      <w:r w:rsidR="00045DEE" w:rsidRPr="00BD18F3">
        <w:rPr>
          <w:rFonts w:ascii="Arial" w:hAnsi="Arial" w:cs="Arial"/>
          <w:kern w:val="24"/>
          <w:sz w:val="21"/>
          <w:szCs w:val="21"/>
        </w:rPr>
        <w:t xml:space="preserve">del sector </w:t>
      </w:r>
      <w:r w:rsidR="009C54F2" w:rsidRPr="00BD18F3">
        <w:rPr>
          <w:rFonts w:ascii="Arial" w:hAnsi="Arial" w:cs="Arial"/>
          <w:kern w:val="24"/>
          <w:sz w:val="21"/>
          <w:szCs w:val="21"/>
        </w:rPr>
        <w:t>minería e hidrocarburos</w:t>
      </w:r>
      <w:r w:rsidR="00AB49F5" w:rsidRPr="00BD18F3">
        <w:rPr>
          <w:rFonts w:ascii="Arial" w:hAnsi="Arial" w:cs="Arial"/>
          <w:kern w:val="24"/>
          <w:sz w:val="21"/>
          <w:szCs w:val="21"/>
        </w:rPr>
        <w:t>, asociado</w:t>
      </w:r>
      <w:r w:rsidR="00045DEE" w:rsidRPr="00BD18F3">
        <w:rPr>
          <w:rFonts w:ascii="Arial" w:hAnsi="Arial" w:cs="Arial"/>
          <w:kern w:val="24"/>
          <w:sz w:val="21"/>
          <w:szCs w:val="21"/>
        </w:rPr>
        <w:t>s</w:t>
      </w:r>
      <w:r w:rsidR="00AB49F5" w:rsidRPr="00BD18F3">
        <w:rPr>
          <w:rFonts w:ascii="Arial" w:hAnsi="Arial" w:cs="Arial"/>
          <w:kern w:val="24"/>
          <w:sz w:val="21"/>
          <w:szCs w:val="21"/>
        </w:rPr>
        <w:t xml:space="preserve"> </w:t>
      </w:r>
      <w:r w:rsidR="00045DEE" w:rsidRPr="00BD18F3">
        <w:rPr>
          <w:rFonts w:ascii="Arial" w:hAnsi="Arial" w:cs="Arial"/>
          <w:kern w:val="24"/>
          <w:sz w:val="21"/>
          <w:szCs w:val="21"/>
        </w:rPr>
        <w:t>a</w:t>
      </w:r>
      <w:r w:rsidR="00AB49F5" w:rsidRPr="00BD18F3">
        <w:rPr>
          <w:rFonts w:ascii="Arial" w:hAnsi="Arial" w:cs="Arial"/>
          <w:kern w:val="24"/>
          <w:sz w:val="21"/>
          <w:szCs w:val="21"/>
        </w:rPr>
        <w:t xml:space="preserve"> las menores cotizaciones internacionales</w:t>
      </w:r>
      <w:r w:rsidR="00045DEE" w:rsidRPr="00BD18F3">
        <w:rPr>
          <w:rFonts w:ascii="Arial" w:hAnsi="Arial" w:cs="Arial"/>
          <w:kern w:val="24"/>
          <w:sz w:val="21"/>
          <w:szCs w:val="21"/>
        </w:rPr>
        <w:t>, meno</w:t>
      </w:r>
      <w:r w:rsidR="00103F15" w:rsidRPr="00BD18F3">
        <w:rPr>
          <w:rFonts w:ascii="Arial" w:hAnsi="Arial" w:cs="Arial"/>
          <w:kern w:val="24"/>
          <w:sz w:val="21"/>
          <w:szCs w:val="21"/>
        </w:rPr>
        <w:t>r</w:t>
      </w:r>
      <w:r w:rsidR="00045DEE" w:rsidRPr="00BD18F3">
        <w:rPr>
          <w:rFonts w:ascii="Arial" w:hAnsi="Arial" w:cs="Arial"/>
          <w:kern w:val="24"/>
          <w:sz w:val="21"/>
          <w:szCs w:val="21"/>
        </w:rPr>
        <w:t xml:space="preserve"> producción y conflictividad</w:t>
      </w:r>
      <w:r w:rsidR="00103F15" w:rsidRPr="00BD18F3">
        <w:rPr>
          <w:rFonts w:ascii="Arial" w:hAnsi="Arial" w:cs="Arial"/>
          <w:kern w:val="24"/>
          <w:sz w:val="21"/>
          <w:szCs w:val="21"/>
        </w:rPr>
        <w:t xml:space="preserve"> social</w:t>
      </w:r>
      <w:r w:rsidR="00045DEE" w:rsidRPr="00BD18F3">
        <w:rPr>
          <w:rFonts w:ascii="Arial" w:hAnsi="Arial" w:cs="Arial"/>
          <w:kern w:val="24"/>
          <w:sz w:val="21"/>
          <w:szCs w:val="21"/>
        </w:rPr>
        <w:t>.</w:t>
      </w:r>
      <w:r w:rsidR="00F05C72" w:rsidRPr="00BD18F3">
        <w:rPr>
          <w:rFonts w:ascii="Arial" w:hAnsi="Arial" w:cs="Arial"/>
          <w:noProof/>
          <w:sz w:val="21"/>
          <w:szCs w:val="21"/>
        </w:rPr>
        <w:t xml:space="preserve"> </w:t>
      </w:r>
    </w:p>
    <w:p w14:paraId="603DDABA" w14:textId="1EBC83F4" w:rsidR="00BD18F3" w:rsidRPr="00BD18F3" w:rsidRDefault="001A0249" w:rsidP="00A276F0">
      <w:pPr>
        <w:pStyle w:val="Prrafodelista"/>
        <w:numPr>
          <w:ilvl w:val="0"/>
          <w:numId w:val="11"/>
        </w:numPr>
        <w:spacing w:before="240" w:after="240"/>
        <w:ind w:left="284" w:hanging="218"/>
        <w:contextualSpacing w:val="0"/>
        <w:jc w:val="both"/>
        <w:rPr>
          <w:rFonts w:ascii="Arial" w:hAnsi="Arial" w:cs="Arial"/>
          <w:kern w:val="24"/>
          <w:sz w:val="21"/>
          <w:szCs w:val="21"/>
        </w:rPr>
      </w:pPr>
      <w:r w:rsidRPr="00BD18F3">
        <w:rPr>
          <w:rFonts w:ascii="Arial" w:hAnsi="Arial" w:cs="Arial"/>
          <w:noProof/>
          <w:sz w:val="21"/>
          <w:szCs w:val="21"/>
          <w:lang w:eastAsia="en-US"/>
        </w:rPr>
        <w:t>Por su parte,</w:t>
      </w:r>
      <w:r w:rsidR="00AB49F5" w:rsidRPr="00BD18F3">
        <w:rPr>
          <w:rFonts w:ascii="Arial" w:hAnsi="Arial" w:cs="Arial"/>
          <w:kern w:val="24"/>
          <w:sz w:val="21"/>
          <w:szCs w:val="21"/>
        </w:rPr>
        <w:t xml:space="preserve"> la Regularización</w:t>
      </w:r>
      <w:r w:rsidR="00045DEE" w:rsidRPr="00BD18F3">
        <w:rPr>
          <w:rFonts w:ascii="Arial" w:hAnsi="Arial" w:cs="Arial"/>
          <w:kern w:val="24"/>
          <w:sz w:val="21"/>
          <w:szCs w:val="21"/>
        </w:rPr>
        <w:t xml:space="preserve"> Anual del Impuesto a la Renta</w:t>
      </w:r>
      <w:r w:rsidR="00A538BD" w:rsidRPr="00BD18F3">
        <w:rPr>
          <w:rFonts w:ascii="Arial" w:hAnsi="Arial" w:cs="Arial"/>
          <w:kern w:val="24"/>
          <w:sz w:val="21"/>
          <w:szCs w:val="21"/>
        </w:rPr>
        <w:t xml:space="preserve"> pagada en 2019</w:t>
      </w:r>
      <w:r w:rsidRPr="00BD18F3">
        <w:rPr>
          <w:rFonts w:ascii="Arial" w:hAnsi="Arial" w:cs="Arial"/>
          <w:kern w:val="24"/>
          <w:sz w:val="21"/>
          <w:szCs w:val="21"/>
        </w:rPr>
        <w:t xml:space="preserve"> </w:t>
      </w:r>
      <w:r w:rsidR="00AB49F5" w:rsidRPr="00BD18F3">
        <w:rPr>
          <w:rFonts w:ascii="Arial" w:hAnsi="Arial" w:cs="Arial"/>
          <w:kern w:val="24"/>
          <w:sz w:val="21"/>
          <w:szCs w:val="21"/>
        </w:rPr>
        <w:t>alcanzó los</w:t>
      </w:r>
      <w:r w:rsidR="0079330A" w:rsidRPr="00BD18F3">
        <w:rPr>
          <w:rFonts w:ascii="Arial" w:hAnsi="Arial" w:cs="Arial"/>
          <w:kern w:val="24"/>
          <w:sz w:val="21"/>
          <w:szCs w:val="21"/>
        </w:rPr>
        <w:t xml:space="preserve"> S/ 6 363 millones</w:t>
      </w:r>
      <w:r w:rsidR="00AB49F5" w:rsidRPr="00BD18F3">
        <w:rPr>
          <w:rFonts w:ascii="Arial" w:hAnsi="Arial" w:cs="Arial"/>
          <w:kern w:val="24"/>
          <w:sz w:val="21"/>
          <w:szCs w:val="21"/>
        </w:rPr>
        <w:t xml:space="preserve">, importe que representa una </w:t>
      </w:r>
      <w:r w:rsidR="006648C9" w:rsidRPr="00BD18F3">
        <w:rPr>
          <w:rFonts w:ascii="Arial" w:hAnsi="Arial" w:cs="Arial"/>
          <w:kern w:val="24"/>
          <w:sz w:val="21"/>
          <w:szCs w:val="21"/>
        </w:rPr>
        <w:t xml:space="preserve">leve </w:t>
      </w:r>
      <w:r w:rsidR="00AB49F5" w:rsidRPr="00BD18F3">
        <w:rPr>
          <w:rFonts w:ascii="Arial" w:hAnsi="Arial" w:cs="Arial"/>
          <w:kern w:val="24"/>
          <w:sz w:val="21"/>
          <w:szCs w:val="21"/>
        </w:rPr>
        <w:t>contracción de 2.5% con relación al año previo</w:t>
      </w:r>
      <w:r w:rsidR="006648C9" w:rsidRPr="00BD18F3">
        <w:rPr>
          <w:rFonts w:ascii="Arial" w:hAnsi="Arial" w:cs="Arial"/>
          <w:kern w:val="24"/>
          <w:sz w:val="21"/>
          <w:szCs w:val="21"/>
        </w:rPr>
        <w:t>, tal como se explica a continuación:</w:t>
      </w:r>
    </w:p>
    <w:p w14:paraId="25932401" w14:textId="6C1382F7" w:rsidR="003A63C4" w:rsidRPr="00BD18F3" w:rsidRDefault="001A0249" w:rsidP="00C43B36">
      <w:pPr>
        <w:pStyle w:val="Prrafodelista"/>
        <w:numPr>
          <w:ilvl w:val="1"/>
          <w:numId w:val="11"/>
        </w:numPr>
        <w:spacing w:before="240" w:after="240"/>
        <w:ind w:left="567"/>
        <w:contextualSpacing w:val="0"/>
        <w:jc w:val="both"/>
        <w:rPr>
          <w:rFonts w:ascii="Arial" w:hAnsi="Arial" w:cs="Arial"/>
          <w:kern w:val="24"/>
          <w:sz w:val="21"/>
          <w:szCs w:val="21"/>
        </w:rPr>
      </w:pPr>
      <w:r w:rsidRPr="00BD18F3">
        <w:rPr>
          <w:rFonts w:ascii="Arial" w:hAnsi="Arial" w:cs="Arial"/>
          <w:kern w:val="24"/>
          <w:sz w:val="21"/>
          <w:szCs w:val="21"/>
        </w:rPr>
        <w:t>L</w:t>
      </w:r>
      <w:r w:rsidR="00C43B36" w:rsidRPr="00BD18F3">
        <w:rPr>
          <w:rFonts w:ascii="Arial" w:hAnsi="Arial" w:cs="Arial"/>
          <w:kern w:val="24"/>
          <w:sz w:val="21"/>
          <w:szCs w:val="21"/>
        </w:rPr>
        <w:t xml:space="preserve">a recaudación por concepto de Regularización recibida en el año 2019 </w:t>
      </w:r>
      <w:r w:rsidRPr="00BD18F3">
        <w:rPr>
          <w:rFonts w:ascii="Arial" w:hAnsi="Arial" w:cs="Arial"/>
          <w:kern w:val="24"/>
          <w:sz w:val="21"/>
          <w:szCs w:val="21"/>
        </w:rPr>
        <w:t xml:space="preserve">ha sido </w:t>
      </w:r>
      <w:r w:rsidR="00C43B36" w:rsidRPr="00BD18F3">
        <w:rPr>
          <w:rFonts w:ascii="Arial" w:hAnsi="Arial" w:cs="Arial"/>
          <w:kern w:val="24"/>
          <w:sz w:val="21"/>
          <w:szCs w:val="21"/>
        </w:rPr>
        <w:t>muy significativa</w:t>
      </w:r>
      <w:r w:rsidR="00C66E41">
        <w:rPr>
          <w:rFonts w:ascii="Arial" w:hAnsi="Arial" w:cs="Arial"/>
          <w:kern w:val="24"/>
          <w:sz w:val="21"/>
          <w:szCs w:val="21"/>
        </w:rPr>
        <w:t>;</w:t>
      </w:r>
      <w:r w:rsidR="00C43B36" w:rsidRPr="00BD18F3">
        <w:rPr>
          <w:rFonts w:ascii="Arial" w:hAnsi="Arial" w:cs="Arial"/>
          <w:kern w:val="24"/>
          <w:sz w:val="21"/>
          <w:szCs w:val="21"/>
        </w:rPr>
        <w:t xml:space="preserve"> </w:t>
      </w:r>
      <w:r w:rsidRPr="00BD18F3">
        <w:rPr>
          <w:rFonts w:ascii="Arial" w:hAnsi="Arial" w:cs="Arial"/>
          <w:kern w:val="24"/>
          <w:sz w:val="21"/>
          <w:szCs w:val="21"/>
        </w:rPr>
        <w:t xml:space="preserve">sin embargo, </w:t>
      </w:r>
      <w:r w:rsidR="00C43B36" w:rsidRPr="00BD18F3">
        <w:rPr>
          <w:rFonts w:ascii="Arial" w:hAnsi="Arial" w:cs="Arial"/>
          <w:kern w:val="24"/>
          <w:sz w:val="21"/>
          <w:szCs w:val="21"/>
        </w:rPr>
        <w:t>en 2018 se recibió un</w:t>
      </w:r>
      <w:r w:rsidR="003A63C4" w:rsidRPr="00BD18F3">
        <w:rPr>
          <w:rFonts w:ascii="Arial" w:hAnsi="Arial" w:cs="Arial"/>
          <w:kern w:val="24"/>
          <w:sz w:val="21"/>
          <w:szCs w:val="21"/>
        </w:rPr>
        <w:t xml:space="preserve"> importe</w:t>
      </w:r>
      <w:r w:rsidR="00C43B36" w:rsidRPr="00BD18F3">
        <w:rPr>
          <w:rFonts w:ascii="Arial" w:hAnsi="Arial" w:cs="Arial"/>
          <w:kern w:val="24"/>
          <w:sz w:val="21"/>
          <w:szCs w:val="21"/>
        </w:rPr>
        <w:t xml:space="preserve"> que constituyó un </w:t>
      </w:r>
      <w:r w:rsidR="003A63C4" w:rsidRPr="00BD18F3">
        <w:rPr>
          <w:rFonts w:ascii="Arial" w:hAnsi="Arial" w:cs="Arial"/>
          <w:kern w:val="24"/>
          <w:sz w:val="21"/>
          <w:szCs w:val="21"/>
        </w:rPr>
        <w:t>récord</w:t>
      </w:r>
      <w:r w:rsidR="00C43B36" w:rsidRPr="00BD18F3">
        <w:rPr>
          <w:rFonts w:ascii="Arial" w:hAnsi="Arial" w:cs="Arial"/>
          <w:kern w:val="24"/>
          <w:sz w:val="21"/>
          <w:szCs w:val="21"/>
        </w:rPr>
        <w:t xml:space="preserve"> histórico</w:t>
      </w:r>
      <w:r w:rsidR="00045DEE" w:rsidRPr="00BD18F3">
        <w:rPr>
          <w:rFonts w:ascii="Arial" w:hAnsi="Arial" w:cs="Arial"/>
          <w:kern w:val="24"/>
          <w:sz w:val="21"/>
          <w:szCs w:val="21"/>
        </w:rPr>
        <w:t>,</w:t>
      </w:r>
      <w:r w:rsidR="00C43B36" w:rsidRPr="00BD18F3">
        <w:rPr>
          <w:rFonts w:ascii="Arial" w:hAnsi="Arial" w:cs="Arial"/>
          <w:kern w:val="24"/>
          <w:sz w:val="21"/>
          <w:szCs w:val="21"/>
        </w:rPr>
        <w:t xml:space="preserve"> asociado tanto a la forma en la que se determina el impuesto como a la evolución de la economía. </w:t>
      </w:r>
    </w:p>
    <w:p w14:paraId="33779B7E" w14:textId="7B1CDA93" w:rsidR="0079330A" w:rsidRPr="00BD18F3" w:rsidRDefault="00BD18F3" w:rsidP="003A63C4">
      <w:pPr>
        <w:pStyle w:val="Prrafodelista"/>
        <w:numPr>
          <w:ilvl w:val="1"/>
          <w:numId w:val="11"/>
        </w:numPr>
        <w:spacing w:before="240" w:after="240"/>
        <w:ind w:left="567"/>
        <w:contextualSpacing w:val="0"/>
        <w:jc w:val="both"/>
        <w:rPr>
          <w:rFonts w:ascii="Arial" w:hAnsi="Arial" w:cs="Arial"/>
          <w:kern w:val="24"/>
          <w:sz w:val="21"/>
          <w:szCs w:val="21"/>
        </w:rPr>
      </w:pPr>
      <w:r w:rsidRPr="00BD18F3">
        <w:rPr>
          <w:rFonts w:ascii="Arial" w:hAnsi="Arial" w:cs="Arial"/>
          <w:noProof/>
          <w:sz w:val="21"/>
          <w:szCs w:val="21"/>
          <w:lang w:val="en-US" w:eastAsia="en-US"/>
        </w:rPr>
        <w:lastRenderedPageBreak/>
        <w:drawing>
          <wp:anchor distT="0" distB="0" distL="114300" distR="114300" simplePos="0" relativeHeight="251697152" behindDoc="0" locked="0" layoutInCell="1" allowOverlap="1" wp14:anchorId="476605D9" wp14:editId="1B2042D5">
            <wp:simplePos x="0" y="0"/>
            <wp:positionH relativeFrom="column">
              <wp:posOffset>2678430</wp:posOffset>
            </wp:positionH>
            <wp:positionV relativeFrom="paragraph">
              <wp:posOffset>638810</wp:posOffset>
            </wp:positionV>
            <wp:extent cx="3756660" cy="2583180"/>
            <wp:effectExtent l="0" t="0" r="0" b="7620"/>
            <wp:wrapSquare wrapText="bothSides"/>
            <wp:docPr id="18" name="Gráfico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1EC1" w:rsidRPr="00BA1EC1">
        <w:rPr>
          <w:rFonts w:ascii="Arial" w:hAnsi="Arial" w:cs="Arial"/>
          <w:noProof/>
          <w:sz w:val="21"/>
          <w:szCs w:val="21"/>
          <w:lang w:eastAsia="en-US"/>
        </w:rPr>
        <w:t>Du</w:t>
      </w:r>
      <w:r w:rsidR="00BA1EC1">
        <w:rPr>
          <w:rFonts w:ascii="Arial" w:hAnsi="Arial" w:cs="Arial"/>
          <w:noProof/>
          <w:sz w:val="21"/>
          <w:szCs w:val="21"/>
          <w:lang w:eastAsia="en-US"/>
        </w:rPr>
        <w:t>r</w:t>
      </w:r>
      <w:r w:rsidR="003A63C4" w:rsidRPr="00BD18F3">
        <w:rPr>
          <w:rFonts w:ascii="Arial" w:hAnsi="Arial" w:cs="Arial"/>
          <w:kern w:val="24"/>
          <w:sz w:val="21"/>
          <w:szCs w:val="21"/>
        </w:rPr>
        <w:t>ante</w:t>
      </w:r>
      <w:r w:rsidR="0079330A" w:rsidRPr="00BD18F3">
        <w:rPr>
          <w:rFonts w:ascii="Arial" w:hAnsi="Arial" w:cs="Arial"/>
          <w:kern w:val="24"/>
          <w:sz w:val="21"/>
          <w:szCs w:val="21"/>
        </w:rPr>
        <w:t xml:space="preserve"> el 2019 se </w:t>
      </w:r>
      <w:r w:rsidR="003A63C4" w:rsidRPr="00BD18F3">
        <w:rPr>
          <w:rFonts w:ascii="Arial" w:hAnsi="Arial" w:cs="Arial"/>
          <w:kern w:val="24"/>
          <w:sz w:val="21"/>
          <w:szCs w:val="21"/>
        </w:rPr>
        <w:t xml:space="preserve">obtuvieron </w:t>
      </w:r>
      <w:r w:rsidR="0079330A" w:rsidRPr="00BD18F3">
        <w:rPr>
          <w:rFonts w:ascii="Arial" w:hAnsi="Arial" w:cs="Arial"/>
          <w:kern w:val="24"/>
          <w:sz w:val="21"/>
          <w:szCs w:val="21"/>
        </w:rPr>
        <w:t>pagos extraordinarios</w:t>
      </w:r>
      <w:r w:rsidR="003A63C4" w:rsidRPr="00BD18F3">
        <w:rPr>
          <w:rFonts w:ascii="Arial" w:hAnsi="Arial" w:cs="Arial"/>
          <w:kern w:val="24"/>
          <w:sz w:val="21"/>
          <w:szCs w:val="21"/>
        </w:rPr>
        <w:t xml:space="preserve"> </w:t>
      </w:r>
      <w:r w:rsidR="00045DEE" w:rsidRPr="00BD18F3">
        <w:rPr>
          <w:rFonts w:ascii="Arial" w:hAnsi="Arial" w:cs="Arial"/>
          <w:kern w:val="24"/>
          <w:sz w:val="21"/>
          <w:szCs w:val="21"/>
        </w:rPr>
        <w:t xml:space="preserve">por Regularización </w:t>
      </w:r>
      <w:r w:rsidR="003A63C4" w:rsidRPr="00BD18F3">
        <w:rPr>
          <w:rFonts w:ascii="Arial" w:hAnsi="Arial" w:cs="Arial"/>
          <w:kern w:val="24"/>
          <w:sz w:val="21"/>
          <w:szCs w:val="21"/>
        </w:rPr>
        <w:t xml:space="preserve">muy significativos, que en conjunto alcanzaron los </w:t>
      </w:r>
      <w:r w:rsidR="0079330A" w:rsidRPr="00BD18F3">
        <w:rPr>
          <w:rFonts w:ascii="Arial" w:hAnsi="Arial" w:cs="Arial"/>
          <w:kern w:val="24"/>
          <w:sz w:val="21"/>
          <w:szCs w:val="21"/>
        </w:rPr>
        <w:t>S/ 1</w:t>
      </w:r>
      <w:r w:rsidR="00F14A2E">
        <w:rPr>
          <w:rFonts w:ascii="Arial" w:hAnsi="Arial" w:cs="Arial"/>
          <w:kern w:val="24"/>
          <w:sz w:val="21"/>
          <w:szCs w:val="21"/>
        </w:rPr>
        <w:t xml:space="preserve"> </w:t>
      </w:r>
      <w:r w:rsidR="0079330A" w:rsidRPr="00BD18F3">
        <w:rPr>
          <w:rFonts w:ascii="Arial" w:hAnsi="Arial" w:cs="Arial"/>
          <w:kern w:val="24"/>
          <w:sz w:val="21"/>
          <w:szCs w:val="21"/>
        </w:rPr>
        <w:t>491 millones</w:t>
      </w:r>
      <w:r w:rsidR="003A63C4" w:rsidRPr="00BD18F3">
        <w:rPr>
          <w:rFonts w:ascii="Arial" w:hAnsi="Arial" w:cs="Arial"/>
          <w:kern w:val="24"/>
          <w:sz w:val="21"/>
          <w:szCs w:val="21"/>
        </w:rPr>
        <w:t>,</w:t>
      </w:r>
      <w:r w:rsidR="0079330A" w:rsidRPr="00BD18F3">
        <w:rPr>
          <w:rFonts w:ascii="Arial" w:hAnsi="Arial" w:cs="Arial"/>
          <w:kern w:val="24"/>
          <w:sz w:val="21"/>
          <w:szCs w:val="21"/>
        </w:rPr>
        <w:t xml:space="preserve"> producto </w:t>
      </w:r>
      <w:r w:rsidR="003A63C4" w:rsidRPr="00BD18F3">
        <w:rPr>
          <w:rFonts w:ascii="Arial" w:hAnsi="Arial" w:cs="Arial"/>
          <w:kern w:val="24"/>
          <w:sz w:val="21"/>
          <w:szCs w:val="21"/>
        </w:rPr>
        <w:t xml:space="preserve">tanto </w:t>
      </w:r>
      <w:r w:rsidR="0079330A" w:rsidRPr="00BD18F3">
        <w:rPr>
          <w:rFonts w:ascii="Arial" w:hAnsi="Arial" w:cs="Arial"/>
          <w:kern w:val="24"/>
          <w:sz w:val="21"/>
          <w:szCs w:val="21"/>
        </w:rPr>
        <w:t xml:space="preserve">de acciones de fiscalización y cobranza </w:t>
      </w:r>
      <w:r w:rsidR="003A63C4" w:rsidRPr="00BD18F3">
        <w:rPr>
          <w:rFonts w:ascii="Arial" w:hAnsi="Arial" w:cs="Arial"/>
          <w:kern w:val="24"/>
          <w:sz w:val="21"/>
          <w:szCs w:val="21"/>
        </w:rPr>
        <w:t xml:space="preserve">llevadas a cabo por </w:t>
      </w:r>
      <w:r w:rsidR="00AB49F5" w:rsidRPr="00BD18F3">
        <w:rPr>
          <w:rFonts w:ascii="Arial" w:hAnsi="Arial" w:cs="Arial"/>
          <w:kern w:val="24"/>
          <w:sz w:val="21"/>
          <w:szCs w:val="21"/>
        </w:rPr>
        <w:t>SUNAT</w:t>
      </w:r>
      <w:r w:rsidR="00045DEE" w:rsidRPr="00BD18F3">
        <w:rPr>
          <w:rFonts w:ascii="Arial" w:hAnsi="Arial" w:cs="Arial"/>
          <w:kern w:val="24"/>
          <w:sz w:val="21"/>
          <w:szCs w:val="21"/>
        </w:rPr>
        <w:t xml:space="preserve"> (S/ 790 millones)</w:t>
      </w:r>
      <w:r w:rsidR="003A63C4" w:rsidRPr="00BD18F3">
        <w:rPr>
          <w:rFonts w:ascii="Arial" w:hAnsi="Arial" w:cs="Arial"/>
          <w:kern w:val="24"/>
          <w:sz w:val="21"/>
          <w:szCs w:val="21"/>
        </w:rPr>
        <w:t xml:space="preserve"> como por la venta de activos por parte de los contribuyentes</w:t>
      </w:r>
      <w:r w:rsidR="0079330A" w:rsidRPr="00BD18F3">
        <w:rPr>
          <w:rFonts w:ascii="Arial" w:hAnsi="Arial" w:cs="Arial"/>
          <w:kern w:val="24"/>
          <w:sz w:val="21"/>
          <w:szCs w:val="21"/>
        </w:rPr>
        <w:t xml:space="preserve">. </w:t>
      </w:r>
    </w:p>
    <w:p w14:paraId="7BCAAF99" w14:textId="57B6B5E9" w:rsidR="00F2628F" w:rsidRPr="00BD18F3" w:rsidRDefault="00D57CD9" w:rsidP="00616B97">
      <w:pPr>
        <w:pStyle w:val="Prrafodelista"/>
        <w:numPr>
          <w:ilvl w:val="0"/>
          <w:numId w:val="11"/>
        </w:numPr>
        <w:spacing w:before="240" w:after="240"/>
        <w:ind w:left="284" w:hanging="218"/>
        <w:contextualSpacing w:val="0"/>
        <w:jc w:val="both"/>
        <w:rPr>
          <w:rFonts w:ascii="Arial" w:hAnsi="Arial" w:cs="Arial"/>
          <w:kern w:val="24"/>
          <w:sz w:val="21"/>
          <w:szCs w:val="21"/>
        </w:rPr>
      </w:pPr>
      <w:r w:rsidRPr="00BD18F3">
        <w:rPr>
          <w:rFonts w:ascii="Arial" w:hAnsi="Arial" w:cs="Arial"/>
          <w:color w:val="0070C0"/>
          <w:kern w:val="24"/>
          <w:sz w:val="21"/>
          <w:szCs w:val="21"/>
          <w:lang w:val="es-ES"/>
        </w:rPr>
        <w:t xml:space="preserve">La </w:t>
      </w:r>
      <w:r w:rsidRPr="00BD18F3">
        <w:rPr>
          <w:rFonts w:ascii="Arial" w:hAnsi="Arial" w:cs="Arial"/>
          <w:color w:val="0070C0"/>
          <w:kern w:val="24"/>
          <w:sz w:val="21"/>
          <w:szCs w:val="21"/>
        </w:rPr>
        <w:t>recaudación</w:t>
      </w:r>
      <w:r w:rsidRPr="00BD18F3">
        <w:rPr>
          <w:rFonts w:ascii="Arial" w:hAnsi="Arial" w:cs="Arial"/>
          <w:color w:val="0070C0"/>
          <w:kern w:val="24"/>
          <w:sz w:val="21"/>
          <w:szCs w:val="21"/>
          <w:lang w:val="es-ES"/>
        </w:rPr>
        <w:t xml:space="preserve"> por </w:t>
      </w:r>
      <w:r w:rsidR="00045DEE" w:rsidRPr="00BD18F3">
        <w:rPr>
          <w:rFonts w:ascii="Arial" w:hAnsi="Arial" w:cs="Arial"/>
          <w:color w:val="0070C0"/>
          <w:kern w:val="24"/>
          <w:sz w:val="21"/>
          <w:szCs w:val="21"/>
          <w:lang w:val="es-ES"/>
        </w:rPr>
        <w:t>el Impuesto General a las Ventas (</w:t>
      </w:r>
      <w:r w:rsidRPr="00BD18F3">
        <w:rPr>
          <w:rFonts w:ascii="Arial" w:hAnsi="Arial" w:cs="Arial"/>
          <w:color w:val="0070C0"/>
          <w:kern w:val="24"/>
          <w:sz w:val="21"/>
          <w:szCs w:val="21"/>
          <w:lang w:val="es-ES"/>
        </w:rPr>
        <w:t>IGV</w:t>
      </w:r>
      <w:r w:rsidR="00045DEE" w:rsidRPr="00BD18F3">
        <w:rPr>
          <w:rFonts w:ascii="Arial" w:hAnsi="Arial" w:cs="Arial"/>
          <w:color w:val="0070C0"/>
          <w:kern w:val="24"/>
          <w:sz w:val="21"/>
          <w:szCs w:val="21"/>
          <w:lang w:val="es-ES"/>
        </w:rPr>
        <w:t>)</w:t>
      </w:r>
      <w:r w:rsidRPr="00BD18F3">
        <w:rPr>
          <w:rFonts w:ascii="Arial" w:hAnsi="Arial" w:cs="Arial"/>
          <w:color w:val="0070C0"/>
          <w:kern w:val="24"/>
          <w:sz w:val="21"/>
          <w:szCs w:val="21"/>
          <w:lang w:val="es-ES"/>
        </w:rPr>
        <w:t xml:space="preserve"> </w:t>
      </w:r>
      <w:r w:rsidR="00616B97" w:rsidRPr="00BD18F3">
        <w:rPr>
          <w:rFonts w:ascii="Arial" w:hAnsi="Arial" w:cs="Arial"/>
          <w:color w:val="0070C0"/>
          <w:kern w:val="24"/>
          <w:sz w:val="21"/>
          <w:szCs w:val="21"/>
          <w:lang w:val="es-ES"/>
        </w:rPr>
        <w:t>alcanzó los</w:t>
      </w:r>
      <w:r w:rsidRPr="00BD18F3">
        <w:rPr>
          <w:rFonts w:ascii="Arial" w:hAnsi="Arial" w:cs="Arial"/>
          <w:color w:val="0070C0"/>
          <w:kern w:val="24"/>
          <w:sz w:val="21"/>
          <w:szCs w:val="21"/>
          <w:lang w:val="es-ES"/>
        </w:rPr>
        <w:t xml:space="preserve"> S/ 6</w:t>
      </w:r>
      <w:r w:rsidR="00B26B66" w:rsidRPr="00BD18F3">
        <w:rPr>
          <w:rFonts w:ascii="Arial" w:hAnsi="Arial" w:cs="Arial"/>
          <w:color w:val="0070C0"/>
          <w:kern w:val="24"/>
          <w:sz w:val="21"/>
          <w:szCs w:val="21"/>
          <w:lang w:val="es-ES"/>
        </w:rPr>
        <w:t>3</w:t>
      </w:r>
      <w:r w:rsidRPr="00BD18F3">
        <w:rPr>
          <w:rFonts w:ascii="Arial" w:hAnsi="Arial" w:cs="Arial"/>
          <w:color w:val="0070C0"/>
          <w:kern w:val="24"/>
          <w:sz w:val="21"/>
          <w:szCs w:val="21"/>
          <w:lang w:val="es-ES"/>
        </w:rPr>
        <w:t xml:space="preserve"> </w:t>
      </w:r>
      <w:r w:rsidR="00B26B66" w:rsidRPr="00BD18F3">
        <w:rPr>
          <w:rFonts w:ascii="Arial" w:hAnsi="Arial" w:cs="Arial"/>
          <w:color w:val="0070C0"/>
          <w:kern w:val="24"/>
          <w:sz w:val="21"/>
          <w:szCs w:val="21"/>
          <w:lang w:val="es-ES"/>
        </w:rPr>
        <w:t>505</w:t>
      </w:r>
      <w:r w:rsidRPr="00BD18F3">
        <w:rPr>
          <w:rFonts w:ascii="Arial" w:hAnsi="Arial" w:cs="Arial"/>
          <w:color w:val="0070C0"/>
          <w:kern w:val="24"/>
          <w:sz w:val="21"/>
          <w:szCs w:val="21"/>
          <w:lang w:val="es-ES"/>
        </w:rPr>
        <w:t xml:space="preserve"> millones registrando un incremento de </w:t>
      </w:r>
      <w:r w:rsidR="00B26B66" w:rsidRPr="00BD18F3">
        <w:rPr>
          <w:rFonts w:ascii="Arial" w:hAnsi="Arial" w:cs="Arial"/>
          <w:bCs/>
          <w:color w:val="0070C0"/>
          <w:kern w:val="24"/>
          <w:sz w:val="21"/>
          <w:szCs w:val="21"/>
          <w:lang w:val="es-ES"/>
        </w:rPr>
        <w:t>2,5</w:t>
      </w:r>
      <w:r w:rsidRPr="00BD18F3">
        <w:rPr>
          <w:rFonts w:ascii="Arial" w:hAnsi="Arial" w:cs="Arial"/>
          <w:bCs/>
          <w:color w:val="0070C0"/>
          <w:kern w:val="24"/>
          <w:sz w:val="21"/>
          <w:szCs w:val="21"/>
          <w:lang w:val="es-ES"/>
        </w:rPr>
        <w:t>%</w:t>
      </w:r>
      <w:r w:rsidR="00616B97" w:rsidRPr="00BD18F3">
        <w:rPr>
          <w:rFonts w:ascii="Arial" w:hAnsi="Arial" w:cs="Arial"/>
          <w:color w:val="0070C0"/>
          <w:kern w:val="24"/>
          <w:sz w:val="21"/>
          <w:szCs w:val="21"/>
          <w:lang w:val="es-ES"/>
        </w:rPr>
        <w:t>.</w:t>
      </w:r>
      <w:r w:rsidR="00822B07" w:rsidRPr="00BD18F3">
        <w:rPr>
          <w:rFonts w:ascii="Arial" w:hAnsi="Arial" w:cs="Arial"/>
          <w:color w:val="0070C0"/>
          <w:kern w:val="24"/>
          <w:sz w:val="21"/>
          <w:szCs w:val="21"/>
          <w:lang w:val="es-ES"/>
        </w:rPr>
        <w:t xml:space="preserve"> </w:t>
      </w:r>
      <w:r w:rsidR="00F2628F" w:rsidRPr="00BD18F3">
        <w:rPr>
          <w:rFonts w:ascii="Arial" w:hAnsi="Arial" w:cs="Arial"/>
          <w:kern w:val="24"/>
          <w:sz w:val="21"/>
          <w:szCs w:val="21"/>
          <w:lang w:val="es-ES"/>
        </w:rPr>
        <w:t>Dicho</w:t>
      </w:r>
      <w:r w:rsidRPr="00BD18F3">
        <w:rPr>
          <w:rFonts w:ascii="Arial" w:hAnsi="Arial" w:cs="Arial"/>
          <w:kern w:val="24"/>
          <w:sz w:val="21"/>
          <w:szCs w:val="21"/>
          <w:lang w:val="es-ES"/>
        </w:rPr>
        <w:t xml:space="preserve"> resultado </w:t>
      </w:r>
      <w:r w:rsidR="00616B97" w:rsidRPr="00BD18F3">
        <w:rPr>
          <w:rFonts w:ascii="Arial" w:hAnsi="Arial" w:cs="Arial"/>
          <w:kern w:val="24"/>
          <w:sz w:val="21"/>
          <w:szCs w:val="21"/>
          <w:lang w:val="es-ES"/>
        </w:rPr>
        <w:t xml:space="preserve">permitió </w:t>
      </w:r>
      <w:r w:rsidRPr="00BD18F3">
        <w:rPr>
          <w:rFonts w:ascii="Arial" w:hAnsi="Arial" w:cs="Arial"/>
          <w:kern w:val="24"/>
          <w:sz w:val="21"/>
          <w:szCs w:val="21"/>
          <w:lang w:val="es-ES"/>
        </w:rPr>
        <w:t xml:space="preserve">recaudar </w:t>
      </w:r>
      <w:r w:rsidRPr="00BD18F3">
        <w:rPr>
          <w:rFonts w:ascii="Arial" w:hAnsi="Arial" w:cs="Arial"/>
          <w:bCs/>
          <w:kern w:val="24"/>
          <w:sz w:val="21"/>
          <w:szCs w:val="21"/>
          <w:lang w:val="es-ES"/>
        </w:rPr>
        <w:t xml:space="preserve">S/ </w:t>
      </w:r>
      <w:r w:rsidR="00B26B66" w:rsidRPr="00BD18F3">
        <w:rPr>
          <w:rFonts w:ascii="Arial" w:hAnsi="Arial" w:cs="Arial"/>
          <w:bCs/>
          <w:kern w:val="24"/>
          <w:sz w:val="21"/>
          <w:szCs w:val="21"/>
          <w:lang w:val="es-ES"/>
        </w:rPr>
        <w:t>2</w:t>
      </w:r>
      <w:r w:rsidRPr="00BD18F3">
        <w:rPr>
          <w:rFonts w:ascii="Arial" w:hAnsi="Arial" w:cs="Arial"/>
          <w:bCs/>
          <w:kern w:val="24"/>
          <w:sz w:val="21"/>
          <w:szCs w:val="21"/>
          <w:lang w:val="es-ES"/>
        </w:rPr>
        <w:t xml:space="preserve"> </w:t>
      </w:r>
      <w:r w:rsidR="00B26B66" w:rsidRPr="00BD18F3">
        <w:rPr>
          <w:rFonts w:ascii="Arial" w:hAnsi="Arial" w:cs="Arial"/>
          <w:bCs/>
          <w:kern w:val="24"/>
          <w:sz w:val="21"/>
          <w:szCs w:val="21"/>
          <w:lang w:val="es-ES"/>
        </w:rPr>
        <w:t>839</w:t>
      </w:r>
      <w:r w:rsidRPr="00BD18F3">
        <w:rPr>
          <w:rFonts w:ascii="Arial" w:hAnsi="Arial" w:cs="Arial"/>
          <w:bCs/>
          <w:kern w:val="24"/>
          <w:sz w:val="21"/>
          <w:szCs w:val="21"/>
          <w:lang w:val="es-ES"/>
        </w:rPr>
        <w:t xml:space="preserve"> </w:t>
      </w:r>
      <w:r w:rsidRPr="00BD18F3">
        <w:rPr>
          <w:rFonts w:ascii="Arial" w:hAnsi="Arial" w:cs="Arial"/>
          <w:kern w:val="24"/>
          <w:sz w:val="21"/>
          <w:szCs w:val="21"/>
          <w:lang w:val="es-ES"/>
        </w:rPr>
        <w:t xml:space="preserve">millones más </w:t>
      </w:r>
      <w:r w:rsidR="00A538BD" w:rsidRPr="00BD18F3">
        <w:rPr>
          <w:rFonts w:ascii="Arial" w:hAnsi="Arial" w:cs="Arial"/>
          <w:kern w:val="24"/>
          <w:sz w:val="21"/>
          <w:szCs w:val="21"/>
          <w:lang w:val="es-ES"/>
        </w:rPr>
        <w:t>que en el año 2018</w:t>
      </w:r>
      <w:r w:rsidR="00616B97" w:rsidRPr="00BD18F3">
        <w:rPr>
          <w:rFonts w:ascii="Arial" w:hAnsi="Arial" w:cs="Arial"/>
          <w:kern w:val="24"/>
          <w:sz w:val="21"/>
          <w:szCs w:val="21"/>
          <w:lang w:val="es-ES"/>
        </w:rPr>
        <w:t>.</w:t>
      </w:r>
    </w:p>
    <w:p w14:paraId="7A84A688" w14:textId="45F6E2B8" w:rsidR="00822B07" w:rsidRPr="00BD18F3" w:rsidRDefault="00822B07" w:rsidP="00822B07">
      <w:pPr>
        <w:pStyle w:val="Prrafodelista"/>
        <w:numPr>
          <w:ilvl w:val="0"/>
          <w:numId w:val="11"/>
        </w:numPr>
        <w:spacing w:before="240" w:after="240"/>
        <w:ind w:left="284" w:hanging="218"/>
        <w:contextualSpacing w:val="0"/>
        <w:jc w:val="both"/>
        <w:rPr>
          <w:rFonts w:ascii="Arial" w:eastAsia="Times New Roman" w:hAnsi="Arial" w:cs="Arial"/>
          <w:sz w:val="21"/>
          <w:szCs w:val="21"/>
        </w:rPr>
      </w:pPr>
      <w:r w:rsidRPr="00BD18F3">
        <w:rPr>
          <w:rFonts w:ascii="Arial" w:hAnsi="Arial" w:cs="Arial"/>
          <w:kern w:val="24"/>
          <w:sz w:val="21"/>
          <w:szCs w:val="21"/>
          <w:lang w:val="es-ES"/>
        </w:rPr>
        <w:t>A nivel de componentes, el IGV interno registró una recaudación de S/ 37 892 millones (5,6%) y el IGV importaciones recaudó S/ 25 613 millones (-1,8%).</w:t>
      </w:r>
    </w:p>
    <w:p w14:paraId="326BF463" w14:textId="37806FA8" w:rsidR="00D57CD9" w:rsidRPr="00BD18F3" w:rsidRDefault="00BD18F3" w:rsidP="00616B97">
      <w:pPr>
        <w:spacing w:before="240" w:after="240"/>
        <w:ind w:left="284"/>
        <w:jc w:val="both"/>
        <w:rPr>
          <w:rFonts w:ascii="Arial" w:hAnsi="Arial" w:cs="Arial"/>
          <w:kern w:val="24"/>
          <w:sz w:val="21"/>
          <w:szCs w:val="21"/>
        </w:rPr>
      </w:pPr>
      <w:r w:rsidRPr="00BD18F3">
        <w:rPr>
          <w:rFonts w:ascii="Arial" w:eastAsia="Times New Roman" w:hAnsi="Arial" w:cs="Arial"/>
          <w:noProof/>
          <w:sz w:val="21"/>
          <w:szCs w:val="21"/>
          <w:lang w:val="en-US"/>
        </w:rPr>
        <w:drawing>
          <wp:anchor distT="0" distB="0" distL="114300" distR="114300" simplePos="0" relativeHeight="251698176" behindDoc="0" locked="0" layoutInCell="1" allowOverlap="1" wp14:anchorId="4FF3C717" wp14:editId="1BD5DDBF">
            <wp:simplePos x="0" y="0"/>
            <wp:positionH relativeFrom="column">
              <wp:posOffset>2636520</wp:posOffset>
            </wp:positionH>
            <wp:positionV relativeFrom="paragraph">
              <wp:posOffset>1369695</wp:posOffset>
            </wp:positionV>
            <wp:extent cx="3604260" cy="2208530"/>
            <wp:effectExtent l="0" t="0" r="0" b="1270"/>
            <wp:wrapSquare wrapText="bothSides"/>
            <wp:docPr id="19" name="Gráfico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CD9" w:rsidRPr="00BD18F3">
        <w:rPr>
          <w:rFonts w:ascii="Arial" w:hAnsi="Arial" w:cs="Arial"/>
          <w:kern w:val="24"/>
          <w:sz w:val="21"/>
          <w:szCs w:val="21"/>
          <w:lang w:val="es-ES"/>
        </w:rPr>
        <w:t xml:space="preserve">El resultado </w:t>
      </w:r>
      <w:r w:rsidR="00103F15" w:rsidRPr="00BD18F3">
        <w:rPr>
          <w:rFonts w:ascii="Arial" w:hAnsi="Arial" w:cs="Arial"/>
          <w:kern w:val="24"/>
          <w:sz w:val="21"/>
          <w:szCs w:val="21"/>
          <w:lang w:val="es-ES"/>
        </w:rPr>
        <w:t xml:space="preserve">agregado </w:t>
      </w:r>
      <w:r w:rsidR="00D57CD9" w:rsidRPr="00BD18F3">
        <w:rPr>
          <w:rFonts w:ascii="Arial" w:hAnsi="Arial" w:cs="Arial"/>
          <w:kern w:val="24"/>
          <w:sz w:val="21"/>
          <w:szCs w:val="21"/>
          <w:lang w:val="es-ES"/>
        </w:rPr>
        <w:t xml:space="preserve">positivo se vio favorecido por las acciones </w:t>
      </w:r>
      <w:r w:rsidR="00A538BD" w:rsidRPr="00BD18F3">
        <w:rPr>
          <w:rFonts w:ascii="Arial" w:hAnsi="Arial" w:cs="Arial"/>
          <w:kern w:val="24"/>
          <w:sz w:val="21"/>
          <w:szCs w:val="21"/>
          <w:lang w:val="es-ES"/>
        </w:rPr>
        <w:t>orientadas a la mejora del cumplimiento</w:t>
      </w:r>
      <w:r w:rsidR="00D57CD9" w:rsidRPr="00BD18F3">
        <w:rPr>
          <w:rFonts w:ascii="Arial" w:hAnsi="Arial" w:cs="Arial"/>
          <w:kern w:val="24"/>
          <w:sz w:val="21"/>
          <w:szCs w:val="21"/>
          <w:lang w:val="es-ES"/>
        </w:rPr>
        <w:t xml:space="preserve"> llevadas a cabo por la SUNAT, por los cambios </w:t>
      </w:r>
      <w:r w:rsidR="00616B97" w:rsidRPr="00BD18F3">
        <w:rPr>
          <w:rFonts w:ascii="Arial" w:hAnsi="Arial" w:cs="Arial"/>
          <w:kern w:val="24"/>
          <w:sz w:val="21"/>
          <w:szCs w:val="21"/>
          <w:lang w:val="es-ES"/>
        </w:rPr>
        <w:t xml:space="preserve">normativos </w:t>
      </w:r>
      <w:r w:rsidR="00822B07" w:rsidRPr="00BD18F3">
        <w:rPr>
          <w:rFonts w:ascii="Arial" w:hAnsi="Arial" w:cs="Arial"/>
          <w:kern w:val="24"/>
          <w:sz w:val="21"/>
          <w:szCs w:val="21"/>
          <w:lang w:val="es-ES"/>
        </w:rPr>
        <w:t xml:space="preserve">aplicados </w:t>
      </w:r>
      <w:r w:rsidR="00A538BD" w:rsidRPr="00BD18F3">
        <w:rPr>
          <w:rFonts w:ascii="Arial" w:hAnsi="Arial" w:cs="Arial"/>
          <w:kern w:val="24"/>
          <w:sz w:val="21"/>
          <w:szCs w:val="21"/>
          <w:lang w:val="es-ES"/>
        </w:rPr>
        <w:t xml:space="preserve">tanto </w:t>
      </w:r>
      <w:r w:rsidR="00D57CD9" w:rsidRPr="00BD18F3">
        <w:rPr>
          <w:rFonts w:ascii="Arial" w:hAnsi="Arial" w:cs="Arial"/>
          <w:kern w:val="24"/>
          <w:sz w:val="21"/>
          <w:szCs w:val="21"/>
          <w:lang w:val="es-ES"/>
        </w:rPr>
        <w:t xml:space="preserve">en el </w:t>
      </w:r>
      <w:r w:rsidR="0099594D" w:rsidRPr="00BD18F3">
        <w:rPr>
          <w:rFonts w:ascii="Arial" w:hAnsi="Arial" w:cs="Arial"/>
          <w:kern w:val="24"/>
          <w:sz w:val="21"/>
          <w:szCs w:val="21"/>
          <w:lang w:val="es-ES"/>
        </w:rPr>
        <w:t>Sistema</w:t>
      </w:r>
      <w:r w:rsidR="00D57CD9" w:rsidRPr="00BD18F3">
        <w:rPr>
          <w:rFonts w:ascii="Arial" w:hAnsi="Arial" w:cs="Arial"/>
          <w:kern w:val="24"/>
          <w:sz w:val="21"/>
          <w:szCs w:val="21"/>
        </w:rPr>
        <w:t xml:space="preserve"> de Pagos de Obligaciones Tributarias con el Gobierno Central </w:t>
      </w:r>
      <w:r w:rsidR="00103F15" w:rsidRPr="00BD18F3">
        <w:rPr>
          <w:rFonts w:ascii="Arial" w:hAnsi="Arial" w:cs="Arial"/>
          <w:kern w:val="24"/>
          <w:sz w:val="21"/>
          <w:szCs w:val="21"/>
        </w:rPr>
        <w:t>(</w:t>
      </w:r>
      <w:r w:rsidR="00D57CD9" w:rsidRPr="00BD18F3">
        <w:rPr>
          <w:rFonts w:ascii="Arial" w:hAnsi="Arial" w:cs="Arial"/>
          <w:kern w:val="24"/>
          <w:sz w:val="21"/>
          <w:szCs w:val="21"/>
        </w:rPr>
        <w:t>SPOT</w:t>
      </w:r>
      <w:r w:rsidR="00103F15" w:rsidRPr="00BD18F3">
        <w:rPr>
          <w:rFonts w:ascii="Arial" w:hAnsi="Arial" w:cs="Arial"/>
          <w:kern w:val="24"/>
          <w:sz w:val="21"/>
          <w:szCs w:val="21"/>
        </w:rPr>
        <w:t>)</w:t>
      </w:r>
      <w:r w:rsidR="00D57CD9" w:rsidRPr="00BD18F3">
        <w:rPr>
          <w:rFonts w:ascii="Arial" w:hAnsi="Arial" w:cs="Arial"/>
          <w:kern w:val="24"/>
          <w:sz w:val="21"/>
          <w:szCs w:val="21"/>
        </w:rPr>
        <w:t xml:space="preserve"> </w:t>
      </w:r>
      <w:r w:rsidR="00A538BD" w:rsidRPr="00BD18F3">
        <w:rPr>
          <w:rFonts w:ascii="Arial" w:hAnsi="Arial" w:cs="Arial"/>
          <w:kern w:val="24"/>
          <w:sz w:val="21"/>
          <w:szCs w:val="21"/>
        </w:rPr>
        <w:t>como</w:t>
      </w:r>
      <w:r w:rsidR="00D57CD9" w:rsidRPr="00BD18F3">
        <w:rPr>
          <w:rFonts w:ascii="Arial" w:hAnsi="Arial" w:cs="Arial"/>
          <w:kern w:val="24"/>
          <w:sz w:val="21"/>
          <w:szCs w:val="21"/>
        </w:rPr>
        <w:t xml:space="preserve"> en </w:t>
      </w:r>
      <w:r w:rsidR="00103F15" w:rsidRPr="00BD18F3">
        <w:rPr>
          <w:rFonts w:ascii="Arial" w:hAnsi="Arial" w:cs="Arial"/>
          <w:kern w:val="24"/>
          <w:sz w:val="21"/>
          <w:szCs w:val="21"/>
        </w:rPr>
        <w:t>el</w:t>
      </w:r>
      <w:r w:rsidR="00D57CD9" w:rsidRPr="00BD18F3">
        <w:rPr>
          <w:rFonts w:ascii="Arial" w:hAnsi="Arial" w:cs="Arial"/>
          <w:kern w:val="24"/>
          <w:sz w:val="21"/>
          <w:szCs w:val="21"/>
        </w:rPr>
        <w:t xml:space="preserve"> ISC</w:t>
      </w:r>
      <w:r w:rsidR="00616B97" w:rsidRPr="00BD18F3">
        <w:rPr>
          <w:rFonts w:ascii="Arial" w:hAnsi="Arial" w:cs="Arial"/>
          <w:kern w:val="24"/>
          <w:sz w:val="21"/>
          <w:szCs w:val="21"/>
        </w:rPr>
        <w:t xml:space="preserve"> y</w:t>
      </w:r>
      <w:r w:rsidR="00D57CD9" w:rsidRPr="00BD18F3">
        <w:rPr>
          <w:rFonts w:ascii="Arial" w:hAnsi="Arial" w:cs="Arial"/>
          <w:kern w:val="24"/>
          <w:sz w:val="21"/>
          <w:szCs w:val="21"/>
        </w:rPr>
        <w:t xml:space="preserve"> por el </w:t>
      </w:r>
      <w:r w:rsidR="00D57CD9" w:rsidRPr="00BD18F3">
        <w:rPr>
          <w:rFonts w:ascii="Arial" w:hAnsi="Arial" w:cs="Arial"/>
          <w:kern w:val="24"/>
          <w:sz w:val="21"/>
          <w:szCs w:val="21"/>
          <w:lang w:val="es-ES"/>
        </w:rPr>
        <w:t>desempeño de la demanda interna</w:t>
      </w:r>
      <w:r w:rsidR="00103F15" w:rsidRPr="00BD18F3">
        <w:rPr>
          <w:rFonts w:ascii="Arial" w:hAnsi="Arial" w:cs="Arial"/>
          <w:kern w:val="24"/>
          <w:sz w:val="21"/>
          <w:szCs w:val="21"/>
          <w:lang w:val="es-ES"/>
        </w:rPr>
        <w:t xml:space="preserve"> (</w:t>
      </w:r>
      <w:r w:rsidR="00616B97" w:rsidRPr="00BD18F3">
        <w:rPr>
          <w:rFonts w:ascii="Arial" w:hAnsi="Arial" w:cs="Arial"/>
          <w:kern w:val="24"/>
          <w:sz w:val="21"/>
          <w:szCs w:val="21"/>
          <w:lang w:val="es-ES"/>
        </w:rPr>
        <w:t>que habría crecido alrededor de 2,5%</w:t>
      </w:r>
      <w:r w:rsidR="00616B97" w:rsidRPr="00BD18F3">
        <w:rPr>
          <w:rStyle w:val="Refdenotaalpie"/>
          <w:rFonts w:ascii="Arial" w:hAnsi="Arial" w:cs="Arial"/>
          <w:kern w:val="24"/>
          <w:sz w:val="21"/>
          <w:szCs w:val="21"/>
          <w:lang w:val="es-ES"/>
        </w:rPr>
        <w:footnoteReference w:id="3"/>
      </w:r>
      <w:r w:rsidR="00103F15" w:rsidRPr="00BD18F3">
        <w:rPr>
          <w:rFonts w:ascii="Arial" w:hAnsi="Arial" w:cs="Arial"/>
          <w:kern w:val="24"/>
          <w:sz w:val="21"/>
          <w:szCs w:val="21"/>
          <w:lang w:val="es-ES"/>
        </w:rPr>
        <w:t>)</w:t>
      </w:r>
      <w:r w:rsidR="00616B97" w:rsidRPr="00BD18F3">
        <w:rPr>
          <w:rFonts w:ascii="Arial" w:hAnsi="Arial" w:cs="Arial"/>
          <w:kern w:val="24"/>
          <w:sz w:val="21"/>
          <w:szCs w:val="21"/>
          <w:lang w:val="es-ES"/>
        </w:rPr>
        <w:t xml:space="preserve">; efectos que fueron parcialmente atenuados por la </w:t>
      </w:r>
      <w:r w:rsidR="00BE0263" w:rsidRPr="00BD18F3">
        <w:rPr>
          <w:rFonts w:ascii="Arial" w:hAnsi="Arial" w:cs="Arial"/>
          <w:kern w:val="24"/>
          <w:sz w:val="21"/>
          <w:szCs w:val="21"/>
          <w:lang w:val="es-ES"/>
        </w:rPr>
        <w:t xml:space="preserve">disminución de las </w:t>
      </w:r>
      <w:r w:rsidR="00D57CD9" w:rsidRPr="00BD18F3">
        <w:rPr>
          <w:rFonts w:ascii="Arial" w:hAnsi="Arial" w:cs="Arial"/>
          <w:kern w:val="24"/>
          <w:sz w:val="21"/>
          <w:szCs w:val="21"/>
          <w:lang w:val="es-ES"/>
        </w:rPr>
        <w:t>importaciones</w:t>
      </w:r>
      <w:r w:rsidR="00616B97" w:rsidRPr="00BD18F3">
        <w:rPr>
          <w:rFonts w:ascii="Arial" w:hAnsi="Arial" w:cs="Arial"/>
          <w:kern w:val="24"/>
          <w:sz w:val="21"/>
          <w:szCs w:val="21"/>
          <w:lang w:val="es-ES"/>
        </w:rPr>
        <w:t xml:space="preserve"> experimentada durante el año</w:t>
      </w:r>
      <w:r w:rsidR="00103F15" w:rsidRPr="00BD18F3">
        <w:rPr>
          <w:rFonts w:ascii="Arial" w:hAnsi="Arial" w:cs="Arial"/>
          <w:kern w:val="24"/>
          <w:sz w:val="21"/>
          <w:szCs w:val="21"/>
          <w:lang w:val="es-ES"/>
        </w:rPr>
        <w:t xml:space="preserve">, que </w:t>
      </w:r>
      <w:r w:rsidR="00A538BD" w:rsidRPr="00BD18F3">
        <w:rPr>
          <w:rFonts w:ascii="Arial" w:hAnsi="Arial" w:cs="Arial"/>
          <w:kern w:val="24"/>
          <w:sz w:val="21"/>
          <w:szCs w:val="21"/>
          <w:lang w:val="es-ES"/>
        </w:rPr>
        <w:t xml:space="preserve">afectó </w:t>
      </w:r>
      <w:r w:rsidR="00103F15" w:rsidRPr="00BD18F3">
        <w:rPr>
          <w:rFonts w:ascii="Arial" w:hAnsi="Arial" w:cs="Arial"/>
          <w:kern w:val="24"/>
          <w:sz w:val="21"/>
          <w:szCs w:val="21"/>
          <w:lang w:val="es-ES"/>
        </w:rPr>
        <w:t>al componente de origen externo</w:t>
      </w:r>
      <w:r w:rsidR="00BE0263" w:rsidRPr="00BD18F3">
        <w:rPr>
          <w:rFonts w:ascii="Arial" w:hAnsi="Arial" w:cs="Arial"/>
          <w:kern w:val="24"/>
          <w:sz w:val="21"/>
          <w:szCs w:val="21"/>
          <w:lang w:val="es-ES"/>
        </w:rPr>
        <w:t>.</w:t>
      </w:r>
    </w:p>
    <w:p w14:paraId="61D213BD" w14:textId="1318BFBD" w:rsidR="0000227B" w:rsidRPr="00BD18F3" w:rsidRDefault="0000227B" w:rsidP="00B77E8A">
      <w:pPr>
        <w:spacing w:before="240" w:after="240" w:line="240" w:lineRule="auto"/>
        <w:ind w:left="284"/>
        <w:jc w:val="both"/>
        <w:rPr>
          <w:rFonts w:ascii="Arial" w:hAnsi="Arial" w:cs="Arial"/>
          <w:kern w:val="24"/>
          <w:sz w:val="21"/>
          <w:szCs w:val="21"/>
        </w:rPr>
      </w:pPr>
      <w:bookmarkStart w:id="0" w:name="_Hlk535484836"/>
      <w:r w:rsidRPr="00BD18F3">
        <w:rPr>
          <w:rFonts w:ascii="Arial" w:hAnsi="Arial" w:cs="Arial"/>
          <w:color w:val="0070C0"/>
          <w:kern w:val="24"/>
          <w:sz w:val="21"/>
          <w:szCs w:val="21"/>
          <w:lang w:val="es-ES"/>
        </w:rPr>
        <w:t>La recaudación por concepto de</w:t>
      </w:r>
      <w:r w:rsidR="00103F15" w:rsidRPr="00BD18F3">
        <w:rPr>
          <w:rFonts w:ascii="Arial" w:hAnsi="Arial" w:cs="Arial"/>
          <w:color w:val="0070C0"/>
          <w:kern w:val="24"/>
          <w:sz w:val="21"/>
          <w:szCs w:val="21"/>
          <w:lang w:val="es-ES"/>
        </w:rPr>
        <w:t xml:space="preserve"> Impuesto Selectivo al Consumo (</w:t>
      </w:r>
      <w:r w:rsidRPr="00BD18F3">
        <w:rPr>
          <w:rFonts w:ascii="Arial" w:hAnsi="Arial" w:cs="Arial"/>
          <w:color w:val="0070C0"/>
          <w:kern w:val="24"/>
          <w:sz w:val="21"/>
          <w:szCs w:val="21"/>
          <w:lang w:val="es-ES"/>
        </w:rPr>
        <w:t>ISC</w:t>
      </w:r>
      <w:r w:rsidR="00103F15" w:rsidRPr="00BD18F3">
        <w:rPr>
          <w:rFonts w:ascii="Arial" w:hAnsi="Arial" w:cs="Arial"/>
          <w:color w:val="0070C0"/>
          <w:kern w:val="24"/>
          <w:sz w:val="21"/>
          <w:szCs w:val="21"/>
          <w:lang w:val="es-ES"/>
        </w:rPr>
        <w:t>)</w:t>
      </w:r>
      <w:r w:rsidRPr="00BD18F3">
        <w:rPr>
          <w:rFonts w:ascii="Arial" w:hAnsi="Arial" w:cs="Arial"/>
          <w:color w:val="0070C0"/>
          <w:kern w:val="24"/>
          <w:sz w:val="21"/>
          <w:szCs w:val="21"/>
          <w:lang w:val="es-ES"/>
        </w:rPr>
        <w:t xml:space="preserve"> sumó </w:t>
      </w:r>
      <w:r w:rsidRPr="00BD18F3">
        <w:rPr>
          <w:rFonts w:ascii="Arial" w:hAnsi="Arial" w:cs="Arial"/>
          <w:bCs/>
          <w:color w:val="0070C0"/>
          <w:kern w:val="24"/>
          <w:sz w:val="21"/>
          <w:szCs w:val="21"/>
          <w:lang w:val="es-ES"/>
        </w:rPr>
        <w:t xml:space="preserve">S/ </w:t>
      </w:r>
      <w:r w:rsidR="00A96EF3" w:rsidRPr="00BD18F3">
        <w:rPr>
          <w:rFonts w:ascii="Arial" w:hAnsi="Arial" w:cs="Arial"/>
          <w:bCs/>
          <w:color w:val="0070C0"/>
          <w:kern w:val="24"/>
          <w:sz w:val="21"/>
          <w:szCs w:val="21"/>
          <w:lang w:val="es-ES"/>
        </w:rPr>
        <w:t>8</w:t>
      </w:r>
      <w:r w:rsidRPr="00BD18F3">
        <w:rPr>
          <w:rFonts w:ascii="Arial" w:hAnsi="Arial" w:cs="Arial"/>
          <w:bCs/>
          <w:color w:val="0070C0"/>
          <w:kern w:val="24"/>
          <w:sz w:val="21"/>
          <w:szCs w:val="21"/>
          <w:lang w:val="es-ES"/>
        </w:rPr>
        <w:t xml:space="preserve"> </w:t>
      </w:r>
      <w:r w:rsidR="00A96EF3" w:rsidRPr="00BD18F3">
        <w:rPr>
          <w:rFonts w:ascii="Arial" w:hAnsi="Arial" w:cs="Arial"/>
          <w:bCs/>
          <w:color w:val="0070C0"/>
          <w:kern w:val="24"/>
          <w:sz w:val="21"/>
          <w:szCs w:val="21"/>
          <w:lang w:val="es-ES"/>
        </w:rPr>
        <w:t>216</w:t>
      </w:r>
      <w:r w:rsidRPr="00BD18F3">
        <w:rPr>
          <w:rFonts w:ascii="Arial" w:hAnsi="Arial" w:cs="Arial"/>
          <w:bCs/>
          <w:color w:val="0070C0"/>
          <w:kern w:val="24"/>
          <w:sz w:val="21"/>
          <w:szCs w:val="21"/>
          <w:lang w:val="es-ES"/>
        </w:rPr>
        <w:t xml:space="preserve"> millones</w:t>
      </w:r>
      <w:r w:rsidRPr="00BD18F3">
        <w:rPr>
          <w:rFonts w:ascii="Arial" w:hAnsi="Arial" w:cs="Arial"/>
          <w:color w:val="0070C0"/>
          <w:kern w:val="24"/>
          <w:sz w:val="21"/>
          <w:szCs w:val="21"/>
          <w:lang w:val="es-ES"/>
        </w:rPr>
        <w:t xml:space="preserve">; lo que significó un crecimiento de </w:t>
      </w:r>
      <w:r w:rsidR="00A96EF3" w:rsidRPr="00BD18F3">
        <w:rPr>
          <w:rFonts w:ascii="Arial" w:hAnsi="Arial" w:cs="Arial"/>
          <w:bCs/>
          <w:color w:val="0070C0"/>
          <w:kern w:val="24"/>
          <w:sz w:val="21"/>
          <w:szCs w:val="21"/>
          <w:lang w:val="es-ES"/>
        </w:rPr>
        <w:t>17</w:t>
      </w:r>
      <w:r w:rsidRPr="00BD18F3">
        <w:rPr>
          <w:rFonts w:ascii="Arial" w:hAnsi="Arial" w:cs="Arial"/>
          <w:bCs/>
          <w:color w:val="0070C0"/>
          <w:kern w:val="24"/>
          <w:sz w:val="21"/>
          <w:szCs w:val="21"/>
          <w:lang w:val="es-ES"/>
        </w:rPr>
        <w:t>,</w:t>
      </w:r>
      <w:r w:rsidR="00A96EF3" w:rsidRPr="00BD18F3">
        <w:rPr>
          <w:rFonts w:ascii="Arial" w:hAnsi="Arial" w:cs="Arial"/>
          <w:bCs/>
          <w:color w:val="0070C0"/>
          <w:kern w:val="24"/>
          <w:sz w:val="21"/>
          <w:szCs w:val="21"/>
          <w:lang w:val="es-ES"/>
        </w:rPr>
        <w:t>3</w:t>
      </w:r>
      <w:r w:rsidRPr="00BD18F3">
        <w:rPr>
          <w:rFonts w:ascii="Arial" w:hAnsi="Arial" w:cs="Arial"/>
          <w:bCs/>
          <w:color w:val="0070C0"/>
          <w:kern w:val="24"/>
          <w:sz w:val="21"/>
          <w:szCs w:val="21"/>
          <w:lang w:val="es-ES"/>
        </w:rPr>
        <w:t>%</w:t>
      </w:r>
      <w:r w:rsidRPr="00BD18F3">
        <w:rPr>
          <w:rFonts w:ascii="Arial" w:hAnsi="Arial" w:cs="Arial"/>
          <w:color w:val="0070C0"/>
          <w:kern w:val="24"/>
          <w:sz w:val="21"/>
          <w:szCs w:val="21"/>
          <w:lang w:val="es-ES"/>
        </w:rPr>
        <w:t xml:space="preserve"> </w:t>
      </w:r>
      <w:r w:rsidRPr="00BD18F3">
        <w:rPr>
          <w:rFonts w:ascii="Arial" w:hAnsi="Arial" w:cs="Arial"/>
          <w:kern w:val="24"/>
          <w:sz w:val="21"/>
          <w:szCs w:val="21"/>
          <w:lang w:val="es-ES"/>
        </w:rPr>
        <w:t xml:space="preserve">y una mayor recaudación de S/ </w:t>
      </w:r>
      <w:r w:rsidR="00A96EF3" w:rsidRPr="00BD18F3">
        <w:rPr>
          <w:rFonts w:ascii="Arial" w:hAnsi="Arial" w:cs="Arial"/>
          <w:kern w:val="24"/>
          <w:sz w:val="21"/>
          <w:szCs w:val="21"/>
          <w:lang w:val="es-ES"/>
        </w:rPr>
        <w:t>1 356</w:t>
      </w:r>
      <w:r w:rsidRPr="00BD18F3">
        <w:rPr>
          <w:rFonts w:ascii="Arial" w:hAnsi="Arial" w:cs="Arial"/>
          <w:kern w:val="24"/>
          <w:sz w:val="21"/>
          <w:szCs w:val="21"/>
          <w:lang w:val="es-ES"/>
        </w:rPr>
        <w:t xml:space="preserve"> millones respecto del </w:t>
      </w:r>
      <w:r w:rsidR="00A13217" w:rsidRPr="00BD18F3">
        <w:rPr>
          <w:rFonts w:ascii="Arial" w:hAnsi="Arial" w:cs="Arial"/>
          <w:kern w:val="24"/>
          <w:sz w:val="21"/>
          <w:szCs w:val="21"/>
          <w:lang w:val="es-ES"/>
        </w:rPr>
        <w:t xml:space="preserve">año </w:t>
      </w:r>
      <w:r w:rsidRPr="00BD18F3">
        <w:rPr>
          <w:rFonts w:ascii="Arial" w:hAnsi="Arial" w:cs="Arial"/>
          <w:kern w:val="24"/>
          <w:sz w:val="21"/>
          <w:szCs w:val="21"/>
          <w:lang w:val="es-ES"/>
        </w:rPr>
        <w:t>201</w:t>
      </w:r>
      <w:r w:rsidR="00A96EF3" w:rsidRPr="00BD18F3">
        <w:rPr>
          <w:rFonts w:ascii="Arial" w:hAnsi="Arial" w:cs="Arial"/>
          <w:kern w:val="24"/>
          <w:sz w:val="21"/>
          <w:szCs w:val="21"/>
          <w:lang w:val="es-ES"/>
        </w:rPr>
        <w:t>8</w:t>
      </w:r>
      <w:bookmarkEnd w:id="0"/>
      <w:r w:rsidRPr="00BD18F3">
        <w:rPr>
          <w:rFonts w:ascii="Arial" w:hAnsi="Arial" w:cs="Arial"/>
          <w:kern w:val="24"/>
          <w:sz w:val="21"/>
          <w:szCs w:val="21"/>
          <w:lang w:val="es-ES"/>
        </w:rPr>
        <w:t xml:space="preserve">. </w:t>
      </w:r>
    </w:p>
    <w:p w14:paraId="534C30F2" w14:textId="5FE090C2" w:rsidR="0000227B" w:rsidRPr="00BD18F3" w:rsidRDefault="00A538BD" w:rsidP="00A13217">
      <w:pPr>
        <w:spacing w:before="240" w:after="240"/>
        <w:ind w:left="284"/>
        <w:jc w:val="both"/>
        <w:rPr>
          <w:rFonts w:ascii="Arial" w:hAnsi="Arial" w:cs="Arial"/>
          <w:kern w:val="24"/>
          <w:sz w:val="21"/>
          <w:szCs w:val="21"/>
        </w:rPr>
      </w:pPr>
      <w:r w:rsidRPr="00BD18F3">
        <w:rPr>
          <w:rFonts w:ascii="Arial" w:hAnsi="Arial" w:cs="Arial"/>
          <w:noProof/>
          <w:kern w:val="24"/>
          <w:sz w:val="21"/>
          <w:szCs w:val="21"/>
          <w:lang w:val="en-US"/>
        </w:rPr>
        <w:drawing>
          <wp:anchor distT="0" distB="0" distL="114300" distR="114300" simplePos="0" relativeHeight="251699200" behindDoc="0" locked="0" layoutInCell="1" allowOverlap="1" wp14:anchorId="15B3DE2A" wp14:editId="6B59E1A7">
            <wp:simplePos x="0" y="0"/>
            <wp:positionH relativeFrom="column">
              <wp:posOffset>2636520</wp:posOffset>
            </wp:positionH>
            <wp:positionV relativeFrom="paragraph">
              <wp:posOffset>1216025</wp:posOffset>
            </wp:positionV>
            <wp:extent cx="3642360" cy="1823720"/>
            <wp:effectExtent l="0" t="0" r="0" b="5080"/>
            <wp:wrapSquare wrapText="bothSides"/>
            <wp:docPr id="21" name="Gráfico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3217" w:rsidRPr="00BD18F3">
        <w:rPr>
          <w:rFonts w:ascii="Arial" w:hAnsi="Arial" w:cs="Arial"/>
          <w:kern w:val="24"/>
          <w:sz w:val="21"/>
          <w:szCs w:val="21"/>
          <w:lang w:val="es-ES"/>
        </w:rPr>
        <w:t xml:space="preserve">El </w:t>
      </w:r>
      <w:r w:rsidR="00103F15" w:rsidRPr="00BD18F3">
        <w:rPr>
          <w:rFonts w:ascii="Arial" w:hAnsi="Arial" w:cs="Arial"/>
          <w:kern w:val="24"/>
          <w:sz w:val="21"/>
          <w:szCs w:val="21"/>
          <w:lang w:val="es-ES"/>
        </w:rPr>
        <w:t>crecimiento se</w:t>
      </w:r>
      <w:r w:rsidR="0000227B" w:rsidRPr="00BD18F3">
        <w:rPr>
          <w:rFonts w:ascii="Arial" w:hAnsi="Arial" w:cs="Arial"/>
          <w:kern w:val="24"/>
          <w:sz w:val="21"/>
          <w:szCs w:val="21"/>
          <w:lang w:val="es-ES"/>
        </w:rPr>
        <w:t xml:space="preserve"> debe no sólo a la evolución de la actividad económica sino a</w:t>
      </w:r>
      <w:r w:rsidR="000E5703" w:rsidRPr="00BD18F3">
        <w:rPr>
          <w:rFonts w:ascii="Arial" w:hAnsi="Arial" w:cs="Arial"/>
          <w:kern w:val="24"/>
          <w:sz w:val="21"/>
          <w:szCs w:val="21"/>
          <w:lang w:val="es-ES"/>
        </w:rPr>
        <w:t xml:space="preserve"> </w:t>
      </w:r>
      <w:r w:rsidR="0000227B" w:rsidRPr="00BD18F3">
        <w:rPr>
          <w:rFonts w:ascii="Arial" w:hAnsi="Arial" w:cs="Arial"/>
          <w:kern w:val="24"/>
          <w:sz w:val="21"/>
          <w:szCs w:val="21"/>
          <w:lang w:val="es-ES"/>
        </w:rPr>
        <w:t>l</w:t>
      </w:r>
      <w:r w:rsidR="000E5703" w:rsidRPr="00BD18F3">
        <w:rPr>
          <w:rFonts w:ascii="Arial" w:hAnsi="Arial" w:cs="Arial"/>
          <w:kern w:val="24"/>
          <w:sz w:val="21"/>
          <w:szCs w:val="21"/>
          <w:lang w:val="es-ES"/>
        </w:rPr>
        <w:t>os cambios en las</w:t>
      </w:r>
      <w:r w:rsidR="0000227B" w:rsidRPr="00BD18F3">
        <w:rPr>
          <w:rFonts w:ascii="Arial" w:hAnsi="Arial" w:cs="Arial"/>
          <w:kern w:val="24"/>
          <w:sz w:val="21"/>
          <w:szCs w:val="21"/>
          <w:lang w:val="es-ES"/>
        </w:rPr>
        <w:t xml:space="preserve"> tasas impositivas </w:t>
      </w:r>
      <w:r w:rsidR="000E5703" w:rsidRPr="00BD18F3">
        <w:rPr>
          <w:rFonts w:ascii="Arial" w:hAnsi="Arial" w:cs="Arial"/>
          <w:kern w:val="24"/>
          <w:sz w:val="21"/>
          <w:szCs w:val="21"/>
          <w:lang w:val="es-ES"/>
        </w:rPr>
        <w:t xml:space="preserve">aprobados entre </w:t>
      </w:r>
      <w:r w:rsidR="0000227B" w:rsidRPr="00BD18F3">
        <w:rPr>
          <w:rFonts w:ascii="Arial" w:hAnsi="Arial" w:cs="Arial"/>
          <w:kern w:val="24"/>
          <w:sz w:val="21"/>
          <w:szCs w:val="21"/>
          <w:lang w:val="es-ES"/>
        </w:rPr>
        <w:t xml:space="preserve">mayo </w:t>
      </w:r>
      <w:r w:rsidR="004F68EF" w:rsidRPr="00BD18F3">
        <w:rPr>
          <w:rFonts w:ascii="Arial" w:hAnsi="Arial" w:cs="Arial"/>
          <w:kern w:val="24"/>
          <w:sz w:val="21"/>
          <w:szCs w:val="21"/>
          <w:lang w:val="es-ES"/>
        </w:rPr>
        <w:t xml:space="preserve">del </w:t>
      </w:r>
      <w:r w:rsidR="0000227B" w:rsidRPr="00BD18F3">
        <w:rPr>
          <w:rFonts w:ascii="Arial" w:hAnsi="Arial" w:cs="Arial"/>
          <w:kern w:val="24"/>
          <w:sz w:val="21"/>
          <w:szCs w:val="21"/>
          <w:lang w:val="es-ES"/>
        </w:rPr>
        <w:t>2018</w:t>
      </w:r>
      <w:r w:rsidR="000E5703" w:rsidRPr="00BD18F3">
        <w:rPr>
          <w:rFonts w:ascii="Arial" w:hAnsi="Arial" w:cs="Arial"/>
          <w:kern w:val="24"/>
          <w:sz w:val="21"/>
          <w:szCs w:val="21"/>
          <w:lang w:val="es-ES"/>
        </w:rPr>
        <w:t xml:space="preserve"> y junio de</w:t>
      </w:r>
      <w:r w:rsidR="004F68EF" w:rsidRPr="00BD18F3">
        <w:rPr>
          <w:rFonts w:ascii="Arial" w:hAnsi="Arial" w:cs="Arial"/>
          <w:kern w:val="24"/>
          <w:sz w:val="21"/>
          <w:szCs w:val="21"/>
          <w:lang w:val="es-ES"/>
        </w:rPr>
        <w:t>l</w:t>
      </w:r>
      <w:r w:rsidR="000E5703" w:rsidRPr="00BD18F3">
        <w:rPr>
          <w:rFonts w:ascii="Arial" w:hAnsi="Arial" w:cs="Arial"/>
          <w:kern w:val="24"/>
          <w:sz w:val="21"/>
          <w:szCs w:val="21"/>
          <w:lang w:val="es-ES"/>
        </w:rPr>
        <w:t xml:space="preserve"> 2019</w:t>
      </w:r>
      <w:r w:rsidR="00EC72CB" w:rsidRPr="00BD18F3">
        <w:rPr>
          <w:rFonts w:ascii="Arial" w:hAnsi="Arial" w:cs="Arial"/>
          <w:kern w:val="24"/>
          <w:sz w:val="21"/>
          <w:szCs w:val="21"/>
          <w:lang w:val="es-ES"/>
        </w:rPr>
        <w:t xml:space="preserve"> en bienes como c</w:t>
      </w:r>
      <w:r w:rsidR="00256670" w:rsidRPr="00BD18F3">
        <w:rPr>
          <w:rFonts w:ascii="Arial" w:hAnsi="Arial" w:cs="Arial"/>
          <w:kern w:val="24"/>
          <w:sz w:val="21"/>
          <w:szCs w:val="21"/>
          <w:lang w:val="es-ES"/>
        </w:rPr>
        <w:t>ombustibles, bebidas</w:t>
      </w:r>
      <w:r w:rsidR="00EC72CB" w:rsidRPr="00BD18F3">
        <w:rPr>
          <w:rFonts w:ascii="Arial" w:hAnsi="Arial" w:cs="Arial"/>
          <w:kern w:val="24"/>
          <w:sz w:val="21"/>
          <w:szCs w:val="21"/>
          <w:lang w:val="es-ES"/>
        </w:rPr>
        <w:t xml:space="preserve">, vehículos y </w:t>
      </w:r>
      <w:r w:rsidR="00256670" w:rsidRPr="00BD18F3">
        <w:rPr>
          <w:rFonts w:ascii="Arial" w:hAnsi="Arial" w:cs="Arial"/>
          <w:kern w:val="24"/>
          <w:sz w:val="21"/>
          <w:szCs w:val="21"/>
          <w:lang w:val="es-ES"/>
        </w:rPr>
        <w:t>cigarrillos</w:t>
      </w:r>
      <w:r w:rsidR="00EC72CB" w:rsidRPr="00BD18F3">
        <w:rPr>
          <w:rFonts w:ascii="Arial" w:hAnsi="Arial" w:cs="Arial"/>
          <w:kern w:val="24"/>
          <w:sz w:val="21"/>
          <w:szCs w:val="21"/>
          <w:lang w:val="es-ES"/>
        </w:rPr>
        <w:t xml:space="preserve">. </w:t>
      </w:r>
      <w:r w:rsidR="00256670" w:rsidRPr="00BD18F3">
        <w:rPr>
          <w:rFonts w:ascii="Arial" w:hAnsi="Arial" w:cs="Arial"/>
          <w:kern w:val="24"/>
          <w:sz w:val="21"/>
          <w:szCs w:val="21"/>
          <w:lang w:val="es-ES"/>
        </w:rPr>
        <w:t xml:space="preserve"> </w:t>
      </w:r>
    </w:p>
    <w:p w14:paraId="3D8DEB68" w14:textId="25D73114" w:rsidR="0000227B" w:rsidRPr="00BD18F3" w:rsidRDefault="00C66E41" w:rsidP="00A13217">
      <w:pPr>
        <w:pStyle w:val="Prrafodelista"/>
        <w:numPr>
          <w:ilvl w:val="0"/>
          <w:numId w:val="11"/>
        </w:numPr>
        <w:spacing w:before="240" w:after="240"/>
        <w:ind w:left="284" w:hanging="218"/>
        <w:contextualSpacing w:val="0"/>
        <w:jc w:val="both"/>
        <w:rPr>
          <w:rFonts w:ascii="Arial" w:hAnsi="Arial" w:cs="Arial"/>
          <w:kern w:val="24"/>
          <w:sz w:val="21"/>
          <w:szCs w:val="21"/>
        </w:rPr>
      </w:pPr>
      <w:r w:rsidRPr="00C66E41">
        <w:rPr>
          <w:rFonts w:ascii="Arial" w:hAnsi="Arial" w:cs="Arial"/>
          <w:color w:val="0070C0"/>
          <w:kern w:val="24"/>
          <w:sz w:val="21"/>
          <w:szCs w:val="21"/>
        </w:rPr>
        <w:t>L</w:t>
      </w:r>
      <w:r w:rsidR="0000227B" w:rsidRPr="00BD18F3">
        <w:rPr>
          <w:rFonts w:ascii="Arial" w:hAnsi="Arial" w:cs="Arial"/>
          <w:color w:val="0070C0"/>
          <w:kern w:val="24"/>
          <w:sz w:val="21"/>
          <w:szCs w:val="21"/>
        </w:rPr>
        <w:t xml:space="preserve">as devoluciones </w:t>
      </w:r>
      <w:r w:rsidR="0000227B" w:rsidRPr="00BD18F3">
        <w:rPr>
          <w:rFonts w:ascii="Arial" w:hAnsi="Arial" w:cs="Arial"/>
          <w:color w:val="0070C0"/>
          <w:kern w:val="24"/>
          <w:sz w:val="21"/>
          <w:szCs w:val="21"/>
          <w:lang w:val="es-ES"/>
        </w:rPr>
        <w:t>ascendieron</w:t>
      </w:r>
      <w:r w:rsidR="0000227B" w:rsidRPr="00BD18F3">
        <w:rPr>
          <w:rFonts w:ascii="Arial" w:hAnsi="Arial" w:cs="Arial"/>
          <w:color w:val="0070C0"/>
          <w:kern w:val="24"/>
          <w:sz w:val="21"/>
          <w:szCs w:val="21"/>
        </w:rPr>
        <w:t xml:space="preserve"> a S/ </w:t>
      </w:r>
      <w:r w:rsidR="00C551FF" w:rsidRPr="00BD18F3">
        <w:rPr>
          <w:rFonts w:ascii="Arial" w:hAnsi="Arial" w:cs="Arial"/>
          <w:bCs/>
          <w:color w:val="0070C0"/>
          <w:kern w:val="24"/>
          <w:sz w:val="21"/>
          <w:szCs w:val="21"/>
        </w:rPr>
        <w:t>18 046</w:t>
      </w:r>
      <w:r w:rsidR="0000227B" w:rsidRPr="00BD18F3">
        <w:rPr>
          <w:rFonts w:ascii="Arial" w:hAnsi="Arial" w:cs="Arial"/>
          <w:bCs/>
          <w:color w:val="0070C0"/>
          <w:kern w:val="24"/>
          <w:sz w:val="21"/>
          <w:szCs w:val="21"/>
        </w:rPr>
        <w:t xml:space="preserve"> </w:t>
      </w:r>
      <w:r w:rsidR="00B356FF" w:rsidRPr="00BD18F3">
        <w:rPr>
          <w:rFonts w:ascii="Arial" w:hAnsi="Arial" w:cs="Arial"/>
          <w:color w:val="0070C0"/>
          <w:kern w:val="24"/>
          <w:sz w:val="21"/>
          <w:szCs w:val="21"/>
        </w:rPr>
        <w:t>millones durante 201</w:t>
      </w:r>
      <w:r w:rsidR="00C551FF" w:rsidRPr="00BD18F3">
        <w:rPr>
          <w:rFonts w:ascii="Arial" w:hAnsi="Arial" w:cs="Arial"/>
          <w:color w:val="0070C0"/>
          <w:kern w:val="24"/>
          <w:sz w:val="21"/>
          <w:szCs w:val="21"/>
        </w:rPr>
        <w:t>9</w:t>
      </w:r>
      <w:r w:rsidR="00B356FF" w:rsidRPr="00BD18F3">
        <w:rPr>
          <w:rFonts w:ascii="Arial" w:hAnsi="Arial" w:cs="Arial"/>
          <w:color w:val="0070C0"/>
          <w:kern w:val="24"/>
          <w:sz w:val="21"/>
          <w:szCs w:val="21"/>
        </w:rPr>
        <w:t xml:space="preserve">, importe </w:t>
      </w:r>
      <w:r w:rsidR="0073108F" w:rsidRPr="00BD18F3">
        <w:rPr>
          <w:rFonts w:ascii="Arial" w:hAnsi="Arial" w:cs="Arial"/>
          <w:color w:val="0070C0"/>
          <w:kern w:val="24"/>
          <w:sz w:val="21"/>
          <w:szCs w:val="21"/>
        </w:rPr>
        <w:t>que representó</w:t>
      </w:r>
      <w:r w:rsidR="0000227B" w:rsidRPr="00BD18F3">
        <w:rPr>
          <w:rFonts w:ascii="Arial" w:hAnsi="Arial" w:cs="Arial"/>
          <w:color w:val="0070C0"/>
          <w:kern w:val="24"/>
          <w:sz w:val="21"/>
          <w:szCs w:val="21"/>
        </w:rPr>
        <w:t xml:space="preserve"> </w:t>
      </w:r>
      <w:r w:rsidR="00A13217" w:rsidRPr="00BD18F3">
        <w:rPr>
          <w:rFonts w:ascii="Arial" w:hAnsi="Arial" w:cs="Arial"/>
          <w:color w:val="0070C0"/>
          <w:kern w:val="24"/>
          <w:sz w:val="21"/>
          <w:szCs w:val="21"/>
        </w:rPr>
        <w:t xml:space="preserve">un </w:t>
      </w:r>
      <w:r w:rsidR="00177914" w:rsidRPr="00BD18F3">
        <w:rPr>
          <w:rFonts w:ascii="Arial" w:hAnsi="Arial" w:cs="Arial"/>
          <w:color w:val="0070C0"/>
          <w:kern w:val="24"/>
          <w:sz w:val="21"/>
          <w:szCs w:val="21"/>
        </w:rPr>
        <w:t>aumento de</w:t>
      </w:r>
      <w:r w:rsidR="0000227B" w:rsidRPr="00BD18F3">
        <w:rPr>
          <w:rFonts w:ascii="Arial" w:hAnsi="Arial" w:cs="Arial"/>
          <w:color w:val="0070C0"/>
          <w:kern w:val="24"/>
          <w:sz w:val="21"/>
          <w:szCs w:val="21"/>
        </w:rPr>
        <w:t xml:space="preserve"> </w:t>
      </w:r>
      <w:r w:rsidR="00C551FF" w:rsidRPr="00BD18F3">
        <w:rPr>
          <w:rFonts w:ascii="Arial" w:hAnsi="Arial" w:cs="Arial"/>
          <w:bCs/>
          <w:color w:val="0070C0"/>
          <w:kern w:val="24"/>
          <w:sz w:val="21"/>
          <w:szCs w:val="21"/>
        </w:rPr>
        <w:t>6,5</w:t>
      </w:r>
      <w:r w:rsidR="0000227B" w:rsidRPr="00BD18F3">
        <w:rPr>
          <w:rFonts w:ascii="Arial" w:hAnsi="Arial" w:cs="Arial"/>
          <w:bCs/>
          <w:color w:val="0070C0"/>
          <w:kern w:val="24"/>
          <w:sz w:val="21"/>
          <w:szCs w:val="21"/>
        </w:rPr>
        <w:t>%.</w:t>
      </w:r>
    </w:p>
    <w:p w14:paraId="088CBCCB" w14:textId="2A7B5936" w:rsidR="00B356FF" w:rsidRPr="00BD18F3" w:rsidRDefault="00E32235" w:rsidP="00A13217">
      <w:pPr>
        <w:spacing w:before="240" w:after="240"/>
        <w:ind w:left="284"/>
        <w:jc w:val="both"/>
        <w:rPr>
          <w:rFonts w:ascii="Arial" w:hAnsi="Arial" w:cs="Arial"/>
          <w:kern w:val="24"/>
          <w:sz w:val="21"/>
          <w:szCs w:val="21"/>
          <w:lang w:val="es-ES"/>
        </w:rPr>
      </w:pPr>
      <w:r w:rsidRPr="00BD18F3">
        <w:rPr>
          <w:rFonts w:ascii="Arial" w:hAnsi="Arial" w:cs="Arial"/>
          <w:kern w:val="24"/>
          <w:sz w:val="21"/>
          <w:szCs w:val="21"/>
        </w:rPr>
        <w:t>Ese</w:t>
      </w:r>
      <w:r w:rsidR="00256670" w:rsidRPr="00BD18F3">
        <w:rPr>
          <w:rFonts w:ascii="Arial" w:hAnsi="Arial" w:cs="Arial"/>
          <w:kern w:val="24"/>
          <w:sz w:val="21"/>
          <w:szCs w:val="21"/>
        </w:rPr>
        <w:t xml:space="preserve"> </w:t>
      </w:r>
      <w:r w:rsidR="00595471" w:rsidRPr="00BD18F3">
        <w:rPr>
          <w:rFonts w:ascii="Arial" w:hAnsi="Arial" w:cs="Arial"/>
          <w:kern w:val="24"/>
          <w:sz w:val="21"/>
          <w:szCs w:val="21"/>
        </w:rPr>
        <w:t>incremento está sustentado</w:t>
      </w:r>
      <w:r w:rsidR="004F68EF" w:rsidRPr="00BD18F3">
        <w:rPr>
          <w:rFonts w:ascii="Arial" w:hAnsi="Arial" w:cs="Arial"/>
          <w:kern w:val="24"/>
          <w:sz w:val="21"/>
          <w:szCs w:val="21"/>
        </w:rPr>
        <w:t>,</w:t>
      </w:r>
      <w:r w:rsidR="00595471" w:rsidRPr="00BD18F3">
        <w:rPr>
          <w:rFonts w:ascii="Arial" w:hAnsi="Arial" w:cs="Arial"/>
          <w:kern w:val="24"/>
          <w:sz w:val="21"/>
          <w:szCs w:val="21"/>
        </w:rPr>
        <w:t xml:space="preserve"> principalmente</w:t>
      </w:r>
      <w:r w:rsidR="004F68EF" w:rsidRPr="00BD18F3">
        <w:rPr>
          <w:rFonts w:ascii="Arial" w:hAnsi="Arial" w:cs="Arial"/>
          <w:kern w:val="24"/>
          <w:sz w:val="21"/>
          <w:szCs w:val="21"/>
        </w:rPr>
        <w:t>,</w:t>
      </w:r>
      <w:r w:rsidR="00595471" w:rsidRPr="00BD18F3">
        <w:rPr>
          <w:rFonts w:ascii="Arial" w:hAnsi="Arial" w:cs="Arial"/>
          <w:kern w:val="24"/>
          <w:sz w:val="21"/>
          <w:szCs w:val="21"/>
        </w:rPr>
        <w:t xml:space="preserve"> en las mayores devoluciones a los exportadores y a los proyectos de inversión acogidos al </w:t>
      </w:r>
      <w:r w:rsidR="00256670" w:rsidRPr="00BD18F3">
        <w:rPr>
          <w:rFonts w:ascii="Arial" w:hAnsi="Arial" w:cs="Arial"/>
          <w:kern w:val="24"/>
          <w:sz w:val="21"/>
          <w:szCs w:val="21"/>
          <w:lang w:val="es-ES"/>
        </w:rPr>
        <w:t>Régimen de Recuperación Anticipada del IGV</w:t>
      </w:r>
      <w:r w:rsidR="00E9027F" w:rsidRPr="00BD18F3">
        <w:rPr>
          <w:rFonts w:ascii="Arial" w:hAnsi="Arial" w:cs="Arial"/>
          <w:kern w:val="24"/>
          <w:sz w:val="21"/>
          <w:szCs w:val="21"/>
          <w:lang w:val="es-ES"/>
        </w:rPr>
        <w:t xml:space="preserve"> </w:t>
      </w:r>
      <w:r w:rsidR="00256670" w:rsidRPr="00BD18F3">
        <w:rPr>
          <w:rFonts w:ascii="Arial" w:hAnsi="Arial" w:cs="Arial"/>
          <w:kern w:val="24"/>
          <w:sz w:val="21"/>
          <w:szCs w:val="21"/>
          <w:lang w:val="es-ES"/>
        </w:rPr>
        <w:t>(</w:t>
      </w:r>
      <w:r w:rsidR="00E9027F" w:rsidRPr="00BD18F3">
        <w:rPr>
          <w:rFonts w:ascii="Arial" w:hAnsi="Arial" w:cs="Arial"/>
          <w:kern w:val="24"/>
          <w:sz w:val="21"/>
          <w:szCs w:val="21"/>
          <w:lang w:val="es-ES"/>
        </w:rPr>
        <w:t>RAIGV</w:t>
      </w:r>
      <w:r w:rsidR="00256670" w:rsidRPr="00BD18F3">
        <w:rPr>
          <w:rFonts w:ascii="Arial" w:hAnsi="Arial" w:cs="Arial"/>
          <w:kern w:val="24"/>
          <w:sz w:val="21"/>
          <w:szCs w:val="21"/>
          <w:lang w:val="es-ES"/>
        </w:rPr>
        <w:t>)</w:t>
      </w:r>
      <w:r w:rsidR="00525415" w:rsidRPr="00BD18F3">
        <w:rPr>
          <w:rFonts w:ascii="Arial" w:hAnsi="Arial" w:cs="Arial"/>
          <w:kern w:val="24"/>
          <w:sz w:val="21"/>
          <w:szCs w:val="21"/>
          <w:lang w:val="es-ES"/>
        </w:rPr>
        <w:t xml:space="preserve">. </w:t>
      </w:r>
      <w:r w:rsidR="00595471" w:rsidRPr="00BD18F3">
        <w:rPr>
          <w:rFonts w:ascii="Arial" w:hAnsi="Arial" w:cs="Arial"/>
          <w:kern w:val="24"/>
          <w:sz w:val="21"/>
          <w:szCs w:val="21"/>
          <w:lang w:val="es-ES"/>
        </w:rPr>
        <w:t xml:space="preserve">A ello se une la </w:t>
      </w:r>
      <w:r w:rsidR="00595471" w:rsidRPr="00BD18F3">
        <w:rPr>
          <w:rFonts w:ascii="Arial" w:hAnsi="Arial" w:cs="Arial"/>
          <w:kern w:val="24"/>
          <w:sz w:val="21"/>
          <w:szCs w:val="21"/>
          <w:lang w:val="es-ES"/>
        </w:rPr>
        <w:lastRenderedPageBreak/>
        <w:t xml:space="preserve">aplicación de </w:t>
      </w:r>
      <w:r w:rsidR="00525415" w:rsidRPr="00BD18F3">
        <w:rPr>
          <w:rFonts w:ascii="Arial" w:hAnsi="Arial" w:cs="Arial"/>
          <w:kern w:val="24"/>
          <w:sz w:val="21"/>
          <w:szCs w:val="21"/>
          <w:lang w:val="es-ES"/>
        </w:rPr>
        <w:t>las deducciones adicionales de hasta 3 UIT a las personas naturales.</w:t>
      </w:r>
    </w:p>
    <w:p w14:paraId="6DD48F42" w14:textId="5E56FA6A" w:rsidR="00DC68BF" w:rsidRPr="00BD18F3" w:rsidRDefault="00DC68BF" w:rsidP="00F14A2E">
      <w:pPr>
        <w:spacing w:before="240" w:after="240" w:line="240" w:lineRule="auto"/>
        <w:ind w:left="284"/>
        <w:rPr>
          <w:rFonts w:ascii="Arial" w:hAnsi="Arial" w:cs="Arial"/>
          <w:b/>
          <w:sz w:val="21"/>
          <w:szCs w:val="21"/>
        </w:rPr>
      </w:pPr>
      <w:r w:rsidRPr="00BD18F3">
        <w:rPr>
          <w:rFonts w:ascii="Arial" w:hAnsi="Arial" w:cs="Arial"/>
          <w:b/>
          <w:sz w:val="21"/>
          <w:szCs w:val="21"/>
        </w:rPr>
        <w:t>Acciones de la SUNAT en la recuperación de deuda y facilitación del comercio exterior</w:t>
      </w:r>
    </w:p>
    <w:p w14:paraId="3EC45158" w14:textId="013F5999" w:rsidR="00FB1496" w:rsidRPr="00BD18F3" w:rsidRDefault="00BD18F3" w:rsidP="004F68EF">
      <w:pPr>
        <w:spacing w:before="240" w:after="240" w:line="240" w:lineRule="auto"/>
        <w:ind w:left="284"/>
        <w:jc w:val="both"/>
        <w:rPr>
          <w:rFonts w:ascii="Arial" w:hAnsi="Arial" w:cs="Arial"/>
          <w:b/>
          <w:sz w:val="21"/>
          <w:szCs w:val="21"/>
        </w:rPr>
      </w:pPr>
      <w:r w:rsidRPr="00BD18F3">
        <w:rPr>
          <w:rFonts w:ascii="Times New Roman" w:hAnsi="Times New Roman" w:cs="Times New Roman"/>
          <w:noProof/>
          <w:sz w:val="21"/>
          <w:szCs w:val="21"/>
        </w:rPr>
        <w:drawing>
          <wp:anchor distT="0" distB="0" distL="114300" distR="114300" simplePos="0" relativeHeight="251707392" behindDoc="0" locked="0" layoutInCell="1" allowOverlap="1" wp14:anchorId="1760D5F7" wp14:editId="7BF66D35">
            <wp:simplePos x="0" y="0"/>
            <wp:positionH relativeFrom="column">
              <wp:posOffset>2514600</wp:posOffset>
            </wp:positionH>
            <wp:positionV relativeFrom="paragraph">
              <wp:posOffset>2182495</wp:posOffset>
            </wp:positionV>
            <wp:extent cx="3688080" cy="2162175"/>
            <wp:effectExtent l="0" t="0" r="7620" b="9525"/>
            <wp:wrapSquare wrapText="bothSides"/>
            <wp:docPr id="6" name="Imagen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áfico 38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080" cy="216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68EF" w:rsidRPr="00BD18F3">
        <w:rPr>
          <w:rFonts w:ascii="Times New Roman" w:hAnsi="Times New Roman" w:cs="Times New Roman"/>
          <w:noProof/>
          <w:sz w:val="21"/>
          <w:szCs w:val="21"/>
        </w:rPr>
        <w:drawing>
          <wp:anchor distT="0" distB="0" distL="114300" distR="114300" simplePos="0" relativeHeight="251705344" behindDoc="0" locked="0" layoutInCell="1" allowOverlap="1" wp14:anchorId="74C516F1" wp14:editId="500141B3">
            <wp:simplePos x="0" y="0"/>
            <wp:positionH relativeFrom="margin">
              <wp:posOffset>2512060</wp:posOffset>
            </wp:positionH>
            <wp:positionV relativeFrom="paragraph">
              <wp:posOffset>25400</wp:posOffset>
            </wp:positionV>
            <wp:extent cx="3676650" cy="209550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áfico 31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09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3D9E" w:rsidRPr="00BD18F3">
        <w:rPr>
          <w:rFonts w:ascii="Arial" w:hAnsi="Arial" w:cs="Arial"/>
          <w:color w:val="000000"/>
          <w:sz w:val="21"/>
          <w:szCs w:val="21"/>
          <w:lang w:val="es-ES"/>
        </w:rPr>
        <w:t xml:space="preserve">Por el lado de los buenos resultados de las acciones de la SUNAT, </w:t>
      </w:r>
      <w:r w:rsidR="00583D9E" w:rsidRPr="00BD18F3">
        <w:rPr>
          <w:rFonts w:ascii="Arial" w:eastAsiaTheme="minorEastAsia" w:hAnsi="Arial" w:cs="Arial"/>
          <w:color w:val="0070C0"/>
          <w:kern w:val="24"/>
          <w:sz w:val="21"/>
          <w:szCs w:val="21"/>
          <w:lang w:eastAsia="es-PE"/>
        </w:rPr>
        <w:t>la Tasa de Morosidad de los contribuyentes en el Régimen de Tercera Categoría,</w:t>
      </w:r>
      <w:r w:rsidR="00583D9E" w:rsidRPr="00BD18F3">
        <w:rPr>
          <w:rFonts w:ascii="Arial" w:hAnsi="Arial" w:cs="Arial"/>
          <w:color w:val="000000"/>
          <w:sz w:val="21"/>
          <w:szCs w:val="21"/>
          <w:lang w:val="es-ES"/>
        </w:rPr>
        <w:t xml:space="preserve"> entendida como los montos dejados de cancelar por los contribuyentes al momento de hacer sus declaraciones mensuales y que son recuperados hasta el último día del mes siguiente de la obligación, cerró en 1,6%, nivel inferior a</w:t>
      </w:r>
      <w:r w:rsidR="004F68EF" w:rsidRPr="00BD18F3">
        <w:rPr>
          <w:rFonts w:ascii="Arial" w:hAnsi="Arial" w:cs="Arial"/>
          <w:color w:val="000000"/>
          <w:sz w:val="21"/>
          <w:szCs w:val="21"/>
          <w:lang w:val="es-ES"/>
        </w:rPr>
        <w:t xml:space="preserve">l del </w:t>
      </w:r>
      <w:r w:rsidR="00583D9E" w:rsidRPr="00BD18F3">
        <w:rPr>
          <w:rFonts w:ascii="Arial" w:hAnsi="Arial" w:cs="Arial"/>
          <w:color w:val="000000"/>
          <w:sz w:val="21"/>
          <w:szCs w:val="21"/>
          <w:lang w:val="es-ES"/>
        </w:rPr>
        <w:t xml:space="preserve">2018. </w:t>
      </w:r>
      <w:r w:rsidR="00583D9E" w:rsidRPr="00BD18F3">
        <w:rPr>
          <w:rFonts w:ascii="Arial" w:hAnsi="Arial" w:cs="Arial"/>
          <w:bCs/>
          <w:color w:val="000000"/>
          <w:sz w:val="21"/>
          <w:szCs w:val="21"/>
          <w:lang w:val="es-ES"/>
        </w:rPr>
        <w:t>Esto significa que de cada S/ 100 soles declarados, SUNAT logró recuperar S/ 98,4 en el plazo indicado</w:t>
      </w:r>
      <w:r w:rsidR="004F68EF" w:rsidRPr="00BD18F3">
        <w:rPr>
          <w:rFonts w:ascii="Arial" w:hAnsi="Arial" w:cs="Arial"/>
          <w:bCs/>
          <w:color w:val="000000"/>
          <w:sz w:val="21"/>
          <w:szCs w:val="21"/>
          <w:lang w:val="es-ES"/>
        </w:rPr>
        <w:t>.</w:t>
      </w:r>
    </w:p>
    <w:p w14:paraId="70ADA1E4" w14:textId="09B270FF" w:rsidR="00583D9E" w:rsidRPr="00BD18F3" w:rsidRDefault="00583D9E" w:rsidP="00583D9E">
      <w:pPr>
        <w:spacing w:before="240" w:after="240" w:line="240" w:lineRule="auto"/>
        <w:ind w:left="284" w:hanging="218"/>
        <w:jc w:val="both"/>
        <w:rPr>
          <w:rFonts w:ascii="Arial" w:hAnsi="Arial" w:cs="Arial"/>
          <w:sz w:val="21"/>
          <w:szCs w:val="21"/>
        </w:rPr>
      </w:pPr>
      <w:r w:rsidRPr="00BD18F3">
        <w:rPr>
          <w:rFonts w:ascii="Arial" w:hAnsi="Arial" w:cs="Arial"/>
          <w:b/>
          <w:sz w:val="21"/>
          <w:szCs w:val="21"/>
        </w:rPr>
        <w:tab/>
      </w:r>
      <w:r w:rsidRPr="00BD18F3">
        <w:rPr>
          <w:rFonts w:ascii="Arial" w:hAnsi="Arial" w:cs="Arial"/>
          <w:sz w:val="21"/>
          <w:szCs w:val="21"/>
        </w:rPr>
        <w:t>Asimismo, en 201</w:t>
      </w:r>
      <w:r w:rsidR="004F68EF" w:rsidRPr="00BD18F3">
        <w:rPr>
          <w:rFonts w:ascii="Arial" w:hAnsi="Arial" w:cs="Arial"/>
          <w:sz w:val="21"/>
          <w:szCs w:val="21"/>
        </w:rPr>
        <w:t>9</w:t>
      </w:r>
      <w:r w:rsidRPr="00BD18F3">
        <w:rPr>
          <w:rFonts w:ascii="Arial" w:hAnsi="Arial" w:cs="Arial"/>
          <w:sz w:val="21"/>
          <w:szCs w:val="21"/>
        </w:rPr>
        <w:t xml:space="preserve"> se evidenció un avance importante </w:t>
      </w:r>
      <w:r w:rsidRPr="00BD18F3">
        <w:rPr>
          <w:rFonts w:ascii="Arial" w:eastAsiaTheme="minorEastAsia" w:hAnsi="Arial" w:cs="Arial"/>
          <w:color w:val="0070C0"/>
          <w:kern w:val="24"/>
          <w:sz w:val="21"/>
          <w:szCs w:val="21"/>
          <w:lang w:eastAsia="es-PE"/>
        </w:rPr>
        <w:t>en la eficiencia de recuperación de la deuda</w:t>
      </w:r>
      <w:r w:rsidRPr="00BD18F3">
        <w:rPr>
          <w:rFonts w:ascii="Arial" w:hAnsi="Arial" w:cs="Arial"/>
          <w:sz w:val="21"/>
          <w:szCs w:val="21"/>
        </w:rPr>
        <w:t xml:space="preserve"> pues la SUNAT recuperó S/ 3 550 millones que formaban parte del stock proveniente de períodos anteriores, cifra récord superior en S/ 1 550</w:t>
      </w:r>
      <w:r w:rsidR="004F68EF" w:rsidRPr="00BD18F3">
        <w:rPr>
          <w:rFonts w:ascii="Arial" w:hAnsi="Arial" w:cs="Arial"/>
          <w:sz w:val="21"/>
          <w:szCs w:val="21"/>
        </w:rPr>
        <w:t xml:space="preserve"> millones</w:t>
      </w:r>
      <w:r w:rsidRPr="00BD18F3">
        <w:rPr>
          <w:rFonts w:ascii="Arial" w:hAnsi="Arial" w:cs="Arial"/>
          <w:sz w:val="21"/>
          <w:szCs w:val="21"/>
        </w:rPr>
        <w:t>, respecto a los S/ 2</w:t>
      </w:r>
      <w:r w:rsidR="0095447D">
        <w:rPr>
          <w:rFonts w:ascii="Arial" w:hAnsi="Arial" w:cs="Arial"/>
          <w:sz w:val="21"/>
          <w:szCs w:val="21"/>
        </w:rPr>
        <w:t xml:space="preserve"> </w:t>
      </w:r>
      <w:r w:rsidRPr="00BD18F3">
        <w:rPr>
          <w:rFonts w:ascii="Arial" w:hAnsi="Arial" w:cs="Arial"/>
          <w:sz w:val="21"/>
          <w:szCs w:val="21"/>
        </w:rPr>
        <w:t xml:space="preserve">000 millones recuperados durante </w:t>
      </w:r>
      <w:r w:rsidR="004F68EF" w:rsidRPr="00BD18F3">
        <w:rPr>
          <w:rFonts w:ascii="Arial" w:hAnsi="Arial" w:cs="Arial"/>
          <w:sz w:val="21"/>
          <w:szCs w:val="21"/>
        </w:rPr>
        <w:t xml:space="preserve">el </w:t>
      </w:r>
      <w:r w:rsidRPr="00BD18F3">
        <w:rPr>
          <w:rFonts w:ascii="Arial" w:hAnsi="Arial" w:cs="Arial"/>
          <w:sz w:val="21"/>
          <w:szCs w:val="21"/>
        </w:rPr>
        <w:t xml:space="preserve">2018. </w:t>
      </w:r>
    </w:p>
    <w:p w14:paraId="5028A735" w14:textId="687163BD" w:rsidR="00583D9E" w:rsidRPr="00BD18F3" w:rsidRDefault="00477C94" w:rsidP="00583D9E">
      <w:pPr>
        <w:spacing w:before="240" w:after="240" w:line="240" w:lineRule="auto"/>
        <w:ind w:left="284" w:hanging="218"/>
        <w:jc w:val="both"/>
        <w:rPr>
          <w:rFonts w:ascii="Arial" w:hAnsi="Arial" w:cs="Arial"/>
          <w:sz w:val="21"/>
          <w:szCs w:val="21"/>
        </w:rPr>
      </w:pPr>
      <w:r w:rsidRPr="00BD18F3">
        <w:rPr>
          <w:rFonts w:ascii="Arial" w:hAnsi="Arial" w:cs="Arial"/>
          <w:sz w:val="21"/>
          <w:szCs w:val="21"/>
        </w:rPr>
        <w:t xml:space="preserve"> </w:t>
      </w:r>
      <w:r w:rsidR="00583D9E" w:rsidRPr="00BD18F3">
        <w:rPr>
          <w:rFonts w:ascii="Arial" w:hAnsi="Arial" w:cs="Arial"/>
          <w:sz w:val="21"/>
          <w:szCs w:val="21"/>
        </w:rPr>
        <w:tab/>
        <w:t xml:space="preserve">La recuperación se realiza mediante acciones inductivas, cobranzas de campo y de oficina, los cuales incorporan cada vez más mecanismos basados en el uso intensivo de fuentes de información que permiten ser más precisos y efectivos en las acciones emprendidas por la Administración Tributaria. </w:t>
      </w:r>
    </w:p>
    <w:p w14:paraId="06CBEC0C" w14:textId="489698F8" w:rsidR="00FB1496" w:rsidRPr="00BD18F3" w:rsidRDefault="00583D9E" w:rsidP="00477C94">
      <w:pPr>
        <w:spacing w:before="240" w:after="120" w:line="240" w:lineRule="auto"/>
        <w:ind w:left="284" w:hanging="218"/>
        <w:jc w:val="both"/>
        <w:rPr>
          <w:rFonts w:ascii="Arial" w:hAnsi="Arial" w:cs="Arial"/>
          <w:sz w:val="21"/>
          <w:szCs w:val="21"/>
        </w:rPr>
      </w:pPr>
      <w:r w:rsidRPr="00BD18F3">
        <w:rPr>
          <w:rFonts w:ascii="Arial" w:hAnsi="Arial" w:cs="Arial"/>
          <w:sz w:val="21"/>
          <w:szCs w:val="21"/>
        </w:rPr>
        <w:tab/>
      </w:r>
      <w:r w:rsidR="00477C94" w:rsidRPr="00BD18F3">
        <w:rPr>
          <w:rFonts w:ascii="Arial" w:hAnsi="Arial" w:cs="Arial"/>
          <w:sz w:val="21"/>
          <w:szCs w:val="21"/>
        </w:rPr>
        <w:t>D</w:t>
      </w:r>
      <w:r w:rsidRPr="00BD18F3">
        <w:rPr>
          <w:rFonts w:ascii="Arial" w:hAnsi="Arial" w:cs="Arial"/>
          <w:sz w:val="21"/>
          <w:szCs w:val="21"/>
        </w:rPr>
        <w:t xml:space="preserve">urante el 2019 </w:t>
      </w:r>
      <w:r w:rsidR="004F68EF" w:rsidRPr="00BD18F3">
        <w:rPr>
          <w:rFonts w:ascii="Arial" w:hAnsi="Arial" w:cs="Arial"/>
          <w:sz w:val="21"/>
          <w:szCs w:val="21"/>
        </w:rPr>
        <w:t>s</w:t>
      </w:r>
      <w:r w:rsidRPr="00BD18F3">
        <w:rPr>
          <w:rFonts w:ascii="Arial" w:hAnsi="Arial" w:cs="Arial"/>
          <w:sz w:val="21"/>
          <w:szCs w:val="21"/>
        </w:rPr>
        <w:t>e recuperaron montos importantes de deuda en litigio, destacando algunos casos emblemáticos del sector telecomunicaciones; además de la recuperación de deuda tributaria de empresas vinculadas al grupo empresarial Odebrecht, mediante el cobro del Fideicomiso de Retención y Reparación – FIRR, aprobado con la Ley 30737.</w:t>
      </w:r>
    </w:p>
    <w:p w14:paraId="4A0B1255" w14:textId="1B5FB576" w:rsidR="00477C94" w:rsidRPr="00BD18F3" w:rsidRDefault="004F68EF" w:rsidP="00782B71">
      <w:pPr>
        <w:pStyle w:val="Prrafodelista"/>
        <w:numPr>
          <w:ilvl w:val="0"/>
          <w:numId w:val="11"/>
        </w:numPr>
        <w:spacing w:before="240"/>
        <w:ind w:left="360" w:hanging="218"/>
        <w:contextualSpacing w:val="0"/>
        <w:jc w:val="both"/>
        <w:rPr>
          <w:rFonts w:ascii="Arial" w:hAnsi="Arial" w:cs="Arial"/>
          <w:iCs/>
          <w:color w:val="404040" w:themeColor="text1" w:themeTint="BF"/>
          <w:sz w:val="21"/>
          <w:szCs w:val="21"/>
        </w:rPr>
      </w:pPr>
      <w:r w:rsidRPr="00BD18F3">
        <w:rPr>
          <w:noProof/>
          <w:sz w:val="21"/>
          <w:szCs w:val="21"/>
        </w:rPr>
        <w:drawing>
          <wp:anchor distT="0" distB="0" distL="114300" distR="114300" simplePos="0" relativeHeight="251703296" behindDoc="0" locked="0" layoutInCell="1" allowOverlap="0" wp14:anchorId="6CB8B7F0" wp14:editId="27FC7CCC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3232150" cy="1926590"/>
            <wp:effectExtent l="0" t="0" r="6350" b="0"/>
            <wp:wrapSquare wrapText="bothSides"/>
            <wp:docPr id="4" name="Imagen 4" descr="cid:image004.jpg@01D5C231.0659EB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4.jpg@01D5C231.0659EB8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117" cy="19313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18F3">
        <w:rPr>
          <w:rFonts w:ascii="Arial" w:hAnsi="Arial" w:cs="Arial"/>
          <w:kern w:val="24"/>
          <w:sz w:val="21"/>
          <w:szCs w:val="21"/>
        </w:rPr>
        <w:t xml:space="preserve">Finalmente, </w:t>
      </w:r>
      <w:r w:rsidRPr="00BD18F3">
        <w:rPr>
          <w:rFonts w:ascii="Arial" w:hAnsi="Arial" w:cs="Arial"/>
          <w:color w:val="0070C0"/>
          <w:kern w:val="24"/>
          <w:sz w:val="21"/>
          <w:szCs w:val="21"/>
        </w:rPr>
        <w:t>l</w:t>
      </w:r>
      <w:r w:rsidR="001E0620" w:rsidRPr="00BD18F3">
        <w:rPr>
          <w:rFonts w:ascii="Arial" w:hAnsi="Arial" w:cs="Arial"/>
          <w:color w:val="0070C0"/>
          <w:kern w:val="24"/>
          <w:sz w:val="21"/>
          <w:szCs w:val="21"/>
        </w:rPr>
        <w:t>a facilitación del comercio exterior</w:t>
      </w:r>
      <w:r w:rsidR="001E0620" w:rsidRPr="00BD18F3">
        <w:rPr>
          <w:rFonts w:ascii="Arial" w:hAnsi="Arial" w:cs="Arial"/>
          <w:kern w:val="24"/>
          <w:sz w:val="21"/>
          <w:szCs w:val="21"/>
        </w:rPr>
        <w:t xml:space="preserve"> también contribuyó a dinamizar la actividad económica y la recaudación. A diciembre </w:t>
      </w:r>
      <w:r w:rsidR="00E32235" w:rsidRPr="00BD18F3">
        <w:rPr>
          <w:rFonts w:ascii="Arial" w:hAnsi="Arial" w:cs="Arial"/>
          <w:kern w:val="24"/>
          <w:sz w:val="21"/>
          <w:szCs w:val="21"/>
        </w:rPr>
        <w:t xml:space="preserve">último </w:t>
      </w:r>
      <w:r w:rsidR="001E0620" w:rsidRPr="00BD18F3">
        <w:rPr>
          <w:rFonts w:ascii="Arial" w:hAnsi="Arial" w:cs="Arial"/>
          <w:kern w:val="24"/>
          <w:sz w:val="21"/>
          <w:szCs w:val="21"/>
        </w:rPr>
        <w:t xml:space="preserve">el tiempo total de liberación de mercancías importadas disminuyó a 79,2 horas, habiéndose reducido en los últimos 6 años más de 60 horas. </w:t>
      </w:r>
      <w:r w:rsidR="00F33ED2">
        <w:rPr>
          <w:rFonts w:ascii="Arial" w:hAnsi="Arial" w:cs="Arial"/>
          <w:kern w:val="24"/>
          <w:sz w:val="21"/>
          <w:szCs w:val="21"/>
        </w:rPr>
        <w:t xml:space="preserve">Cabe destacar que de estas 79,2 horas </w:t>
      </w:r>
      <w:r w:rsidR="001E0620" w:rsidRPr="00BD18F3">
        <w:rPr>
          <w:rFonts w:ascii="Arial" w:hAnsi="Arial" w:cs="Arial"/>
          <w:kern w:val="24"/>
          <w:sz w:val="21"/>
          <w:szCs w:val="21"/>
        </w:rPr>
        <w:t>solo 5 horas corresponden a la SUNAT, lo que ha permitido mejorar el índice de comercio transfronterizo de Doing Business 2020 en 8 posiciones.</w:t>
      </w:r>
      <w:r w:rsidR="00583D9E" w:rsidRPr="00BD18F3">
        <w:rPr>
          <w:noProof/>
          <w:sz w:val="21"/>
          <w:szCs w:val="21"/>
        </w:rPr>
        <w:t xml:space="preserve"> </w:t>
      </w:r>
    </w:p>
    <w:p w14:paraId="5FECA53C" w14:textId="73B38BE7" w:rsidR="001E0620" w:rsidRPr="00F14A2E" w:rsidRDefault="001E0620" w:rsidP="00477C94">
      <w:pPr>
        <w:spacing w:before="240"/>
        <w:ind w:left="360"/>
        <w:jc w:val="both"/>
        <w:rPr>
          <w:rStyle w:val="nfasissutil"/>
          <w:rFonts w:ascii="Arial" w:hAnsi="Arial" w:cs="Arial"/>
          <w:i w:val="0"/>
          <w:color w:val="000000" w:themeColor="text1"/>
          <w:sz w:val="21"/>
          <w:szCs w:val="21"/>
        </w:rPr>
      </w:pPr>
      <w:r w:rsidRPr="00F14A2E">
        <w:rPr>
          <w:rStyle w:val="nfasissutil"/>
          <w:rFonts w:ascii="Arial" w:hAnsi="Arial" w:cs="Arial"/>
          <w:i w:val="0"/>
          <w:color w:val="000000" w:themeColor="text1"/>
          <w:sz w:val="21"/>
          <w:szCs w:val="21"/>
        </w:rPr>
        <w:t xml:space="preserve">A través del Programa FAST, se vienen implementando modernas aplicaciones informáticas, que contribuyen a la disminución de los tiempos </w:t>
      </w:r>
      <w:r w:rsidRPr="00F14A2E">
        <w:rPr>
          <w:rStyle w:val="nfasissutil"/>
          <w:rFonts w:ascii="Arial" w:hAnsi="Arial" w:cs="Arial"/>
          <w:i w:val="0"/>
          <w:color w:val="000000" w:themeColor="text1"/>
          <w:sz w:val="21"/>
          <w:szCs w:val="21"/>
        </w:rPr>
        <w:lastRenderedPageBreak/>
        <w:t xml:space="preserve">de despacho aduanero basado en la transformación digital, fortaleciendo el intercambio de información con los actores de la cadena de suministros vinculados al Comercio Exterior bajo el </w:t>
      </w:r>
      <w:r w:rsidR="004F68EF" w:rsidRPr="00F14A2E">
        <w:rPr>
          <w:rStyle w:val="nfasissutil"/>
          <w:rFonts w:ascii="Arial" w:hAnsi="Arial" w:cs="Arial"/>
          <w:i w:val="0"/>
          <w:color w:val="000000" w:themeColor="text1"/>
          <w:sz w:val="21"/>
          <w:szCs w:val="21"/>
        </w:rPr>
        <w:t>m</w:t>
      </w:r>
      <w:r w:rsidRPr="00F14A2E">
        <w:rPr>
          <w:rStyle w:val="nfasissutil"/>
          <w:rFonts w:ascii="Arial" w:hAnsi="Arial" w:cs="Arial"/>
          <w:i w:val="0"/>
          <w:color w:val="000000" w:themeColor="text1"/>
          <w:sz w:val="21"/>
          <w:szCs w:val="21"/>
        </w:rPr>
        <w:t>odelo de datos estándar de la OMA.</w:t>
      </w:r>
    </w:p>
    <w:p w14:paraId="66D4E83E" w14:textId="1350A58C" w:rsidR="00DC68BF" w:rsidRPr="00F14A2E" w:rsidRDefault="001E0620" w:rsidP="00477C94">
      <w:pPr>
        <w:spacing w:after="0"/>
        <w:ind w:left="360"/>
        <w:jc w:val="both"/>
        <w:rPr>
          <w:rStyle w:val="nfasissutil"/>
          <w:rFonts w:ascii="Arial" w:hAnsi="Arial" w:cs="Arial"/>
          <w:i w:val="0"/>
          <w:color w:val="000000" w:themeColor="text1"/>
          <w:sz w:val="21"/>
          <w:szCs w:val="21"/>
        </w:rPr>
      </w:pPr>
      <w:r w:rsidRPr="00F14A2E">
        <w:rPr>
          <w:rStyle w:val="nfasissutil"/>
          <w:rFonts w:ascii="Arial" w:hAnsi="Arial" w:cs="Arial"/>
          <w:i w:val="0"/>
          <w:color w:val="000000" w:themeColor="text1"/>
          <w:sz w:val="21"/>
          <w:szCs w:val="21"/>
        </w:rPr>
        <w:t>Asimismo, mediante el Programa de Operador Económico Autorizado (OEA) se certificaron 50 empresas, logrando alcanzar un total de 151 operadores acreditados</w:t>
      </w:r>
      <w:r w:rsidR="00B77E8A" w:rsidRPr="00F14A2E">
        <w:rPr>
          <w:rStyle w:val="nfasissutil"/>
          <w:rFonts w:ascii="Arial" w:hAnsi="Arial" w:cs="Arial"/>
          <w:i w:val="0"/>
          <w:color w:val="000000" w:themeColor="text1"/>
          <w:sz w:val="21"/>
          <w:szCs w:val="21"/>
        </w:rPr>
        <w:t>;</w:t>
      </w:r>
      <w:r w:rsidR="008066C8" w:rsidRPr="00F14A2E">
        <w:rPr>
          <w:rStyle w:val="nfasissutil"/>
          <w:rFonts w:ascii="Arial" w:hAnsi="Arial" w:cs="Arial"/>
          <w:i w:val="0"/>
          <w:color w:val="000000" w:themeColor="text1"/>
          <w:sz w:val="21"/>
          <w:szCs w:val="21"/>
        </w:rPr>
        <w:t xml:space="preserve"> y en</w:t>
      </w:r>
      <w:r w:rsidRPr="00F14A2E">
        <w:rPr>
          <w:rStyle w:val="nfasissutil"/>
          <w:rFonts w:ascii="Arial" w:hAnsi="Arial" w:cs="Arial"/>
          <w:i w:val="0"/>
          <w:color w:val="000000" w:themeColor="text1"/>
          <w:sz w:val="21"/>
          <w:szCs w:val="21"/>
        </w:rPr>
        <w:t xml:space="preserve"> mayo </w:t>
      </w:r>
      <w:r w:rsidR="008066C8" w:rsidRPr="00F14A2E">
        <w:rPr>
          <w:rStyle w:val="nfasissutil"/>
          <w:rFonts w:ascii="Arial" w:hAnsi="Arial" w:cs="Arial"/>
          <w:i w:val="0"/>
          <w:color w:val="000000" w:themeColor="text1"/>
          <w:sz w:val="21"/>
          <w:szCs w:val="21"/>
        </w:rPr>
        <w:t xml:space="preserve">del </w:t>
      </w:r>
      <w:r w:rsidRPr="00F14A2E">
        <w:rPr>
          <w:rStyle w:val="nfasissutil"/>
          <w:rFonts w:ascii="Arial" w:hAnsi="Arial" w:cs="Arial"/>
          <w:i w:val="0"/>
          <w:color w:val="000000" w:themeColor="text1"/>
          <w:sz w:val="21"/>
          <w:szCs w:val="21"/>
        </w:rPr>
        <w:t>2019 se suscribió con la Comunidad Andina el Acuerdo de Reconocimiento Mutuo (ARM), que permite que las validaciones y autorizaciones otorgadas a una empresa OEA sean reconocidas por otros países que forman parte del programa</w:t>
      </w:r>
      <w:r w:rsidR="00EA3A95" w:rsidRPr="00F14A2E">
        <w:rPr>
          <w:rStyle w:val="nfasissutil"/>
          <w:rFonts w:ascii="Arial" w:hAnsi="Arial" w:cs="Arial"/>
          <w:i w:val="0"/>
          <w:color w:val="000000" w:themeColor="text1"/>
          <w:sz w:val="21"/>
          <w:szCs w:val="21"/>
        </w:rPr>
        <w:t xml:space="preserve">, contando a la fecha con 5 acuerdos vigentes (Corea del Sur, Uruguay, Alianza del Pacífico, EEUU y CAN). </w:t>
      </w:r>
      <w:r w:rsidRPr="00F14A2E">
        <w:rPr>
          <w:rStyle w:val="nfasissutil"/>
          <w:rFonts w:ascii="Arial" w:hAnsi="Arial" w:cs="Arial"/>
          <w:i w:val="0"/>
          <w:color w:val="000000" w:themeColor="text1"/>
          <w:sz w:val="21"/>
          <w:szCs w:val="21"/>
        </w:rPr>
        <w:t xml:space="preserve"> </w:t>
      </w:r>
    </w:p>
    <w:p w14:paraId="152F3725" w14:textId="11473779" w:rsidR="00477C94" w:rsidRDefault="00477C94" w:rsidP="00477C94">
      <w:pPr>
        <w:spacing w:after="0"/>
        <w:jc w:val="both"/>
        <w:rPr>
          <w:rFonts w:ascii="Arial" w:hAnsi="Arial" w:cs="Arial"/>
          <w:b/>
          <w:kern w:val="24"/>
          <w:sz w:val="21"/>
          <w:szCs w:val="21"/>
        </w:rPr>
      </w:pPr>
    </w:p>
    <w:p w14:paraId="7427C7BD" w14:textId="77777777" w:rsidR="00F14A2E" w:rsidRPr="00BD18F3" w:rsidRDefault="00F14A2E" w:rsidP="00477C94">
      <w:pPr>
        <w:spacing w:after="0"/>
        <w:jc w:val="both"/>
        <w:rPr>
          <w:rFonts w:ascii="Arial" w:hAnsi="Arial" w:cs="Arial"/>
          <w:b/>
          <w:kern w:val="24"/>
          <w:sz w:val="21"/>
          <w:szCs w:val="21"/>
        </w:rPr>
      </w:pPr>
    </w:p>
    <w:p w14:paraId="7B6D77B6" w14:textId="0106CB47" w:rsidR="00B519FE" w:rsidRPr="00BD18F3" w:rsidRDefault="00477C94" w:rsidP="00477C94">
      <w:pPr>
        <w:spacing w:after="0"/>
        <w:jc w:val="both"/>
        <w:rPr>
          <w:rFonts w:ascii="Arial" w:hAnsi="Arial" w:cs="Arial"/>
          <w:b/>
          <w:kern w:val="24"/>
          <w:sz w:val="21"/>
          <w:szCs w:val="21"/>
        </w:rPr>
      </w:pPr>
      <w:r w:rsidRPr="00BD18F3">
        <w:rPr>
          <w:rFonts w:ascii="Arial" w:hAnsi="Arial" w:cs="Arial"/>
          <w:b/>
          <w:kern w:val="24"/>
          <w:sz w:val="21"/>
          <w:szCs w:val="21"/>
        </w:rPr>
        <w:t xml:space="preserve">    Gerencia de Comunicaciones e Imagen Institucional</w:t>
      </w:r>
    </w:p>
    <w:p w14:paraId="50137BAA" w14:textId="0C5208FA" w:rsidR="00477C94" w:rsidRPr="00BD18F3" w:rsidRDefault="00477C94" w:rsidP="00477C94">
      <w:pPr>
        <w:spacing w:after="0"/>
        <w:jc w:val="both"/>
        <w:rPr>
          <w:rFonts w:ascii="Arial" w:hAnsi="Arial" w:cs="Arial"/>
          <w:kern w:val="24"/>
          <w:sz w:val="21"/>
          <w:szCs w:val="21"/>
        </w:rPr>
      </w:pPr>
      <w:bookmarkStart w:id="1" w:name="_GoBack"/>
      <w:bookmarkEnd w:id="1"/>
      <w:r w:rsidRPr="00BD18F3">
        <w:rPr>
          <w:rFonts w:ascii="Arial" w:hAnsi="Arial" w:cs="Arial"/>
          <w:kern w:val="24"/>
          <w:sz w:val="21"/>
          <w:szCs w:val="21"/>
        </w:rPr>
        <w:t xml:space="preserve">    Lima, </w:t>
      </w:r>
      <w:r w:rsidR="00D47F34">
        <w:rPr>
          <w:rFonts w:ascii="Arial" w:hAnsi="Arial" w:cs="Arial"/>
          <w:kern w:val="24"/>
          <w:sz w:val="21"/>
          <w:szCs w:val="21"/>
        </w:rPr>
        <w:t>lunes</w:t>
      </w:r>
      <w:r w:rsidRPr="00BD18F3">
        <w:rPr>
          <w:rFonts w:ascii="Arial" w:hAnsi="Arial" w:cs="Arial"/>
          <w:kern w:val="24"/>
          <w:sz w:val="21"/>
          <w:szCs w:val="21"/>
        </w:rPr>
        <w:t xml:space="preserve"> </w:t>
      </w:r>
      <w:r w:rsidR="00D47F34">
        <w:rPr>
          <w:rFonts w:ascii="Arial" w:hAnsi="Arial" w:cs="Arial"/>
          <w:kern w:val="24"/>
          <w:sz w:val="21"/>
          <w:szCs w:val="21"/>
        </w:rPr>
        <w:t>6</w:t>
      </w:r>
      <w:r w:rsidRPr="00BD18F3">
        <w:rPr>
          <w:rFonts w:ascii="Arial" w:hAnsi="Arial" w:cs="Arial"/>
          <w:kern w:val="24"/>
          <w:sz w:val="21"/>
          <w:szCs w:val="21"/>
        </w:rPr>
        <w:t xml:space="preserve"> de enero del 2020.</w:t>
      </w:r>
    </w:p>
    <w:sectPr w:rsidR="00477C94" w:rsidRPr="00BD18F3" w:rsidSect="00173624">
      <w:headerReference w:type="default" r:id="rId19"/>
      <w:footerReference w:type="default" r:id="rId2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8C612" w14:textId="77777777" w:rsidR="001763AD" w:rsidRDefault="001763AD" w:rsidP="00D57CD9">
      <w:pPr>
        <w:spacing w:after="0" w:line="240" w:lineRule="auto"/>
      </w:pPr>
      <w:r>
        <w:separator/>
      </w:r>
    </w:p>
  </w:endnote>
  <w:endnote w:type="continuationSeparator" w:id="0">
    <w:p w14:paraId="51A4E2C4" w14:textId="77777777" w:rsidR="001763AD" w:rsidRDefault="001763AD" w:rsidP="00D57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tique Olive Roman">
    <w:altName w:val="Calibri"/>
    <w:charset w:val="00"/>
    <w:family w:val="swiss"/>
    <w:pitch w:val="variable"/>
    <w:sig w:usb0="00000007" w:usb1="00000000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60CA4" w14:textId="77777777" w:rsidR="00845BD7" w:rsidRDefault="00845BD7">
    <w:pPr>
      <w:pStyle w:val="Piedepgina"/>
    </w:pPr>
    <w:r>
      <w:rPr>
        <w:rFonts w:ascii="Antique Olive Roman" w:hAnsi="Antique Olive Roman" w:cs="Aharoni"/>
        <w:b/>
        <w:noProof/>
        <w:szCs w:val="20"/>
        <w:lang w:val="en-US"/>
      </w:rPr>
      <w:drawing>
        <wp:inline distT="0" distB="0" distL="0" distR="0" wp14:anchorId="085A3AC1" wp14:editId="088CA202">
          <wp:extent cx="289560" cy="289560"/>
          <wp:effectExtent l="0" t="0" r="0" b="0"/>
          <wp:docPr id="2" name="Imagen 2" descr="Descripción: Descripción: logo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Descripción: logotwit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ntique Olive Roman" w:hAnsi="Antique Olive Roman" w:cs="Aharoni"/>
        <w:b/>
        <w:szCs w:val="20"/>
      </w:rPr>
      <w:t xml:space="preserve">  @SUNATPrensa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6E1D6" w14:textId="77777777" w:rsidR="001763AD" w:rsidRDefault="001763AD" w:rsidP="00D57CD9">
      <w:pPr>
        <w:spacing w:after="0" w:line="240" w:lineRule="auto"/>
      </w:pPr>
      <w:r>
        <w:separator/>
      </w:r>
    </w:p>
  </w:footnote>
  <w:footnote w:type="continuationSeparator" w:id="0">
    <w:p w14:paraId="72D1733B" w14:textId="77777777" w:rsidR="001763AD" w:rsidRDefault="001763AD" w:rsidP="00D57CD9">
      <w:pPr>
        <w:spacing w:after="0" w:line="240" w:lineRule="auto"/>
      </w:pPr>
      <w:r>
        <w:continuationSeparator/>
      </w:r>
    </w:p>
  </w:footnote>
  <w:footnote w:id="1">
    <w:p w14:paraId="162FDA6E" w14:textId="77777777" w:rsidR="00D57CD9" w:rsidRDefault="00D57CD9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491800">
        <w:rPr>
          <w:rFonts w:ascii="Arial" w:hAnsi="Arial" w:cs="Arial"/>
          <w:kern w:val="24"/>
          <w:sz w:val="16"/>
          <w:szCs w:val="16"/>
          <w:lang w:val="es-ES"/>
        </w:rPr>
        <w:t>Todas las variaciones porcentuales en este documento se expresan en términos reales, salvo indicación en contrario</w:t>
      </w:r>
      <w:r w:rsidR="00D24B91">
        <w:rPr>
          <w:rFonts w:ascii="Arial" w:hAnsi="Arial" w:cs="Arial"/>
          <w:kern w:val="24"/>
          <w:sz w:val="16"/>
          <w:szCs w:val="16"/>
          <w:lang w:val="es-ES"/>
        </w:rPr>
        <w:t>.</w:t>
      </w:r>
    </w:p>
  </w:footnote>
  <w:footnote w:id="2">
    <w:p w14:paraId="44DB6E2D" w14:textId="46C6FF8B" w:rsidR="0000227B" w:rsidRDefault="0000227B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rFonts w:ascii="Arial" w:hAnsi="Arial" w:cs="Arial"/>
          <w:kern w:val="24"/>
          <w:sz w:val="16"/>
          <w:szCs w:val="16"/>
        </w:rPr>
        <w:t xml:space="preserve">Considera </w:t>
      </w:r>
      <w:r w:rsidR="00AC01C8">
        <w:rPr>
          <w:rFonts w:ascii="Arial" w:hAnsi="Arial" w:cs="Arial"/>
          <w:kern w:val="24"/>
          <w:sz w:val="16"/>
          <w:szCs w:val="16"/>
        </w:rPr>
        <w:t xml:space="preserve">la </w:t>
      </w:r>
      <w:r>
        <w:rPr>
          <w:rFonts w:ascii="Arial" w:hAnsi="Arial" w:cs="Arial"/>
          <w:kern w:val="24"/>
          <w:sz w:val="16"/>
          <w:szCs w:val="16"/>
          <w:lang w:val="es-ES"/>
        </w:rPr>
        <w:t>p</w:t>
      </w:r>
      <w:r w:rsidRPr="00491800">
        <w:rPr>
          <w:rFonts w:ascii="Arial" w:hAnsi="Arial" w:cs="Arial"/>
          <w:kern w:val="24"/>
          <w:sz w:val="16"/>
          <w:szCs w:val="16"/>
          <w:lang w:val="es-ES"/>
        </w:rPr>
        <w:t xml:space="preserve">royección </w:t>
      </w:r>
      <w:r>
        <w:rPr>
          <w:rFonts w:ascii="Arial" w:hAnsi="Arial" w:cs="Arial"/>
          <w:kern w:val="24"/>
          <w:sz w:val="16"/>
          <w:szCs w:val="16"/>
          <w:lang w:val="es-ES"/>
        </w:rPr>
        <w:t xml:space="preserve">de </w:t>
      </w:r>
      <w:r w:rsidRPr="00491800">
        <w:rPr>
          <w:rFonts w:ascii="Arial" w:hAnsi="Arial" w:cs="Arial"/>
          <w:kern w:val="24"/>
          <w:sz w:val="16"/>
          <w:szCs w:val="16"/>
          <w:lang w:val="es-ES"/>
        </w:rPr>
        <w:t xml:space="preserve">PBI </w:t>
      </w:r>
      <w:r w:rsidR="00AC01C8">
        <w:rPr>
          <w:rFonts w:ascii="Arial" w:hAnsi="Arial" w:cs="Arial"/>
          <w:kern w:val="24"/>
          <w:sz w:val="16"/>
          <w:szCs w:val="16"/>
          <w:lang w:val="es-ES"/>
        </w:rPr>
        <w:t xml:space="preserve">publicada por el </w:t>
      </w:r>
      <w:r w:rsidRPr="00491800">
        <w:rPr>
          <w:rFonts w:ascii="Arial" w:hAnsi="Arial" w:cs="Arial"/>
          <w:kern w:val="24"/>
          <w:sz w:val="16"/>
          <w:szCs w:val="16"/>
          <w:lang w:val="es-ES"/>
        </w:rPr>
        <w:t>BCRP</w:t>
      </w:r>
      <w:r w:rsidR="00AC01C8">
        <w:rPr>
          <w:rFonts w:ascii="Arial" w:hAnsi="Arial" w:cs="Arial"/>
          <w:kern w:val="24"/>
          <w:sz w:val="16"/>
          <w:szCs w:val="16"/>
          <w:lang w:val="es-ES"/>
        </w:rPr>
        <w:t xml:space="preserve"> en </w:t>
      </w:r>
      <w:r>
        <w:rPr>
          <w:rFonts w:ascii="Arial" w:hAnsi="Arial" w:cs="Arial"/>
          <w:kern w:val="24"/>
          <w:sz w:val="16"/>
          <w:szCs w:val="16"/>
          <w:lang w:val="es-ES"/>
        </w:rPr>
        <w:t xml:space="preserve">diciembre </w:t>
      </w:r>
      <w:r w:rsidR="00AC01C8">
        <w:rPr>
          <w:rFonts w:ascii="Arial" w:hAnsi="Arial" w:cs="Arial"/>
          <w:kern w:val="24"/>
          <w:sz w:val="16"/>
          <w:szCs w:val="16"/>
          <w:lang w:val="es-ES"/>
        </w:rPr>
        <w:t xml:space="preserve">de </w:t>
      </w:r>
      <w:r>
        <w:rPr>
          <w:rFonts w:ascii="Arial" w:hAnsi="Arial" w:cs="Arial"/>
          <w:kern w:val="24"/>
          <w:sz w:val="16"/>
          <w:szCs w:val="16"/>
          <w:lang w:val="es-ES"/>
        </w:rPr>
        <w:t>201</w:t>
      </w:r>
      <w:r w:rsidR="006F0E55">
        <w:rPr>
          <w:rFonts w:ascii="Arial" w:hAnsi="Arial" w:cs="Arial"/>
          <w:kern w:val="24"/>
          <w:sz w:val="16"/>
          <w:szCs w:val="16"/>
          <w:lang w:val="es-ES"/>
        </w:rPr>
        <w:t>9</w:t>
      </w:r>
      <w:r w:rsidRPr="00491800">
        <w:rPr>
          <w:rFonts w:ascii="Arial" w:hAnsi="Arial" w:cs="Arial"/>
          <w:kern w:val="24"/>
          <w:sz w:val="16"/>
          <w:szCs w:val="16"/>
          <w:lang w:val="es-ES"/>
        </w:rPr>
        <w:t>.</w:t>
      </w:r>
    </w:p>
  </w:footnote>
  <w:footnote w:id="3">
    <w:p w14:paraId="5DC51E2E" w14:textId="77777777" w:rsidR="00616B97" w:rsidRDefault="00616B97" w:rsidP="00616B97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F2199D">
        <w:rPr>
          <w:rFonts w:ascii="Arial" w:hAnsi="Arial" w:cs="Arial"/>
          <w:kern w:val="24"/>
          <w:sz w:val="16"/>
          <w:szCs w:val="16"/>
          <w:lang w:val="es-ES"/>
        </w:rPr>
        <w:t>Proyección del BCRP en su Reporte de Inflación de diciembre 201</w:t>
      </w:r>
      <w:r>
        <w:rPr>
          <w:rFonts w:ascii="Arial" w:hAnsi="Arial" w:cs="Arial"/>
          <w:kern w:val="24"/>
          <w:sz w:val="16"/>
          <w:szCs w:val="16"/>
          <w:lang w:val="es-ES"/>
        </w:rPr>
        <w:t>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7A08D" w14:textId="77777777" w:rsidR="00845BD7" w:rsidRDefault="00845BD7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6DA557" wp14:editId="3B6CD7BE">
              <wp:simplePos x="0" y="0"/>
              <wp:positionH relativeFrom="column">
                <wp:posOffset>4331970</wp:posOffset>
              </wp:positionH>
              <wp:positionV relativeFrom="paragraph">
                <wp:posOffset>67310</wp:posOffset>
              </wp:positionV>
              <wp:extent cx="2038350" cy="543560"/>
              <wp:effectExtent l="0" t="0" r="0" b="8890"/>
              <wp:wrapNone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0" cy="543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92E542" w14:textId="77777777" w:rsidR="00845BD7" w:rsidRPr="00845BD7" w:rsidRDefault="00845BD7" w:rsidP="00845BD7">
                          <w:pPr>
                            <w:spacing w:after="0" w:line="240" w:lineRule="auto"/>
                            <w:ind w:left="142"/>
                            <w:jc w:val="right"/>
                            <w:rPr>
                              <w:rFonts w:ascii="Arial Narrow" w:hAnsi="Arial Narrow" w:cs="Arial"/>
                              <w:b/>
                              <w:sz w:val="16"/>
                            </w:rPr>
                          </w:pPr>
                          <w:r w:rsidRPr="00845BD7">
                            <w:rPr>
                              <w:rFonts w:ascii="Arial Narrow" w:hAnsi="Arial Narrow" w:cs="Arial"/>
                              <w:b/>
                              <w:sz w:val="16"/>
                            </w:rPr>
                            <w:t>Gerencia de Comunicaciones</w:t>
                          </w:r>
                        </w:p>
                        <w:p w14:paraId="6871F003" w14:textId="77777777" w:rsidR="00845BD7" w:rsidRPr="00845BD7" w:rsidRDefault="00845BD7" w:rsidP="00845BD7">
                          <w:pPr>
                            <w:spacing w:after="0" w:line="240" w:lineRule="auto"/>
                            <w:ind w:left="142"/>
                            <w:jc w:val="right"/>
                            <w:rPr>
                              <w:rFonts w:ascii="Arial Narrow" w:hAnsi="Arial Narrow" w:cs="Arial"/>
                              <w:b/>
                              <w:sz w:val="16"/>
                            </w:rPr>
                          </w:pPr>
                          <w:r w:rsidRPr="00845BD7">
                            <w:rPr>
                              <w:rFonts w:ascii="Arial Narrow" w:hAnsi="Arial Narrow" w:cs="Arial"/>
                              <w:b/>
                              <w:sz w:val="16"/>
                            </w:rPr>
                            <w:t xml:space="preserve">Central: 634-3300 </w:t>
                          </w:r>
                        </w:p>
                        <w:p w14:paraId="76119787" w14:textId="77777777" w:rsidR="00845BD7" w:rsidRPr="00845BD7" w:rsidRDefault="00845BD7" w:rsidP="00845BD7">
                          <w:pPr>
                            <w:spacing w:after="0" w:line="240" w:lineRule="auto"/>
                            <w:ind w:left="142"/>
                            <w:jc w:val="right"/>
                            <w:rPr>
                              <w:rFonts w:ascii="Arial Narrow" w:hAnsi="Arial Narrow" w:cs="Arial"/>
                              <w:b/>
                              <w:sz w:val="16"/>
                            </w:rPr>
                          </w:pPr>
                          <w:r w:rsidRPr="00845BD7">
                            <w:rPr>
                              <w:rFonts w:ascii="Arial Narrow" w:hAnsi="Arial Narrow" w:cs="Arial"/>
                              <w:b/>
                              <w:sz w:val="16"/>
                            </w:rPr>
                            <w:t xml:space="preserve"> Anexos: 50308/50309/50361</w:t>
                          </w:r>
                        </w:p>
                        <w:p w14:paraId="1BEEFA3A" w14:textId="77777777" w:rsidR="00845BD7" w:rsidRPr="00845BD7" w:rsidRDefault="00845BD7" w:rsidP="00845BD7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6DA557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6" type="#_x0000_t202" style="position:absolute;margin-left:341.1pt;margin-top:5.3pt;width:160.5pt;height:4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" stroked="f">
              <v:textbox>
                <w:txbxContent>
                  <w:p w14:paraId="5292E542" w14:textId="77777777" w:rsidR="00845BD7" w:rsidRPr="00845BD7" w:rsidRDefault="00845BD7" w:rsidP="00845BD7">
                    <w:pPr>
                      <w:spacing w:after="0" w:line="240" w:lineRule="auto"/>
                      <w:ind w:left="142"/>
                      <w:jc w:val="right"/>
                      <w:rPr>
                        <w:rFonts w:ascii="Arial Narrow" w:hAnsi="Arial Narrow" w:cs="Arial"/>
                        <w:b/>
                        <w:sz w:val="16"/>
                      </w:rPr>
                    </w:pPr>
                    <w:r w:rsidRPr="00845BD7">
                      <w:rPr>
                        <w:rFonts w:ascii="Arial Narrow" w:hAnsi="Arial Narrow" w:cs="Arial"/>
                        <w:b/>
                        <w:sz w:val="16"/>
                      </w:rPr>
                      <w:t>Gerencia de Comunicaciones</w:t>
                    </w:r>
                  </w:p>
                  <w:p w14:paraId="6871F003" w14:textId="77777777" w:rsidR="00845BD7" w:rsidRPr="00845BD7" w:rsidRDefault="00845BD7" w:rsidP="00845BD7">
                    <w:pPr>
                      <w:spacing w:after="0" w:line="240" w:lineRule="auto"/>
                      <w:ind w:left="142"/>
                      <w:jc w:val="right"/>
                      <w:rPr>
                        <w:rFonts w:ascii="Arial Narrow" w:hAnsi="Arial Narrow" w:cs="Arial"/>
                        <w:b/>
                        <w:sz w:val="16"/>
                      </w:rPr>
                    </w:pPr>
                    <w:r w:rsidRPr="00845BD7">
                      <w:rPr>
                        <w:rFonts w:ascii="Arial Narrow" w:hAnsi="Arial Narrow" w:cs="Arial"/>
                        <w:b/>
                        <w:sz w:val="16"/>
                      </w:rPr>
                      <w:t xml:space="preserve">Central: 634-3300 </w:t>
                    </w:r>
                  </w:p>
                  <w:p w14:paraId="76119787" w14:textId="77777777" w:rsidR="00845BD7" w:rsidRPr="00845BD7" w:rsidRDefault="00845BD7" w:rsidP="00845BD7">
                    <w:pPr>
                      <w:spacing w:after="0" w:line="240" w:lineRule="auto"/>
                      <w:ind w:left="142"/>
                      <w:jc w:val="right"/>
                      <w:rPr>
                        <w:rFonts w:ascii="Arial Narrow" w:hAnsi="Arial Narrow" w:cs="Arial"/>
                        <w:b/>
                        <w:sz w:val="16"/>
                      </w:rPr>
                    </w:pPr>
                    <w:r w:rsidRPr="00845BD7">
                      <w:rPr>
                        <w:rFonts w:ascii="Arial Narrow" w:hAnsi="Arial Narrow" w:cs="Arial"/>
                        <w:b/>
                        <w:sz w:val="16"/>
                      </w:rPr>
                      <w:t xml:space="preserve"> Anexos: 50308/50309/50361</w:t>
                    </w:r>
                  </w:p>
                  <w:p w14:paraId="1BEEFA3A" w14:textId="77777777" w:rsidR="00845BD7" w:rsidRPr="00845BD7" w:rsidRDefault="00845BD7" w:rsidP="00845BD7">
                    <w:pPr>
                      <w:spacing w:after="0" w:line="240" w:lineRule="auto"/>
                      <w:rPr>
                        <w:rFonts w:ascii="Arial Narrow" w:hAnsi="Arial Narrow" w:cs="Ari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inline distT="0" distB="0" distL="0" distR="0" wp14:anchorId="599D6565" wp14:editId="0647B793">
          <wp:extent cx="2072640" cy="678968"/>
          <wp:effectExtent l="0" t="0" r="3810" b="6985"/>
          <wp:docPr id="1" name="Imagen 1" descr="Descripción: Descripción: logo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logo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2640" cy="678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C637C"/>
    <w:multiLevelType w:val="hybridMultilevel"/>
    <w:tmpl w:val="92D45D5C"/>
    <w:lvl w:ilvl="0" w:tplc="280A0003">
      <w:start w:val="1"/>
      <w:numFmt w:val="bullet"/>
      <w:lvlText w:val="o"/>
      <w:lvlJc w:val="left"/>
      <w:pPr>
        <w:ind w:left="426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15D075C3"/>
    <w:multiLevelType w:val="hybridMultilevel"/>
    <w:tmpl w:val="32D69FD8"/>
    <w:lvl w:ilvl="0" w:tplc="2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006A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D624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4238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8C1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90D8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A24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9AB5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E2E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A4049A7"/>
    <w:multiLevelType w:val="hybridMultilevel"/>
    <w:tmpl w:val="A95A4DBA"/>
    <w:lvl w:ilvl="0" w:tplc="2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401F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2E5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E295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64A4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828E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086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AE2D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72D2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4B01C00"/>
    <w:multiLevelType w:val="hybridMultilevel"/>
    <w:tmpl w:val="CF64EA0A"/>
    <w:lvl w:ilvl="0" w:tplc="2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DE5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2C7E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7474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60A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B0BD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521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8EB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3827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DF833CA"/>
    <w:multiLevelType w:val="hybridMultilevel"/>
    <w:tmpl w:val="08725FD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B10997"/>
    <w:multiLevelType w:val="hybridMultilevel"/>
    <w:tmpl w:val="1A8A6DE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345308"/>
    <w:multiLevelType w:val="hybridMultilevel"/>
    <w:tmpl w:val="40268010"/>
    <w:lvl w:ilvl="0" w:tplc="82F8E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238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E20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3CA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F41D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A4DE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901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009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6CC1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760665"/>
    <w:multiLevelType w:val="hybridMultilevel"/>
    <w:tmpl w:val="FF4213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352E9"/>
    <w:multiLevelType w:val="hybridMultilevel"/>
    <w:tmpl w:val="06C299FA"/>
    <w:lvl w:ilvl="0" w:tplc="2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966B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A499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ACF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A2F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289D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3C5C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30E3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EE63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BF7271F"/>
    <w:multiLevelType w:val="hybridMultilevel"/>
    <w:tmpl w:val="030C32EC"/>
    <w:lvl w:ilvl="0" w:tplc="2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F61A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C8DC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A02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F26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78F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7E5F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4EF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F00C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B9844B5"/>
    <w:multiLevelType w:val="hybridMultilevel"/>
    <w:tmpl w:val="249A6A6C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721776"/>
    <w:multiLevelType w:val="hybridMultilevel"/>
    <w:tmpl w:val="99D28F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024E20"/>
    <w:multiLevelType w:val="hybridMultilevel"/>
    <w:tmpl w:val="C7F81030"/>
    <w:lvl w:ilvl="0" w:tplc="69684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FAC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588A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8A85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882A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D612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5870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4AA4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B88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6"/>
  </w:num>
  <w:num w:numId="9">
    <w:abstractNumId w:val="8"/>
  </w:num>
  <w:num w:numId="10">
    <w:abstractNumId w:val="2"/>
  </w:num>
  <w:num w:numId="11">
    <w:abstractNumId w:val="1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624"/>
    <w:rsid w:val="0000227B"/>
    <w:rsid w:val="000069EA"/>
    <w:rsid w:val="00045DEE"/>
    <w:rsid w:val="00091EDD"/>
    <w:rsid w:val="000A4F40"/>
    <w:rsid w:val="000E5703"/>
    <w:rsid w:val="0010218D"/>
    <w:rsid w:val="00103F15"/>
    <w:rsid w:val="0010432F"/>
    <w:rsid w:val="00117AF1"/>
    <w:rsid w:val="0013177F"/>
    <w:rsid w:val="00155699"/>
    <w:rsid w:val="00173624"/>
    <w:rsid w:val="001763AD"/>
    <w:rsid w:val="00177914"/>
    <w:rsid w:val="00177D65"/>
    <w:rsid w:val="00194524"/>
    <w:rsid w:val="001A0249"/>
    <w:rsid w:val="001E0620"/>
    <w:rsid w:val="001F1FDF"/>
    <w:rsid w:val="00256670"/>
    <w:rsid w:val="0027242C"/>
    <w:rsid w:val="00273D3F"/>
    <w:rsid w:val="00275244"/>
    <w:rsid w:val="00276921"/>
    <w:rsid w:val="0028076E"/>
    <w:rsid w:val="00293404"/>
    <w:rsid w:val="002C2B37"/>
    <w:rsid w:val="002E4C59"/>
    <w:rsid w:val="002E7796"/>
    <w:rsid w:val="002E7C7D"/>
    <w:rsid w:val="002F0C2F"/>
    <w:rsid w:val="002F289B"/>
    <w:rsid w:val="002F37F0"/>
    <w:rsid w:val="00302EAB"/>
    <w:rsid w:val="00314245"/>
    <w:rsid w:val="00320942"/>
    <w:rsid w:val="0034063A"/>
    <w:rsid w:val="003531BB"/>
    <w:rsid w:val="003853EA"/>
    <w:rsid w:val="0039771C"/>
    <w:rsid w:val="003A5084"/>
    <w:rsid w:val="003A63C4"/>
    <w:rsid w:val="003C49D1"/>
    <w:rsid w:val="003F0994"/>
    <w:rsid w:val="00401D1A"/>
    <w:rsid w:val="00420F74"/>
    <w:rsid w:val="00426E1B"/>
    <w:rsid w:val="004270CC"/>
    <w:rsid w:val="0043751E"/>
    <w:rsid w:val="00477C94"/>
    <w:rsid w:val="004917B8"/>
    <w:rsid w:val="00495C9B"/>
    <w:rsid w:val="004E69C7"/>
    <w:rsid w:val="004F68EF"/>
    <w:rsid w:val="00525415"/>
    <w:rsid w:val="00533FAD"/>
    <w:rsid w:val="00557C3D"/>
    <w:rsid w:val="005619F3"/>
    <w:rsid w:val="00583C99"/>
    <w:rsid w:val="00583D9E"/>
    <w:rsid w:val="00584414"/>
    <w:rsid w:val="00592B2F"/>
    <w:rsid w:val="00595471"/>
    <w:rsid w:val="005A4CCF"/>
    <w:rsid w:val="005B5A9D"/>
    <w:rsid w:val="00616B97"/>
    <w:rsid w:val="006648C9"/>
    <w:rsid w:val="00686C43"/>
    <w:rsid w:val="00694856"/>
    <w:rsid w:val="006F0E55"/>
    <w:rsid w:val="0073108F"/>
    <w:rsid w:val="007314C4"/>
    <w:rsid w:val="0074789A"/>
    <w:rsid w:val="007544AA"/>
    <w:rsid w:val="0079330A"/>
    <w:rsid w:val="007A43F7"/>
    <w:rsid w:val="007B1876"/>
    <w:rsid w:val="007B50BD"/>
    <w:rsid w:val="007D3C58"/>
    <w:rsid w:val="007E1C68"/>
    <w:rsid w:val="007F24B6"/>
    <w:rsid w:val="008066C8"/>
    <w:rsid w:val="00822B07"/>
    <w:rsid w:val="00835636"/>
    <w:rsid w:val="008412ED"/>
    <w:rsid w:val="00841D89"/>
    <w:rsid w:val="00845BD7"/>
    <w:rsid w:val="00872D70"/>
    <w:rsid w:val="008A1C96"/>
    <w:rsid w:val="008A7C4B"/>
    <w:rsid w:val="008C2926"/>
    <w:rsid w:val="008C7B9F"/>
    <w:rsid w:val="008E0D65"/>
    <w:rsid w:val="008E1B1E"/>
    <w:rsid w:val="008E4015"/>
    <w:rsid w:val="009048EB"/>
    <w:rsid w:val="009073AC"/>
    <w:rsid w:val="00907642"/>
    <w:rsid w:val="00932603"/>
    <w:rsid w:val="0095447D"/>
    <w:rsid w:val="0099416F"/>
    <w:rsid w:val="0099594D"/>
    <w:rsid w:val="009C54F2"/>
    <w:rsid w:val="00A13217"/>
    <w:rsid w:val="00A2557B"/>
    <w:rsid w:val="00A25F87"/>
    <w:rsid w:val="00A47237"/>
    <w:rsid w:val="00A538BD"/>
    <w:rsid w:val="00A55CE1"/>
    <w:rsid w:val="00A745B6"/>
    <w:rsid w:val="00A96EF3"/>
    <w:rsid w:val="00AA010D"/>
    <w:rsid w:val="00AB0593"/>
    <w:rsid w:val="00AB49F5"/>
    <w:rsid w:val="00AC01C8"/>
    <w:rsid w:val="00AC4938"/>
    <w:rsid w:val="00B033C0"/>
    <w:rsid w:val="00B17D98"/>
    <w:rsid w:val="00B26B66"/>
    <w:rsid w:val="00B278CB"/>
    <w:rsid w:val="00B356FF"/>
    <w:rsid w:val="00B519FE"/>
    <w:rsid w:val="00B54BCE"/>
    <w:rsid w:val="00B77E8A"/>
    <w:rsid w:val="00B953D6"/>
    <w:rsid w:val="00B97E42"/>
    <w:rsid w:val="00BA1EC1"/>
    <w:rsid w:val="00BD18F3"/>
    <w:rsid w:val="00BE0263"/>
    <w:rsid w:val="00C11293"/>
    <w:rsid w:val="00C14E68"/>
    <w:rsid w:val="00C43B36"/>
    <w:rsid w:val="00C447F0"/>
    <w:rsid w:val="00C551FF"/>
    <w:rsid w:val="00C65555"/>
    <w:rsid w:val="00C66E41"/>
    <w:rsid w:val="00C727C0"/>
    <w:rsid w:val="00C8715C"/>
    <w:rsid w:val="00C90F91"/>
    <w:rsid w:val="00CA40E6"/>
    <w:rsid w:val="00CA49EC"/>
    <w:rsid w:val="00CB380C"/>
    <w:rsid w:val="00CD2F05"/>
    <w:rsid w:val="00CE691E"/>
    <w:rsid w:val="00D1090B"/>
    <w:rsid w:val="00D24B91"/>
    <w:rsid w:val="00D47F34"/>
    <w:rsid w:val="00D57CD9"/>
    <w:rsid w:val="00DC68BF"/>
    <w:rsid w:val="00DD129E"/>
    <w:rsid w:val="00DE7ACD"/>
    <w:rsid w:val="00DF26AB"/>
    <w:rsid w:val="00E309F8"/>
    <w:rsid w:val="00E32235"/>
    <w:rsid w:val="00E41874"/>
    <w:rsid w:val="00E55465"/>
    <w:rsid w:val="00E653D1"/>
    <w:rsid w:val="00E9027F"/>
    <w:rsid w:val="00EA3A95"/>
    <w:rsid w:val="00EC72CB"/>
    <w:rsid w:val="00F05C72"/>
    <w:rsid w:val="00F14A2E"/>
    <w:rsid w:val="00F16C44"/>
    <w:rsid w:val="00F2628F"/>
    <w:rsid w:val="00F33ED2"/>
    <w:rsid w:val="00FB1496"/>
    <w:rsid w:val="00FD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C02B4A4"/>
  <w15:docId w15:val="{732CB68D-FBE5-44E9-8CFB-C2DF0ADF2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nhideWhenUsed/>
    <w:rsid w:val="001736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173624"/>
  </w:style>
  <w:style w:type="paragraph" w:styleId="Prrafodelista">
    <w:name w:val="List Paragraph"/>
    <w:basedOn w:val="Normal"/>
    <w:uiPriority w:val="34"/>
    <w:qFormat/>
    <w:rsid w:val="0017362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57CD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57CD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57CD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0227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845B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5BD7"/>
  </w:style>
  <w:style w:type="paragraph" w:styleId="Textodeglobo">
    <w:name w:val="Balloon Text"/>
    <w:basedOn w:val="Normal"/>
    <w:link w:val="TextodegloboCar"/>
    <w:uiPriority w:val="99"/>
    <w:semiHidden/>
    <w:unhideWhenUsed/>
    <w:rsid w:val="00845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5BD7"/>
    <w:rPr>
      <w:rFonts w:ascii="Tahoma" w:hAnsi="Tahoma" w:cs="Tahoma"/>
      <w:sz w:val="16"/>
      <w:szCs w:val="16"/>
    </w:rPr>
  </w:style>
  <w:style w:type="character" w:styleId="nfasissutil">
    <w:name w:val="Subtle Emphasis"/>
    <w:basedOn w:val="Fuentedeprrafopredeter"/>
    <w:uiPriority w:val="19"/>
    <w:qFormat/>
    <w:rsid w:val="00477C9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6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5336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s-PE" dirty="0"/>
              <a:t>Ingresos Tributarios Netos 2015 - 2019 </a:t>
            </a:r>
          </a:p>
          <a:p>
            <a:pPr algn="l">
              <a:defRPr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2.4264200334386176E-3"/>
          <c:y val="5.06273112511308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527964205816555"/>
          <c:y val="0.27700231889128157"/>
          <c:w val="0.77181208053691219"/>
          <c:h val="0.52101053524298324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9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4"/>
            <c:invertIfNegative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1-00B7-44F7-A3AF-54FA62D140E7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1"/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2-173C-49FA-AA61-87C6A48428B1}"/>
              </c:ext>
            </c:extLst>
          </c:dPt>
          <c:dLbls>
            <c:dLbl>
              <c:idx val="0"/>
              <c:layout>
                <c:manualLayout>
                  <c:x val="-6.0511604172156265E-3"/>
                  <c:y val="-0.2569498779095467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0B7-44F7-A3AF-54FA62D140E7}"/>
                </c:ext>
              </c:extLst>
            </c:dLbl>
            <c:dLbl>
              <c:idx val="1"/>
              <c:layout>
                <c:manualLayout>
                  <c:x val="-9.0767406258234536E-3"/>
                  <c:y val="-0.2454115618359189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0B7-44F7-A3AF-54FA62D140E7}"/>
                </c:ext>
              </c:extLst>
            </c:dLbl>
            <c:dLbl>
              <c:idx val="2"/>
              <c:layout>
                <c:manualLayout>
                  <c:x val="3.0255802086077994E-3"/>
                  <c:y val="-0.2284069500551948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0B7-44F7-A3AF-54FA62D140E7}"/>
                </c:ext>
              </c:extLst>
            </c:dLbl>
            <c:dLbl>
              <c:idx val="3"/>
              <c:layout>
                <c:manualLayout>
                  <c:x val="3.0255802086076888E-3"/>
                  <c:y val="-0.2464076095563850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0B7-44F7-A3AF-54FA62D140E7}"/>
                </c:ext>
              </c:extLst>
            </c:dLbl>
            <c:dLbl>
              <c:idx val="4"/>
              <c:layout>
                <c:manualLayout>
                  <c:x val="-6.0511604172155987E-3"/>
                  <c:y val="-0.2770504813885927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0B7-44F7-A3AF-54FA62D140E7}"/>
                </c:ext>
              </c:extLst>
            </c:dLbl>
            <c:dLbl>
              <c:idx val="5"/>
              <c:layout>
                <c:manualLayout>
                  <c:x val="6.9444444444444441E-3"/>
                  <c:y val="-0.296281197098883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73C-49FA-AA61-87C6A48428B1}"/>
                </c:ext>
              </c:extLst>
            </c:dLbl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Hoja1!$A$2:$A$17</c:f>
              <c:strCach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 </c:v>
                </c:pt>
                <c:pt idx="4">
                  <c:v>2019</c:v>
                </c:pt>
              </c:strCache>
            </c:strRef>
          </c:cat>
          <c:val>
            <c:numRef>
              <c:f>Hoja1!$B$2:$B$17</c:f>
              <c:numCache>
                <c:formatCode>_ * #,##0_ ;_ * \-#,##0_ ;_ * "-"??_ ;_ @_ </c:formatCode>
                <c:ptCount val="5"/>
                <c:pt idx="0">
                  <c:v>90262.423607910008</c:v>
                </c:pt>
                <c:pt idx="1">
                  <c:v>89375.346558866178</c:v>
                </c:pt>
                <c:pt idx="2">
                  <c:v>90705.556688057157</c:v>
                </c:pt>
                <c:pt idx="3">
                  <c:v>104589.86583393432</c:v>
                </c:pt>
                <c:pt idx="4">
                  <c:v>110767.54171091263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912-4C97-A988-9A69DB907E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09820928"/>
        <c:axId val="117781248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b="1">
                      <a:solidFill>
                        <a:schemeClr val="bg1"/>
                      </a:solidFill>
                    </a:defRPr>
                  </a:pPr>
                  <a:endParaRPr lang="es-PE"/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06DC-4F2E-82D0-021FA5FA9437}"/>
                </c:ext>
              </c:extLst>
            </c:dLbl>
            <c:dLbl>
              <c:idx val="5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b="1">
                      <a:solidFill>
                        <a:schemeClr val="bg1"/>
                      </a:solidFill>
                    </a:defRPr>
                  </a:pPr>
                  <a:endParaRPr lang="es-PE"/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5DCF-42A6-A792-8020C3CC2605}"/>
                </c:ext>
              </c:extLst>
            </c:dLbl>
            <c:dLbl>
              <c:idx val="6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4-5DCF-42A6-A792-8020C3CC2605}"/>
                </c:ext>
              </c:extLst>
            </c:dLbl>
            <c:dLbl>
              <c:idx val="7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5DCF-42A6-A792-8020C3CC260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rgbClr val="0070C0"/>
                    </a:solidFill>
                  </a:defRPr>
                </a:pPr>
                <a:endParaRPr lang="es-PE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Hoja1!$A$2:$A$17</c:f>
              <c:strCach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 </c:v>
                </c:pt>
                <c:pt idx="4">
                  <c:v>2019</c:v>
                </c:pt>
              </c:strCache>
            </c:strRef>
          </c:cat>
          <c:val>
            <c:numRef>
              <c:f>Hoja1!$C$2:$C$17</c:f>
              <c:numCache>
                <c:formatCode>0.0</c:formatCode>
                <c:ptCount val="5"/>
                <c:pt idx="0">
                  <c:v>-8.6090221145331149</c:v>
                </c:pt>
                <c:pt idx="1">
                  <c:v>-4.444736733495402</c:v>
                </c:pt>
                <c:pt idx="2">
                  <c:v>-1.2991623095081284</c:v>
                </c:pt>
                <c:pt idx="3">
                  <c:v>13.844517928202471</c:v>
                </c:pt>
                <c:pt idx="4">
                  <c:v>3.6826319615105518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8-A912-4C97-A988-9A69DB907E95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Cero</c:v>
                </c:pt>
              </c:strCache>
            </c:strRef>
          </c:tx>
          <c:spPr>
            <a:ln w="3175">
              <a:solidFill>
                <a:schemeClr val="tx1"/>
              </a:solidFill>
              <a:prstDash val="lgDashDot"/>
            </a:ln>
          </c:spPr>
          <c:marker>
            <c:symbol val="none"/>
          </c:marker>
          <c:cat>
            <c:strRef>
              <c:f>Hoja1!$A$2:$A$17</c:f>
              <c:strCach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 </c:v>
                </c:pt>
                <c:pt idx="4">
                  <c:v>2019</c:v>
                </c:pt>
              </c:strCache>
            </c:strRef>
          </c:cat>
          <c:val>
            <c:numRef>
              <c:f>Hoja1!$D$2:$D$17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5DCF-42A6-A792-8020C3CC26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7782784"/>
        <c:axId val="117784576"/>
      </c:lineChart>
      <c:catAx>
        <c:axId val="109820928"/>
        <c:scaling>
          <c:orientation val="minMax"/>
        </c:scaling>
        <c:delete val="0"/>
        <c:axPos val="b"/>
        <c:numFmt formatCode="#,##0.00" sourceLinked="0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es-PE"/>
          </a:p>
        </c:txPr>
        <c:crossAx val="117781248"/>
        <c:crosses val="autoZero"/>
        <c:auto val="1"/>
        <c:lblAlgn val="ctr"/>
        <c:lblOffset val="100"/>
        <c:noMultiLvlLbl val="0"/>
      </c:catAx>
      <c:valAx>
        <c:axId val="117781248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crossAx val="109820928"/>
        <c:crosses val="autoZero"/>
        <c:crossBetween val="between"/>
      </c:valAx>
      <c:catAx>
        <c:axId val="11778278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17784576"/>
        <c:crosses val="autoZero"/>
        <c:auto val="1"/>
        <c:lblAlgn val="ctr"/>
        <c:lblOffset val="100"/>
        <c:noMultiLvlLbl val="0"/>
      </c:catAx>
      <c:valAx>
        <c:axId val="117784576"/>
        <c:scaling>
          <c:orientation val="minMax"/>
          <c:min val="-20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rgbClr val="0070C0"/>
                </a:solidFill>
              </a:defRPr>
            </a:pPr>
            <a:endParaRPr lang="es-PE"/>
          </a:p>
        </c:txPr>
        <c:crossAx val="117782784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20436406386701661"/>
          <c:y val="0.90417617916103687"/>
          <c:w val="0.53062697168962214"/>
          <c:h val="7.4095202872195481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s-PE" dirty="0"/>
              <a:t>Presión</a:t>
            </a:r>
            <a:r>
              <a:rPr lang="es-PE" baseline="0" dirty="0"/>
              <a:t> Tributaria </a:t>
            </a:r>
            <a:r>
              <a:rPr lang="es-PE" dirty="0"/>
              <a:t>2015 - 2019 </a:t>
            </a:r>
          </a:p>
          <a:p>
            <a:pPr algn="l">
              <a:defRPr/>
            </a:pPr>
            <a:r>
              <a:rPr lang="es-PE" sz="1000" b="0" dirty="0"/>
              <a:t>En porcentaje del PBI</a:t>
            </a:r>
          </a:p>
        </c:rich>
      </c:tx>
      <c:layout>
        <c:manualLayout>
          <c:xMode val="edge"/>
          <c:yMode val="edge"/>
          <c:x val="2.4264200334386176E-3"/>
          <c:y val="5.06273112511308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571750044715092"/>
          <c:y val="0.33048592921765313"/>
          <c:w val="0.77533390735032925"/>
          <c:h val="0.498386002470597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Presión</c:v>
                </c:pt>
              </c:strCache>
            </c:strRef>
          </c:tx>
          <c:spPr>
            <a:solidFill>
              <a:schemeClr val="bg1">
                <a:lumMod val="9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4"/>
            <c:invertIfNegative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1-2FED-45FC-B101-11683EE1CDB6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B6DF-40C4-B435-CBFFCB59BFBF}"/>
              </c:ext>
            </c:extLst>
          </c:dPt>
          <c:dLbls>
            <c:dLbl>
              <c:idx val="0"/>
              <c:layout>
                <c:manualLayout>
                  <c:x val="-6.0511604172155987E-3"/>
                  <c:y val="-0.2737470307531967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FED-45FC-B101-11683EE1CDB6}"/>
                </c:ext>
              </c:extLst>
            </c:dLbl>
            <c:dLbl>
              <c:idx val="1"/>
              <c:layout>
                <c:manualLayout>
                  <c:x val="-9.0767406258234536E-3"/>
                  <c:y val="-0.2454115618359189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FED-45FC-B101-11683EE1CDB6}"/>
                </c:ext>
              </c:extLst>
            </c:dLbl>
            <c:dLbl>
              <c:idx val="2"/>
              <c:layout>
                <c:manualLayout>
                  <c:x val="3.0255802086077994E-3"/>
                  <c:y val="-0.2284069500551948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FED-45FC-B101-11683EE1CDB6}"/>
                </c:ext>
              </c:extLst>
            </c:dLbl>
            <c:dLbl>
              <c:idx val="3"/>
              <c:layout>
                <c:manualLayout>
                  <c:x val="-6.0511120320486259E-3"/>
                  <c:y val="-0.2453572767689753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FED-45FC-B101-11683EE1CDB6}"/>
                </c:ext>
              </c:extLst>
            </c:dLbl>
            <c:dLbl>
              <c:idx val="4"/>
              <c:layout>
                <c:manualLayout>
                  <c:x val="-6.0511120320486259E-3"/>
                  <c:y val="-0.2589935186673094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FED-45FC-B101-11683EE1CDB6}"/>
                </c:ext>
              </c:extLst>
            </c:dLbl>
            <c:dLbl>
              <c:idx val="5"/>
              <c:layout>
                <c:manualLayout>
                  <c:x val="-3.5087719298246903E-3"/>
                  <c:y val="-0.2744491759958577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6DF-40C4-B435-CBFFCB59BFBF}"/>
                </c:ext>
              </c:extLst>
            </c:dLbl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Hoja1!$A$2:$A$17</c:f>
              <c:strCach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 </c:v>
                </c:pt>
                <c:pt idx="4">
                  <c:v>2019</c:v>
                </c:pt>
              </c:strCache>
            </c:strRef>
          </c:cat>
          <c:val>
            <c:numRef>
              <c:f>Hoja1!$B$2:$B$17</c:f>
              <c:numCache>
                <c:formatCode>_ * #,##0.0_ ;_ * \-#,##0.0_ ;_ * "-"??_ ;_ @_ </c:formatCode>
                <c:ptCount val="5"/>
                <c:pt idx="0">
                  <c:v>14.790801118597011</c:v>
                </c:pt>
                <c:pt idx="1">
                  <c:v>13.600811647381249</c:v>
                </c:pt>
                <c:pt idx="2">
                  <c:v>12.967658992524376</c:v>
                </c:pt>
                <c:pt idx="3">
                  <c:v>14.093769819961505</c:v>
                </c:pt>
                <c:pt idx="4">
                  <c:v>14.37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2FED-45FC-B101-11683EE1CD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84987904"/>
        <c:axId val="84989440"/>
      </c:barChart>
      <c:catAx>
        <c:axId val="84987904"/>
        <c:scaling>
          <c:orientation val="minMax"/>
        </c:scaling>
        <c:delete val="0"/>
        <c:axPos val="b"/>
        <c:numFmt formatCode="#,##0.00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800"/>
            </a:pPr>
            <a:endParaRPr lang="es-PE"/>
          </a:p>
        </c:txPr>
        <c:crossAx val="84989440"/>
        <c:crosses val="autoZero"/>
        <c:auto val="1"/>
        <c:lblAlgn val="ctr"/>
        <c:lblOffset val="100"/>
        <c:noMultiLvlLbl val="0"/>
      </c:catAx>
      <c:valAx>
        <c:axId val="84989440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crossAx val="84987904"/>
        <c:crosses val="autoZero"/>
        <c:crossBetween val="between"/>
      </c:valAx>
      <c:spPr>
        <a:noFill/>
        <a:ln w="22874"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s-PE" dirty="0"/>
              <a:t>Impuesto a la Renta 2015 - 2019 </a:t>
            </a:r>
          </a:p>
          <a:p>
            <a:pPr algn="l">
              <a:defRPr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2.4264200334386176E-3"/>
          <c:y val="5.06273112511308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4832261092103616"/>
          <c:y val="0.27700231889128157"/>
          <c:w val="0.75102203960471681"/>
          <c:h val="0.51173297996129086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9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4"/>
            <c:invertIfNegative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1-0F15-4F4A-AB77-021F807923FA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CBF9-40C9-A3A4-4A62FEE58C4D}"/>
              </c:ext>
            </c:extLst>
          </c:dPt>
          <c:dLbls>
            <c:dLbl>
              <c:idx val="0"/>
              <c:layout>
                <c:manualLayout>
                  <c:x val="-9.0767406258233981E-3"/>
                  <c:y val="-0.2821455684818088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F15-4F4A-AB77-021F807923FA}"/>
                </c:ext>
              </c:extLst>
            </c:dLbl>
            <c:dLbl>
              <c:idx val="1"/>
              <c:layout>
                <c:manualLayout>
                  <c:x val="-9.0767406258234536E-3"/>
                  <c:y val="-0.2454115618359189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F15-4F4A-AB77-021F807923FA}"/>
                </c:ext>
              </c:extLst>
            </c:dLbl>
            <c:dLbl>
              <c:idx val="2"/>
              <c:layout>
                <c:manualLayout>
                  <c:x val="-9.0767406258234536E-3"/>
                  <c:y val="-0.2536024436438279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F15-4F4A-AB77-021F807923FA}"/>
                </c:ext>
              </c:extLst>
            </c:dLbl>
            <c:dLbl>
              <c:idx val="3"/>
              <c:layout>
                <c:manualLayout>
                  <c:x val="3.0254664112930557E-3"/>
                  <c:y val="-0.2961589689348532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F15-4F4A-AB77-021F807923FA}"/>
                </c:ext>
              </c:extLst>
            </c:dLbl>
            <c:dLbl>
              <c:idx val="4"/>
              <c:layout>
                <c:manualLayout>
                  <c:x val="-6.0512056575048705E-3"/>
                  <c:y val="-0.2969510714145806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F15-4F4A-AB77-021F807923FA}"/>
                </c:ext>
              </c:extLst>
            </c:dLbl>
            <c:dLbl>
              <c:idx val="5"/>
              <c:layout>
                <c:manualLayout>
                  <c:x val="0"/>
                  <c:y val="-0.2517068202295608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BF9-40C9-A3A4-4A62FEE58C4D}"/>
                </c:ext>
              </c:extLst>
            </c:dLbl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Hoja1!$A$2:$A$17</c:f>
              <c:strCach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 </c:v>
                </c:pt>
                <c:pt idx="4">
                  <c:v>2019</c:v>
                </c:pt>
              </c:strCache>
            </c:strRef>
          </c:cat>
          <c:val>
            <c:numRef>
              <c:f>Hoja1!$B$2:$B$17</c:f>
              <c:numCache>
                <c:formatCode>_ * #,##0_ ;_ * \-#,##0_ ;_ * "-"??_ ;_ @_ </c:formatCode>
                <c:ptCount val="5"/>
                <c:pt idx="0">
                  <c:v>34745.43595246</c:v>
                </c:pt>
                <c:pt idx="1">
                  <c:v>37213.767777950001</c:v>
                </c:pt>
                <c:pt idx="2">
                  <c:v>36755.412835520001</c:v>
                </c:pt>
                <c:pt idx="3">
                  <c:v>41598.1529763</c:v>
                </c:pt>
                <c:pt idx="4">
                  <c:v>44015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0F15-4F4A-AB77-021F807923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85158528"/>
        <c:axId val="85180800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4665187388238194E-2"/>
                  <c:y val="-4.69478259029419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B60-4A26-8648-7047F6A45185}"/>
                </c:ext>
              </c:extLst>
            </c:dLbl>
            <c:dLbl>
              <c:idx val="1"/>
              <c:layout>
                <c:manualLayout>
                  <c:x val="-5.0127401307434254E-2"/>
                  <c:y val="-4.58006718924972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A16-4CDD-99A8-49179EFAB5E8}"/>
                </c:ext>
              </c:extLst>
            </c:dLbl>
            <c:dLbl>
              <c:idx val="3"/>
              <c:layout>
                <c:manualLayout>
                  <c:x val="-5.6367148493132742E-2"/>
                  <c:y val="7.37313432835820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F39-4057-82D0-D36734406D00}"/>
                </c:ext>
              </c:extLst>
            </c:dLbl>
            <c:dLbl>
              <c:idx val="4"/>
              <c:layout>
                <c:manualLayout>
                  <c:x val="-5.6588417612039657E-2"/>
                  <c:y val="9.328828299447643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b="1">
                      <a:solidFill>
                        <a:schemeClr val="bg1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F15-4F4A-AB77-021F807923FA}"/>
                </c:ext>
              </c:extLst>
            </c:dLbl>
            <c:dLbl>
              <c:idx val="5"/>
              <c:layout>
                <c:manualLayout>
                  <c:x val="-4.7687178395839941E-2"/>
                  <c:y val="4.0796019900496599E-3"/>
                </c:manualLayout>
              </c:layout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b="1">
                      <a:solidFill>
                        <a:schemeClr val="bg1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7DE-4604-931D-B674679EF632}"/>
                </c:ext>
              </c:extLst>
            </c:dLbl>
            <c:dLbl>
              <c:idx val="6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17DE-4604-931D-B674679EF632}"/>
                </c:ext>
              </c:extLst>
            </c:dLbl>
            <c:dLbl>
              <c:idx val="7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4-17DE-4604-931D-B674679EF63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rgbClr val="0070C0"/>
                    </a:solidFill>
                  </a:defRPr>
                </a:pPr>
                <a:endParaRPr lang="es-P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Hoja1!$A$2:$A$17</c:f>
              <c:strCach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 </c:v>
                </c:pt>
                <c:pt idx="4">
                  <c:v>2019</c:v>
                </c:pt>
              </c:strCache>
            </c:strRef>
          </c:cat>
          <c:val>
            <c:numRef>
              <c:f>Hoja1!$C$2:$C$17</c:f>
              <c:numCache>
                <c:formatCode>0.0</c:formatCode>
                <c:ptCount val="5"/>
                <c:pt idx="0">
                  <c:v>-16.32493757896869</c:v>
                </c:pt>
                <c:pt idx="1">
                  <c:v>3.2692337319938147</c:v>
                </c:pt>
                <c:pt idx="2">
                  <c:v>-4.0127895922157713</c:v>
                </c:pt>
                <c:pt idx="3">
                  <c:v>11.813846323367194</c:v>
                </c:pt>
                <c:pt idx="4">
                  <c:v>3.5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C-0F15-4F4A-AB77-021F807923FA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3175">
              <a:solidFill>
                <a:schemeClr val="tx1"/>
              </a:solidFill>
              <a:prstDash val="dashDot"/>
            </a:ln>
          </c:spPr>
          <c:marker>
            <c:symbol val="none"/>
          </c:marker>
          <c:cat>
            <c:strRef>
              <c:f>Hoja1!$A$2:$A$17</c:f>
              <c:strCach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 </c:v>
                </c:pt>
                <c:pt idx="4">
                  <c:v>2019</c:v>
                </c:pt>
              </c:strCache>
            </c:strRef>
          </c:cat>
          <c:val>
            <c:numRef>
              <c:f>Hoja1!$D$2:$D$17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17DE-4604-931D-B674679EF6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5182336"/>
        <c:axId val="85183872"/>
      </c:lineChart>
      <c:catAx>
        <c:axId val="85158528"/>
        <c:scaling>
          <c:orientation val="minMax"/>
        </c:scaling>
        <c:delete val="0"/>
        <c:axPos val="b"/>
        <c:numFmt formatCode="#,##0.00" sourceLinked="0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es-PE"/>
          </a:p>
        </c:txPr>
        <c:crossAx val="85180800"/>
        <c:crosses val="autoZero"/>
        <c:auto val="1"/>
        <c:lblAlgn val="ctr"/>
        <c:lblOffset val="100"/>
        <c:noMultiLvlLbl val="0"/>
      </c:catAx>
      <c:valAx>
        <c:axId val="85180800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crossAx val="85158528"/>
        <c:crosses val="autoZero"/>
        <c:crossBetween val="between"/>
      </c:valAx>
      <c:catAx>
        <c:axId val="851823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85183872"/>
        <c:crosses val="autoZero"/>
        <c:auto val="1"/>
        <c:lblAlgn val="ctr"/>
        <c:lblOffset val="100"/>
        <c:noMultiLvlLbl val="0"/>
      </c:catAx>
      <c:valAx>
        <c:axId val="85183872"/>
        <c:scaling>
          <c:orientation val="minMax"/>
          <c:min val="-20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rgbClr val="0070C0"/>
                </a:solidFill>
              </a:defRPr>
            </a:pPr>
            <a:endParaRPr lang="es-PE"/>
          </a:p>
        </c:txPr>
        <c:crossAx val="85182336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23618512929709812"/>
          <c:y val="0.89804129950473344"/>
          <c:w val="0.53062697168962214"/>
          <c:h val="7.4095202872195481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s-PE" dirty="0"/>
              <a:t>Pagos</a:t>
            </a:r>
            <a:r>
              <a:rPr lang="es-PE" baseline="0" dirty="0"/>
              <a:t> a cuenta del Régimen General y del Régimen Mype Tributario </a:t>
            </a:r>
            <a:r>
              <a:rPr lang="es-PE" dirty="0"/>
              <a:t>2015 - 2019 </a:t>
            </a:r>
          </a:p>
          <a:p>
            <a:pPr algn="l">
              <a:defRPr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2.4264200334386176E-3"/>
          <c:y val="2.543169806529433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3738206788639637"/>
          <c:y val="0.27700231889128157"/>
          <c:w val="0.75970984924034102"/>
          <c:h val="0.5169692683718902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9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4"/>
            <c:invertIfNegative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1-C5A1-4E05-B56F-D3829B891AB1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BDEE-4DF5-940A-FDBE90F807CF}"/>
              </c:ext>
            </c:extLst>
          </c:dPt>
          <c:dLbls>
            <c:dLbl>
              <c:idx val="0"/>
              <c:layout>
                <c:manualLayout>
                  <c:x val="-9.0767406258233981E-3"/>
                  <c:y val="-0.2821455684818088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5A1-4E05-B56F-D3829B891AB1}"/>
                </c:ext>
              </c:extLst>
            </c:dLbl>
            <c:dLbl>
              <c:idx val="1"/>
              <c:layout>
                <c:manualLayout>
                  <c:x val="-9.0767406258234536E-3"/>
                  <c:y val="-0.2454115618359189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5A1-4E05-B56F-D3829B891AB1}"/>
                </c:ext>
              </c:extLst>
            </c:dLbl>
            <c:dLbl>
              <c:idx val="2"/>
              <c:layout>
                <c:manualLayout>
                  <c:x val="-9.0767406258234536E-3"/>
                  <c:y val="-0.2536024436438279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5A1-4E05-B56F-D3829B891AB1}"/>
                </c:ext>
              </c:extLst>
            </c:dLbl>
            <c:dLbl>
              <c:idx val="3"/>
              <c:layout>
                <c:manualLayout>
                  <c:x val="3.0255863894391635E-3"/>
                  <c:y val="-0.3262478979049774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5A1-4E05-B56F-D3829B891AB1}"/>
                </c:ext>
              </c:extLst>
            </c:dLbl>
            <c:dLbl>
              <c:idx val="4"/>
              <c:layout>
                <c:manualLayout>
                  <c:x val="-6.0511727788783269E-3"/>
                  <c:y val="-0.3219608028038411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5A1-4E05-B56F-D3829B891AB1}"/>
                </c:ext>
              </c:extLst>
            </c:dLbl>
            <c:dLbl>
              <c:idx val="5"/>
              <c:layout>
                <c:manualLayout>
                  <c:x val="-3.5236081747709656E-3"/>
                  <c:y val="-0.2438650258538042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DEE-4DF5-940A-FDBE90F807CF}"/>
                </c:ext>
              </c:extLst>
            </c:dLbl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Hoja1!$A$2:$A$17</c:f>
              <c:strCach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 </c:v>
                </c:pt>
                <c:pt idx="4">
                  <c:v>2019</c:v>
                </c:pt>
              </c:strCache>
            </c:strRef>
          </c:cat>
          <c:val>
            <c:numRef>
              <c:f>Hoja1!$B$2:$B$17</c:f>
              <c:numCache>
                <c:formatCode>_ * #,##0_ ;_ * \-#,##0_ ;_ * "-"??_ ;_ @_ </c:formatCode>
                <c:ptCount val="5"/>
                <c:pt idx="0">
                  <c:v>16817.499295319998</c:v>
                </c:pt>
                <c:pt idx="1">
                  <c:v>16495.769289200001</c:v>
                </c:pt>
                <c:pt idx="2">
                  <c:v>16403.37645738</c:v>
                </c:pt>
                <c:pt idx="3">
                  <c:v>18601.448648350004</c:v>
                </c:pt>
                <c:pt idx="4">
                  <c:v>19088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C5A1-4E05-B56F-D3829B891A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85377024"/>
        <c:axId val="85378560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4"/>
              <c:layout>
                <c:manualLayout>
                  <c:x val="-5.0273287720641817E-2"/>
                  <c:y val="-4.401197604790418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b="1">
                      <a:solidFill>
                        <a:schemeClr val="bg1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C4D-4F4C-86DD-00E10CB885A3}"/>
                </c:ext>
              </c:extLst>
            </c:dLbl>
            <c:dLbl>
              <c:idx val="5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b="1">
                      <a:solidFill>
                        <a:schemeClr val="bg1"/>
                      </a:solidFill>
                    </a:defRPr>
                  </a:pPr>
                  <a:endParaRPr lang="es-PE"/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FC4D-4F4C-86DD-00E10CB885A3}"/>
                </c:ext>
              </c:extLst>
            </c:dLbl>
            <c:dLbl>
              <c:idx val="6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4-FC4D-4F4C-86DD-00E10CB885A3}"/>
                </c:ext>
              </c:extLst>
            </c:dLbl>
            <c:dLbl>
              <c:idx val="7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FC4D-4F4C-86DD-00E10CB885A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rgbClr val="0070C0"/>
                    </a:solidFill>
                  </a:defRPr>
                </a:pPr>
                <a:endParaRPr lang="es-PE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Hoja1!$A$2:$A$17</c:f>
              <c:strCach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 </c:v>
                </c:pt>
                <c:pt idx="4">
                  <c:v>2019</c:v>
                </c:pt>
              </c:strCache>
            </c:strRef>
          </c:cat>
          <c:val>
            <c:numRef>
              <c:f>Hoja1!$C$2:$C$17</c:f>
              <c:numCache>
                <c:formatCode>0.0</c:formatCode>
                <c:ptCount val="5"/>
                <c:pt idx="0">
                  <c:v>-12.322651674011409</c:v>
                </c:pt>
                <c:pt idx="1">
                  <c:v>-5.3827014018897668</c:v>
                </c:pt>
                <c:pt idx="2">
                  <c:v>-3.3140278538813073</c:v>
                </c:pt>
                <c:pt idx="3">
                  <c:v>11.907887401161133</c:v>
                </c:pt>
                <c:pt idx="4">
                  <c:v>0.5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C-C5A1-4E05-B56F-D3829B891AB1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3175">
              <a:solidFill>
                <a:schemeClr val="tx1"/>
              </a:solidFill>
              <a:prstDash val="dashDot"/>
            </a:ln>
          </c:spPr>
          <c:marker>
            <c:symbol val="none"/>
          </c:marker>
          <c:cat>
            <c:strRef>
              <c:f>Hoja1!$A$2:$A$17</c:f>
              <c:strCach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 </c:v>
                </c:pt>
                <c:pt idx="4">
                  <c:v>2019</c:v>
                </c:pt>
              </c:strCache>
            </c:strRef>
          </c:cat>
          <c:val>
            <c:numRef>
              <c:f>Hoja1!$D$2:$D$17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FC4D-4F4C-86DD-00E10CB885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5380096"/>
        <c:axId val="85390080"/>
      </c:lineChart>
      <c:catAx>
        <c:axId val="85377024"/>
        <c:scaling>
          <c:orientation val="minMax"/>
        </c:scaling>
        <c:delete val="0"/>
        <c:axPos val="b"/>
        <c:numFmt formatCode="#,##0.00" sourceLinked="0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es-PE"/>
          </a:p>
        </c:txPr>
        <c:crossAx val="85378560"/>
        <c:crosses val="autoZero"/>
        <c:auto val="1"/>
        <c:lblAlgn val="ctr"/>
        <c:lblOffset val="100"/>
        <c:noMultiLvlLbl val="0"/>
      </c:catAx>
      <c:valAx>
        <c:axId val="85378560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crossAx val="85377024"/>
        <c:crosses val="autoZero"/>
        <c:crossBetween val="between"/>
      </c:valAx>
      <c:catAx>
        <c:axId val="8538009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85390080"/>
        <c:crosses val="autoZero"/>
        <c:auto val="1"/>
        <c:lblAlgn val="ctr"/>
        <c:lblOffset val="100"/>
        <c:noMultiLvlLbl val="0"/>
      </c:catAx>
      <c:valAx>
        <c:axId val="85390080"/>
        <c:scaling>
          <c:orientation val="minMax"/>
          <c:min val="-20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rgbClr val="0070C0"/>
                </a:solidFill>
              </a:defRPr>
            </a:pPr>
            <a:endParaRPr lang="es-PE"/>
          </a:p>
        </c:txPr>
        <c:crossAx val="85380096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22554318694130993"/>
          <c:y val="0.89482792510233911"/>
          <c:w val="0.53062697168962214"/>
          <c:h val="7.2195325875472532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s-PE" dirty="0"/>
              <a:t>Regularización 2015 - 2019 </a:t>
            </a:r>
          </a:p>
          <a:p>
            <a:pPr algn="l">
              <a:defRPr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2.4264200334386176E-3"/>
          <c:y val="5.06273112511308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3880228713804282"/>
          <c:y val="0.27700231889128157"/>
          <c:w val="0.75828954443574881"/>
          <c:h val="0.5169692683718902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9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4"/>
            <c:invertIfNegative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1-97D8-42EF-9A61-5B29F7B55CC2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97D8-42EF-9A61-5B29F7B55CC2}"/>
              </c:ext>
            </c:extLst>
          </c:dPt>
          <c:dLbls>
            <c:dLbl>
              <c:idx val="0"/>
              <c:layout>
                <c:manualLayout>
                  <c:x val="-3.0255802086077994E-3"/>
                  <c:y val="-0.2191565355172177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7D8-42EF-9A61-5B29F7B55CC2}"/>
                </c:ext>
              </c:extLst>
            </c:dLbl>
            <c:dLbl>
              <c:idx val="1"/>
              <c:layout>
                <c:manualLayout>
                  <c:x val="-3.0255802086078549E-3"/>
                  <c:y val="-0.1740239841075859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7D8-42EF-9A61-5B29F7B55CC2}"/>
                </c:ext>
              </c:extLst>
            </c:dLbl>
            <c:dLbl>
              <c:idx val="2"/>
              <c:layout>
                <c:manualLayout>
                  <c:x val="-9.7868851586250111E-3"/>
                  <c:y val="-0.2659430283079022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7D8-42EF-9A61-5B29F7B55CC2}"/>
                </c:ext>
              </c:extLst>
            </c:dLbl>
            <c:dLbl>
              <c:idx val="3"/>
              <c:layout>
                <c:manualLayout>
                  <c:x val="3.3806626098714107E-3"/>
                  <c:y val="-0.2798730667141183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7D8-42EF-9A61-5B29F7B55CC2}"/>
                </c:ext>
              </c:extLst>
            </c:dLbl>
            <c:dLbl>
              <c:idx val="4"/>
              <c:layout>
                <c:manualLayout>
                  <c:x val="-6.0511604172155987E-3"/>
                  <c:y val="-0.2770504813885927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7D8-42EF-9A61-5B29F7B55CC2}"/>
                </c:ext>
              </c:extLst>
            </c:dLbl>
            <c:dLbl>
              <c:idx val="5"/>
              <c:layout>
                <c:manualLayout>
                  <c:x val="0"/>
                  <c:y val="-0.2741336358378931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7D8-42EF-9A61-5B29F7B55CC2}"/>
                </c:ext>
              </c:extLst>
            </c:dLbl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Hoja1!$A$2:$A$17</c:f>
              <c:strCach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 </c:v>
                </c:pt>
                <c:pt idx="4">
                  <c:v>2019</c:v>
                </c:pt>
              </c:strCache>
            </c:strRef>
          </c:cat>
          <c:val>
            <c:numRef>
              <c:f>Hoja1!$B$2:$B$17</c:f>
              <c:numCache>
                <c:formatCode>_ * #,##0_ ;_ * \-#,##0_ ;_ * "-"??_ ;_ @_ </c:formatCode>
                <c:ptCount val="5"/>
                <c:pt idx="0">
                  <c:v>3646.4071651999998</c:v>
                </c:pt>
                <c:pt idx="1">
                  <c:v>3804.8107037400005</c:v>
                </c:pt>
                <c:pt idx="2">
                  <c:v>4884.3315368599997</c:v>
                </c:pt>
                <c:pt idx="3">
                  <c:v>6368.2788433199994</c:v>
                </c:pt>
                <c:pt idx="4">
                  <c:v>6363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7D8-42EF-9A61-5B29F7B55C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86366080"/>
        <c:axId val="86367616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9.4772484068294721E-2"/>
                  <c:y val="-8.3881993564363776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7D8-42EF-9A61-5B29F7B55CC2}"/>
                </c:ext>
              </c:extLst>
            </c:dLbl>
            <c:dLbl>
              <c:idx val="2"/>
              <c:layout>
                <c:manualLayout>
                  <c:x val="-6.1756453871257978E-2"/>
                  <c:y val="5.09416195856873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7D8-42EF-9A61-5B29F7B55CC2}"/>
                </c:ext>
              </c:extLst>
            </c:dLbl>
            <c:dLbl>
              <c:idx val="3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7D8-42EF-9A61-5B29F7B55CC2}"/>
                </c:ext>
              </c:extLst>
            </c:dLbl>
            <c:dLbl>
              <c:idx val="4"/>
              <c:layout>
                <c:manualLayout>
                  <c:x val="-5.6335414969680635E-2"/>
                  <c:y val="4.761258656227302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b="1">
                      <a:solidFill>
                        <a:schemeClr val="bg1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7D8-42EF-9A61-5B29F7B55CC2}"/>
                </c:ext>
              </c:extLst>
            </c:dLbl>
            <c:dLbl>
              <c:idx val="5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b="1">
                      <a:solidFill>
                        <a:schemeClr val="bg1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C-97D8-42EF-9A61-5B29F7B55CC2}"/>
                </c:ext>
              </c:extLst>
            </c:dLbl>
            <c:dLbl>
              <c:idx val="6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D-97D8-42EF-9A61-5B29F7B55CC2}"/>
                </c:ext>
              </c:extLst>
            </c:dLbl>
            <c:dLbl>
              <c:idx val="7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E-97D8-42EF-9A61-5B29F7B55CC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rgbClr val="0070C0"/>
                    </a:solidFill>
                  </a:defRPr>
                </a:pPr>
                <a:endParaRPr lang="es-P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Hoja1!$A$2:$A$17</c:f>
              <c:strCach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 </c:v>
                </c:pt>
                <c:pt idx="4">
                  <c:v>2019</c:v>
                </c:pt>
              </c:strCache>
            </c:strRef>
          </c:cat>
          <c:val>
            <c:numRef>
              <c:f>Hoja1!$C$2:$C$17</c:f>
              <c:numCache>
                <c:formatCode>0.0</c:formatCode>
                <c:ptCount val="5"/>
                <c:pt idx="0">
                  <c:v>-16.468672240757865</c:v>
                </c:pt>
                <c:pt idx="1">
                  <c:v>0.43751341750779549</c:v>
                </c:pt>
                <c:pt idx="2">
                  <c:v>24.03033556833676</c:v>
                </c:pt>
                <c:pt idx="3">
                  <c:v>29.526275014713789</c:v>
                </c:pt>
                <c:pt idx="4">
                  <c:v>-2.5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F-97D8-42EF-9A61-5B29F7B55CC2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3175">
              <a:solidFill>
                <a:schemeClr val="tx1"/>
              </a:solidFill>
              <a:prstDash val="dashDot"/>
            </a:ln>
          </c:spPr>
          <c:marker>
            <c:symbol val="none"/>
          </c:marker>
          <c:cat>
            <c:strRef>
              <c:f>Hoja1!$A$2:$A$17</c:f>
              <c:strCach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 </c:v>
                </c:pt>
                <c:pt idx="4">
                  <c:v>2019</c:v>
                </c:pt>
              </c:strCache>
            </c:strRef>
          </c:cat>
          <c:val>
            <c:numRef>
              <c:f>Hoja1!$D$2:$D$17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0-97D8-42EF-9A61-5B29F7B55C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5333120"/>
        <c:axId val="85334656"/>
      </c:lineChart>
      <c:catAx>
        <c:axId val="86366080"/>
        <c:scaling>
          <c:orientation val="minMax"/>
        </c:scaling>
        <c:delete val="0"/>
        <c:axPos val="b"/>
        <c:numFmt formatCode="#,##0.00" sourceLinked="0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es-PE"/>
          </a:p>
        </c:txPr>
        <c:crossAx val="86367616"/>
        <c:crosses val="autoZero"/>
        <c:auto val="1"/>
        <c:lblAlgn val="ctr"/>
        <c:lblOffset val="100"/>
        <c:noMultiLvlLbl val="0"/>
      </c:catAx>
      <c:valAx>
        <c:axId val="86367616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crossAx val="86366080"/>
        <c:crosses val="autoZero"/>
        <c:crossBetween val="between"/>
      </c:valAx>
      <c:catAx>
        <c:axId val="8533312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85334656"/>
        <c:crosses val="autoZero"/>
        <c:auto val="1"/>
        <c:lblAlgn val="ctr"/>
        <c:lblOffset val="100"/>
        <c:noMultiLvlLbl val="0"/>
      </c:catAx>
      <c:valAx>
        <c:axId val="85334656"/>
        <c:scaling>
          <c:orientation val="minMax"/>
          <c:min val="-20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rgbClr val="0070C0"/>
                </a:solidFill>
              </a:defRPr>
            </a:pPr>
            <a:endParaRPr lang="es-PE"/>
          </a:p>
        </c:txPr>
        <c:crossAx val="85333120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23764550777574114"/>
          <c:y val="0.89935021464851483"/>
          <c:w val="0.53062697168962214"/>
          <c:h val="7.2195325875472532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s-PE" dirty="0"/>
              <a:t>Impuesto</a:t>
            </a:r>
            <a:r>
              <a:rPr lang="es-PE" baseline="0" dirty="0"/>
              <a:t> General a las Ventas </a:t>
            </a:r>
            <a:r>
              <a:rPr lang="es-PE" dirty="0"/>
              <a:t>2015 - 2019 </a:t>
            </a:r>
          </a:p>
          <a:p>
            <a:pPr algn="l">
              <a:defRPr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2.4264200334386176E-3"/>
          <c:y val="5.06273112511308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5019458774549732"/>
          <c:y val="0.27700231889128157"/>
          <c:w val="0.74689724382829425"/>
          <c:h val="0.5169692683718902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9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4"/>
            <c:invertIfNegative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1-BD0E-4004-9D4A-CE5084621FF2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3B19-4173-9746-5ADDDE632695}"/>
              </c:ext>
            </c:extLst>
          </c:dPt>
          <c:dLbls>
            <c:dLbl>
              <c:idx val="0"/>
              <c:layout>
                <c:manualLayout>
                  <c:x val="-6.0511604172156265E-3"/>
                  <c:y val="-0.2569498779095467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D0E-4004-9D4A-CE5084621FF2}"/>
                </c:ext>
              </c:extLst>
            </c:dLbl>
            <c:dLbl>
              <c:idx val="1"/>
              <c:layout>
                <c:manualLayout>
                  <c:x val="-9.0767406258234536E-3"/>
                  <c:y val="-0.2454115618359189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D0E-4004-9D4A-CE5084621FF2}"/>
                </c:ext>
              </c:extLst>
            </c:dLbl>
            <c:dLbl>
              <c:idx val="2"/>
              <c:layout>
                <c:manualLayout>
                  <c:x val="3.0255802086077994E-3"/>
                  <c:y val="-0.2284069500551948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D0E-4004-9D4A-CE5084621FF2}"/>
                </c:ext>
              </c:extLst>
            </c:dLbl>
            <c:dLbl>
              <c:idx val="3"/>
              <c:layout>
                <c:manualLayout>
                  <c:x val="3.025559938881755E-3"/>
                  <c:y val="-0.2906553163155490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D0E-4004-9D4A-CE5084621FF2}"/>
                </c:ext>
              </c:extLst>
            </c:dLbl>
            <c:dLbl>
              <c:idx val="4"/>
              <c:layout>
                <c:manualLayout>
                  <c:x val="-6.0511604172155987E-3"/>
                  <c:y val="-0.2770504813885927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D0E-4004-9D4A-CE5084621FF2}"/>
                </c:ext>
              </c:extLst>
            </c:dLbl>
            <c:dLbl>
              <c:idx val="5"/>
              <c:layout>
                <c:manualLayout>
                  <c:x val="3.3806626098714107E-3"/>
                  <c:y val="-0.2852368011520684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B19-4173-9746-5ADDDE632695}"/>
                </c:ext>
              </c:extLst>
            </c:dLbl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Hoja1!$A$2:$A$17</c:f>
              <c:strCach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 </c:v>
                </c:pt>
                <c:pt idx="4">
                  <c:v>2019</c:v>
                </c:pt>
              </c:strCache>
            </c:strRef>
          </c:cat>
          <c:val>
            <c:numRef>
              <c:f>Hoja1!$B$2:$B$17</c:f>
              <c:numCache>
                <c:formatCode>_ * #,##0_ ;_ * \-#,##0_ ;_ * "-"??_ ;_ @_ </c:formatCode>
                <c:ptCount val="5"/>
                <c:pt idx="0">
                  <c:v>51667.983845044648</c:v>
                </c:pt>
                <c:pt idx="1">
                  <c:v>52692.437934868613</c:v>
                </c:pt>
                <c:pt idx="2">
                  <c:v>54642.836961580724</c:v>
                </c:pt>
                <c:pt idx="3">
                  <c:v>60666.239944041234</c:v>
                </c:pt>
                <c:pt idx="4">
                  <c:v>63504.595911745237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BD0E-4004-9D4A-CE5084621F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87897984"/>
        <c:axId val="87899520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5.3741928014061566E-2"/>
                  <c:y val="2.79477493953662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1B4-43A3-9E25-8508BA082179}"/>
                </c:ext>
              </c:extLst>
            </c:dLbl>
            <c:dLbl>
              <c:idx val="3"/>
              <c:layout>
                <c:manualLayout>
                  <c:x val="-4.9295917117865462E-2"/>
                  <c:y val="8.63637067490457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1B4-43A3-9E25-8508BA082179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b="1">
                      <a:solidFill>
                        <a:schemeClr val="bg1"/>
                      </a:solidFill>
                    </a:defRPr>
                  </a:pPr>
                  <a:endParaRPr lang="es-PE"/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B589-4952-B139-324B5696D373}"/>
                </c:ext>
              </c:extLst>
            </c:dLbl>
            <c:dLbl>
              <c:idx val="5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81B4-43A3-9E25-8508BA082179}"/>
                </c:ext>
              </c:extLst>
            </c:dLbl>
            <c:dLbl>
              <c:idx val="6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6-81B4-43A3-9E25-8508BA082179}"/>
                </c:ext>
              </c:extLst>
            </c:dLbl>
            <c:dLbl>
              <c:idx val="7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81B4-43A3-9E25-8508BA08217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rgbClr val="0070C0"/>
                    </a:solidFill>
                  </a:defRPr>
                </a:pPr>
                <a:endParaRPr lang="es-PE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Hoja1!$A$2:$A$17</c:f>
              <c:strCach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 </c:v>
                </c:pt>
                <c:pt idx="4">
                  <c:v>2019</c:v>
                </c:pt>
              </c:strCache>
            </c:strRef>
          </c:cat>
          <c:val>
            <c:numRef>
              <c:f>Hoja1!$C$2:$C$17</c:f>
              <c:numCache>
                <c:formatCode>0.0</c:formatCode>
                <c:ptCount val="5"/>
                <c:pt idx="0">
                  <c:v>-0.91881741710314602</c:v>
                </c:pt>
                <c:pt idx="1">
                  <c:v>-1.5634179288514072</c:v>
                </c:pt>
                <c:pt idx="2">
                  <c:v>0.88847963598821522</c:v>
                </c:pt>
                <c:pt idx="3">
                  <c:v>9.5636669266401686</c:v>
                </c:pt>
                <c:pt idx="4">
                  <c:v>2.5012880640630675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C-BD0E-4004-9D4A-CE5084621FF2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3175">
              <a:solidFill>
                <a:schemeClr val="tx1"/>
              </a:solidFill>
              <a:prstDash val="dashDot"/>
            </a:ln>
          </c:spPr>
          <c:marker>
            <c:symbol val="none"/>
          </c:marker>
          <c:cat>
            <c:strRef>
              <c:f>Hoja1!$A$2:$A$17</c:f>
              <c:strCach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 </c:v>
                </c:pt>
                <c:pt idx="4">
                  <c:v>2019</c:v>
                </c:pt>
              </c:strCache>
            </c:strRef>
          </c:cat>
          <c:val>
            <c:numRef>
              <c:f>Hoja1!$D$2:$D$17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81B4-43A3-9E25-8508BA0821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7909504"/>
        <c:axId val="87911040"/>
      </c:lineChart>
      <c:catAx>
        <c:axId val="87897984"/>
        <c:scaling>
          <c:orientation val="minMax"/>
        </c:scaling>
        <c:delete val="0"/>
        <c:axPos val="b"/>
        <c:numFmt formatCode="#,##0.00" sourceLinked="0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es-PE"/>
          </a:p>
        </c:txPr>
        <c:crossAx val="87899520"/>
        <c:crosses val="autoZero"/>
        <c:auto val="1"/>
        <c:lblAlgn val="ctr"/>
        <c:lblOffset val="100"/>
        <c:noMultiLvlLbl val="0"/>
      </c:catAx>
      <c:valAx>
        <c:axId val="87899520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crossAx val="87897984"/>
        <c:crosses val="autoZero"/>
        <c:crossBetween val="between"/>
      </c:valAx>
      <c:catAx>
        <c:axId val="8790950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87911040"/>
        <c:crosses val="autoZero"/>
        <c:auto val="1"/>
        <c:lblAlgn val="ctr"/>
        <c:lblOffset val="100"/>
        <c:noMultiLvlLbl val="0"/>
      </c:catAx>
      <c:valAx>
        <c:axId val="87911040"/>
        <c:scaling>
          <c:orientation val="minMax"/>
          <c:min val="-5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rgbClr val="0070C0"/>
                </a:solidFill>
              </a:defRPr>
            </a:pPr>
            <a:endParaRPr lang="es-PE"/>
          </a:p>
        </c:txPr>
        <c:crossAx val="87909504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26341535117456832"/>
          <c:y val="0.89935021464851483"/>
          <c:w val="0.53062697168962214"/>
          <c:h val="7.2195325875472532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900"/>
            </a:pPr>
            <a:r>
              <a:rPr lang="es-PE" sz="1050" dirty="0"/>
              <a:t>Impuesto Selectivo</a:t>
            </a:r>
            <a:r>
              <a:rPr lang="es-PE" sz="1050" baseline="0" dirty="0"/>
              <a:t> al Consumo </a:t>
            </a:r>
            <a:r>
              <a:rPr lang="es-PE" sz="1050" dirty="0"/>
              <a:t>2015 - 2019 </a:t>
            </a:r>
          </a:p>
          <a:p>
            <a:pPr algn="l">
              <a:defRPr sz="900"/>
            </a:pPr>
            <a:r>
              <a:rPr lang="es-PE" sz="9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2.4264200334386176E-3"/>
          <c:y val="5.06273112511308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3738206788639637"/>
          <c:y val="0.23987210485384663"/>
          <c:w val="0.75668426903173325"/>
          <c:h val="0.5395807085264757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9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4"/>
            <c:invertIfNegative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1-4DA7-4E26-962C-2F45B6659559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8603-44A2-A693-8256CF5CD7CF}"/>
              </c:ext>
            </c:extLst>
          </c:dPt>
          <c:dLbls>
            <c:dLbl>
              <c:idx val="0"/>
              <c:layout>
                <c:manualLayout>
                  <c:x val="-3.0255802086077994E-3"/>
                  <c:y val="-0.2107579977886055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DA7-4E26-962C-2F45B6659559}"/>
                </c:ext>
              </c:extLst>
            </c:dLbl>
            <c:dLbl>
              <c:idx val="1"/>
              <c:layout>
                <c:manualLayout>
                  <c:x val="-3.0255802086078549E-3"/>
                  <c:y val="-0.1992195972934225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DA7-4E26-962C-2F45B6659559}"/>
                </c:ext>
              </c:extLst>
            </c:dLbl>
            <c:dLbl>
              <c:idx val="2"/>
              <c:layout>
                <c:manualLayout>
                  <c:x val="5.5468329716264812E-17"/>
                  <c:y val="-0.2536024436438279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DA7-4E26-962C-2F45B6659559}"/>
                </c:ext>
              </c:extLst>
            </c:dLbl>
            <c:dLbl>
              <c:idx val="3"/>
              <c:layout>
                <c:manualLayout>
                  <c:x val="3.0255802086076888E-3"/>
                  <c:y val="-0.2464076095563850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DA7-4E26-962C-2F45B6659559}"/>
                </c:ext>
              </c:extLst>
            </c:dLbl>
            <c:dLbl>
              <c:idx val="4"/>
              <c:layout>
                <c:manualLayout>
                  <c:x val="-6.0511604172155987E-3"/>
                  <c:y val="-0.2770504813885927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DA7-4E26-962C-2F45B6659559}"/>
                </c:ext>
              </c:extLst>
            </c:dLbl>
            <c:dLbl>
              <c:idx val="5"/>
              <c:layout>
                <c:manualLayout>
                  <c:x val="7.0472163495419312E-3"/>
                  <c:y val="-0.3337771414936769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603-44A2-A693-8256CF5CD7CF}"/>
                </c:ext>
              </c:extLst>
            </c:dLbl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Hoja1!$A$2:$A$17</c:f>
              <c:strCach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 </c:v>
                </c:pt>
                <c:pt idx="4">
                  <c:v>2019</c:v>
                </c:pt>
              </c:strCache>
            </c:strRef>
          </c:cat>
          <c:val>
            <c:numRef>
              <c:f>Hoja1!$B$2:$B$17</c:f>
              <c:numCache>
                <c:formatCode>_ * #,##0_ ;_ * \-#,##0_ ;_ * "-"??_ ;_ @_ </c:formatCode>
                <c:ptCount val="5"/>
                <c:pt idx="0">
                  <c:v>5494.6943594530694</c:v>
                </c:pt>
                <c:pt idx="1">
                  <c:v>5901.5998420273536</c:v>
                </c:pt>
                <c:pt idx="2">
                  <c:v>6315.1513101117507</c:v>
                </c:pt>
                <c:pt idx="3">
                  <c:v>6859.764337972857</c:v>
                </c:pt>
                <c:pt idx="4">
                  <c:v>8216.4581026404376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4DA7-4E26-962C-2F45B66595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87961984"/>
        <c:axId val="87963520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1"/>
              <c:layout>
                <c:manualLayout>
                  <c:x val="-3.2562866553806968E-2"/>
                  <c:y val="3.43500193100238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761-4E3B-9731-E3836C86623F}"/>
                </c:ext>
              </c:extLst>
            </c:dLbl>
            <c:dLbl>
              <c:idx val="2"/>
              <c:layout>
                <c:manualLayout>
                  <c:x val="-4.4665425622900261E-2"/>
                  <c:y val="4.2748226387544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CF9-4C2E-B9B1-384569858746}"/>
                </c:ext>
              </c:extLst>
            </c:dLbl>
            <c:dLbl>
              <c:idx val="3"/>
              <c:layout>
                <c:manualLayout>
                  <c:x val="-4.4665187388238277E-2"/>
                  <c:y val="3.01507504457176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CF9-4C2E-B9B1-384569858746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b="1">
                      <a:solidFill>
                        <a:schemeClr val="bg1"/>
                      </a:solidFill>
                    </a:defRPr>
                  </a:pPr>
                  <a:endParaRPr lang="es-PE"/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7B10-4FF2-93FB-1560957EF5AE}"/>
                </c:ext>
              </c:extLst>
            </c:dLbl>
            <c:dLbl>
              <c:idx val="5"/>
              <c:layout>
                <c:manualLayout>
                  <c:x val="-6.0844112244954708E-2"/>
                  <c:y val="0.10191919191919192"/>
                </c:manualLayout>
              </c:layout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b="1">
                      <a:solidFill>
                        <a:schemeClr val="bg1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CF9-4C2E-B9B1-384569858746}"/>
                </c:ext>
              </c:extLst>
            </c:dLbl>
            <c:dLbl>
              <c:idx val="6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6-2CF9-4C2E-B9B1-384569858746}"/>
                </c:ext>
              </c:extLst>
            </c:dLbl>
            <c:dLbl>
              <c:idx val="7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2CF9-4C2E-B9B1-38456985874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rgbClr val="0070C0"/>
                    </a:solidFill>
                  </a:defRPr>
                </a:pPr>
                <a:endParaRPr lang="es-PE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Hoja1!$A$2:$A$17</c:f>
              <c:strCach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 </c:v>
                </c:pt>
                <c:pt idx="4">
                  <c:v>2019</c:v>
                </c:pt>
              </c:strCache>
            </c:strRef>
          </c:cat>
          <c:val>
            <c:numRef>
              <c:f>Hoja1!$C$2:$C$17</c:f>
              <c:numCache>
                <c:formatCode>0.0</c:formatCode>
                <c:ptCount val="5"/>
                <c:pt idx="0">
                  <c:v>3.3030107746359283</c:v>
                </c:pt>
                <c:pt idx="1">
                  <c:v>3.6774426832913321</c:v>
                </c:pt>
                <c:pt idx="2">
                  <c:v>4.1024111298691102</c:v>
                </c:pt>
                <c:pt idx="3">
                  <c:v>7.1651284526839998</c:v>
                </c:pt>
                <c:pt idx="4">
                  <c:v>17.321176712494314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C-4DA7-4E26-962C-2F45B6659559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3175">
              <a:solidFill>
                <a:schemeClr val="tx1"/>
              </a:solidFill>
              <a:prstDash val="dashDot"/>
            </a:ln>
          </c:spPr>
          <c:marker>
            <c:symbol val="none"/>
          </c:marker>
          <c:cat>
            <c:strRef>
              <c:f>Hoja1!$A$2:$A$17</c:f>
              <c:strCach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 </c:v>
                </c:pt>
                <c:pt idx="4">
                  <c:v>2019</c:v>
                </c:pt>
              </c:strCache>
            </c:strRef>
          </c:cat>
          <c:val>
            <c:numRef>
              <c:f>Hoja1!$D$2:$D$17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2CF9-4C2E-B9B1-3845698587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7965056"/>
        <c:axId val="87970944"/>
      </c:lineChart>
      <c:catAx>
        <c:axId val="87961984"/>
        <c:scaling>
          <c:orientation val="minMax"/>
        </c:scaling>
        <c:delete val="0"/>
        <c:axPos val="b"/>
        <c:numFmt formatCode="#,##0.00" sourceLinked="0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es-PE"/>
          </a:p>
        </c:txPr>
        <c:crossAx val="87963520"/>
        <c:crosses val="autoZero"/>
        <c:auto val="1"/>
        <c:lblAlgn val="ctr"/>
        <c:lblOffset val="100"/>
        <c:noMultiLvlLbl val="0"/>
      </c:catAx>
      <c:valAx>
        <c:axId val="87963520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crossAx val="87961984"/>
        <c:crosses val="autoZero"/>
        <c:crossBetween val="between"/>
      </c:valAx>
      <c:catAx>
        <c:axId val="8796505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87970944"/>
        <c:crosses val="autoZero"/>
        <c:auto val="1"/>
        <c:lblAlgn val="ctr"/>
        <c:lblOffset val="100"/>
        <c:noMultiLvlLbl val="0"/>
      </c:catAx>
      <c:valAx>
        <c:axId val="87970944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rgbClr val="0070C0"/>
                </a:solidFill>
              </a:defRPr>
            </a:pPr>
            <a:endParaRPr lang="es-PE"/>
          </a:p>
        </c:txPr>
        <c:crossAx val="87965056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25433861054874496"/>
          <c:y val="0.89340000233892136"/>
          <c:w val="0.53062697168962214"/>
          <c:h val="7.4095202872195481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s-PE" dirty="0"/>
              <a:t>Devoluciones 2015 - 2019 </a:t>
            </a:r>
          </a:p>
          <a:p>
            <a:pPr algn="l">
              <a:defRPr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2.4264487859519657E-3"/>
          <c:y val="5.062743636335399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5132908334156972"/>
          <c:y val="0.27700231889128157"/>
          <c:w val="0.74576291195818112"/>
          <c:h val="0.5062136489339021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9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4"/>
            <c:invertIfNegative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1-189D-4284-9A74-358D59907BAA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4704-4828-B36B-0C95EDC4E406}"/>
              </c:ext>
            </c:extLst>
          </c:dPt>
          <c:dLbls>
            <c:dLbl>
              <c:idx val="0"/>
              <c:layout>
                <c:manualLayout>
                  <c:x val="-9.0767406258233981E-3"/>
                  <c:y val="-0.1792623642418109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650-4814-9BCD-E51A034578DE}"/>
                </c:ext>
              </c:extLst>
            </c:dLbl>
            <c:dLbl>
              <c:idx val="1"/>
              <c:layout>
                <c:manualLayout>
                  <c:x val="4.8701940500115309E-3"/>
                  <c:y val="-0.251410178757241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650-4814-9BCD-E51A034578DE}"/>
                </c:ext>
              </c:extLst>
            </c:dLbl>
            <c:dLbl>
              <c:idx val="2"/>
              <c:layout>
                <c:manualLayout>
                  <c:x val="-9.0767406258234536E-3"/>
                  <c:y val="-0.2650647675783772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650-4814-9BCD-E51A034578DE}"/>
                </c:ext>
              </c:extLst>
            </c:dLbl>
            <c:dLbl>
              <c:idx val="3"/>
              <c:layout>
                <c:manualLayout>
                  <c:x val="-9.0767406258233981E-3"/>
                  <c:y val="-0.2813317289069983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650-4814-9BCD-E51A034578DE}"/>
                </c:ext>
              </c:extLst>
            </c:dLbl>
            <c:dLbl>
              <c:idx val="4"/>
              <c:layout>
                <c:manualLayout>
                  <c:x val="-9.0767406258233981E-3"/>
                  <c:y val="-0.2633569993724421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89D-4284-9A74-358D59907BAA}"/>
                </c:ext>
              </c:extLst>
            </c:dLbl>
            <c:dLbl>
              <c:idx val="5"/>
              <c:layout>
                <c:manualLayout>
                  <c:x val="0"/>
                  <c:y val="-0.2595420025159577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704-4828-B36B-0C95EDC4E406}"/>
                </c:ext>
              </c:extLst>
            </c:dLbl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Hoja1!$A$2:$A$17</c:f>
              <c:strCach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 </c:v>
                </c:pt>
                <c:pt idx="4">
                  <c:v>2019</c:v>
                </c:pt>
              </c:strCache>
            </c:strRef>
          </c:cat>
          <c:val>
            <c:numRef>
              <c:f>Hoja1!$B$2:$B$17</c:f>
              <c:numCache>
                <c:formatCode>_ * #,##0_ ;_ * \-#,##0_ ;_ * "-"??_ ;_ @_ </c:formatCode>
                <c:ptCount val="5"/>
                <c:pt idx="0">
                  <c:v>11676.4861714</c:v>
                </c:pt>
                <c:pt idx="1">
                  <c:v>16356.303781430001</c:v>
                </c:pt>
                <c:pt idx="2">
                  <c:v>17208.853978058702</c:v>
                </c:pt>
                <c:pt idx="3">
                  <c:v>16583.07910495</c:v>
                </c:pt>
                <c:pt idx="4">
                  <c:v>18046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189D-4284-9A74-358D59907B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04890752"/>
        <c:axId val="104892288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b="1">
                      <a:solidFill>
                        <a:schemeClr val="bg1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6-5650-4814-9BCD-E51A034578DE}"/>
                </c:ext>
              </c:extLst>
            </c:dLbl>
            <c:dLbl>
              <c:idx val="5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b="1">
                      <a:solidFill>
                        <a:schemeClr val="bg1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5650-4814-9BCD-E51A034578DE}"/>
                </c:ext>
              </c:extLst>
            </c:dLbl>
            <c:dLbl>
              <c:idx val="6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8-5650-4814-9BCD-E51A034578DE}"/>
                </c:ext>
              </c:extLst>
            </c:dLbl>
            <c:dLbl>
              <c:idx val="7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9-5650-4814-9BCD-E51A034578D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rgbClr val="0070C0"/>
                    </a:solidFill>
                  </a:defRPr>
                </a:pPr>
                <a:endParaRPr lang="es-P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Hoja1!$A$2:$A$17</c:f>
              <c:strCach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 </c:v>
                </c:pt>
                <c:pt idx="4">
                  <c:v>2019</c:v>
                </c:pt>
              </c:strCache>
            </c:strRef>
          </c:cat>
          <c:val>
            <c:numRef>
              <c:f>Hoja1!$C$2:$C$17</c:f>
              <c:numCache>
                <c:formatCode>0.0</c:formatCode>
                <c:ptCount val="5"/>
                <c:pt idx="0">
                  <c:v>5.4228961676924481</c:v>
                </c:pt>
                <c:pt idx="1">
                  <c:v>35.189340861838069</c:v>
                </c:pt>
                <c:pt idx="2">
                  <c:v>2.3173466223865846</c:v>
                </c:pt>
                <c:pt idx="3">
                  <c:v>-4.9323721823026245</c:v>
                </c:pt>
                <c:pt idx="4">
                  <c:v>6.5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C-189D-4284-9A74-358D59907BAA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3175">
              <a:solidFill>
                <a:schemeClr val="tx1"/>
              </a:solidFill>
              <a:prstDash val="dashDot"/>
            </a:ln>
          </c:spPr>
          <c:marker>
            <c:symbol val="none"/>
          </c:marker>
          <c:cat>
            <c:strRef>
              <c:f>Hoja1!$A$2:$A$17</c:f>
              <c:strCach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 </c:v>
                </c:pt>
                <c:pt idx="4">
                  <c:v>2019</c:v>
                </c:pt>
              </c:strCache>
            </c:strRef>
          </c:cat>
          <c:val>
            <c:numRef>
              <c:f>Hoja1!$D$2:$D$17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5650-4814-9BCD-E51A034578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4893824"/>
        <c:axId val="104912000"/>
      </c:lineChart>
      <c:catAx>
        <c:axId val="104890752"/>
        <c:scaling>
          <c:orientation val="minMax"/>
        </c:scaling>
        <c:delete val="0"/>
        <c:axPos val="b"/>
        <c:numFmt formatCode="#,##0.00" sourceLinked="0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es-PE"/>
          </a:p>
        </c:txPr>
        <c:crossAx val="104892288"/>
        <c:crosses val="autoZero"/>
        <c:auto val="1"/>
        <c:lblAlgn val="ctr"/>
        <c:lblOffset val="100"/>
        <c:noMultiLvlLbl val="0"/>
      </c:catAx>
      <c:valAx>
        <c:axId val="104892288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crossAx val="104890752"/>
        <c:crosses val="autoZero"/>
        <c:crossBetween val="between"/>
      </c:valAx>
      <c:catAx>
        <c:axId val="1048938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04912000"/>
        <c:crosses val="autoZero"/>
        <c:auto val="1"/>
        <c:lblAlgn val="ctr"/>
        <c:lblOffset val="100"/>
        <c:noMultiLvlLbl val="0"/>
      </c:catAx>
      <c:valAx>
        <c:axId val="104912000"/>
        <c:scaling>
          <c:orientation val="minMax"/>
          <c:max val="70"/>
          <c:min val="-20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rgbClr val="0070C0"/>
                </a:solidFill>
              </a:defRPr>
            </a:pPr>
            <a:endParaRPr lang="es-PE"/>
          </a:p>
        </c:txPr>
        <c:crossAx val="104893824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22251754357065198"/>
          <c:y val="0.89123763375731879"/>
          <c:w val="0.53062697168962214"/>
          <c:h val="7.609777592279536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F1F11-99F9-4344-BC17-2B82D470B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1254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Torres Ocampo Reynaldo Jose Carlos</dc:creator>
  <cp:lastModifiedBy>Vallenas Romero Alvaro Rodolfo</cp:lastModifiedBy>
  <cp:revision>3</cp:revision>
  <dcterms:created xsi:type="dcterms:W3CDTF">2020-01-08T21:43:00Z</dcterms:created>
  <dcterms:modified xsi:type="dcterms:W3CDTF">2020-01-08T21:43:00Z</dcterms:modified>
</cp:coreProperties>
</file>