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5D9F" w14:textId="1A67DD38" w:rsidR="0033459E" w:rsidRPr="0033459E" w:rsidRDefault="0033459E" w:rsidP="003345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66"/>
        <w:jc w:val="right"/>
        <w:rPr>
          <w:b/>
          <w:i/>
          <w:sz w:val="24"/>
          <w:szCs w:val="24"/>
        </w:rPr>
      </w:pPr>
      <w:bookmarkStart w:id="0" w:name="_GoBack"/>
      <w:r w:rsidRPr="0033459E">
        <w:rPr>
          <w:b/>
          <w:i/>
          <w:sz w:val="24"/>
          <w:szCs w:val="24"/>
        </w:rPr>
        <w:t xml:space="preserve">Nota de Prensa </w:t>
      </w:r>
      <w:proofErr w:type="spellStart"/>
      <w:r w:rsidRPr="0033459E">
        <w:rPr>
          <w:b/>
          <w:i/>
          <w:sz w:val="24"/>
          <w:szCs w:val="24"/>
        </w:rPr>
        <w:t>N°</w:t>
      </w:r>
      <w:proofErr w:type="spellEnd"/>
      <w:r w:rsidRPr="0033459E">
        <w:rPr>
          <w:b/>
          <w:i/>
          <w:sz w:val="24"/>
          <w:szCs w:val="24"/>
        </w:rPr>
        <w:t xml:space="preserve"> 06</w:t>
      </w:r>
      <w:r>
        <w:rPr>
          <w:b/>
          <w:i/>
          <w:sz w:val="24"/>
          <w:szCs w:val="24"/>
        </w:rPr>
        <w:t>2</w:t>
      </w:r>
      <w:r w:rsidRPr="0033459E">
        <w:rPr>
          <w:b/>
          <w:i/>
          <w:sz w:val="24"/>
          <w:szCs w:val="24"/>
        </w:rPr>
        <w:t>-2020</w:t>
      </w:r>
    </w:p>
    <w:bookmarkEnd w:id="0"/>
    <w:p w14:paraId="49B45B6D" w14:textId="77777777" w:rsidR="0033459E" w:rsidRDefault="0033459E" w:rsidP="003345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66"/>
        <w:jc w:val="right"/>
        <w:rPr>
          <w:b/>
          <w:i/>
        </w:rPr>
      </w:pPr>
    </w:p>
    <w:p w14:paraId="116D4D18" w14:textId="189406D8" w:rsidR="00FD4277" w:rsidRPr="0033459E" w:rsidRDefault="00046342" w:rsidP="00A93C1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66"/>
        <w:jc w:val="center"/>
        <w:rPr>
          <w:rFonts w:ascii="Arial" w:eastAsia="Arial" w:hAnsi="Arial" w:cs="Arial"/>
          <w:b/>
          <w:sz w:val="32"/>
          <w:szCs w:val="32"/>
        </w:rPr>
      </w:pPr>
      <w:r w:rsidRPr="0033459E">
        <w:rPr>
          <w:rFonts w:ascii="Arial" w:eastAsia="Arial" w:hAnsi="Arial" w:cs="Arial"/>
          <w:b/>
          <w:sz w:val="32"/>
          <w:szCs w:val="32"/>
        </w:rPr>
        <w:t>MENOR RE</w:t>
      </w:r>
      <w:r w:rsidR="00FD4277" w:rsidRPr="0033459E">
        <w:rPr>
          <w:rFonts w:ascii="Arial" w:eastAsia="Arial" w:hAnsi="Arial" w:cs="Arial"/>
          <w:b/>
          <w:sz w:val="32"/>
          <w:szCs w:val="32"/>
        </w:rPr>
        <w:t xml:space="preserve">CAUDACIÓN </w:t>
      </w:r>
      <w:r w:rsidR="00866B9B" w:rsidRPr="0033459E">
        <w:rPr>
          <w:rFonts w:ascii="Arial" w:eastAsia="Arial" w:hAnsi="Arial" w:cs="Arial"/>
          <w:b/>
          <w:sz w:val="32"/>
          <w:szCs w:val="32"/>
        </w:rPr>
        <w:t>E</w:t>
      </w:r>
      <w:r w:rsidRPr="0033459E">
        <w:rPr>
          <w:rFonts w:ascii="Arial" w:eastAsia="Arial" w:hAnsi="Arial" w:cs="Arial"/>
          <w:b/>
          <w:sz w:val="32"/>
          <w:szCs w:val="32"/>
        </w:rPr>
        <w:t>N</w:t>
      </w:r>
      <w:r w:rsidR="00FD4277" w:rsidRPr="0033459E">
        <w:rPr>
          <w:rFonts w:ascii="Arial" w:eastAsia="Arial" w:hAnsi="Arial" w:cs="Arial"/>
          <w:b/>
          <w:sz w:val="32"/>
          <w:szCs w:val="32"/>
        </w:rPr>
        <w:t xml:space="preserve"> MAYO </w:t>
      </w:r>
      <w:r w:rsidRPr="0033459E">
        <w:rPr>
          <w:rFonts w:ascii="Arial" w:eastAsia="Arial" w:hAnsi="Arial" w:cs="Arial"/>
          <w:b/>
          <w:sz w:val="32"/>
          <w:szCs w:val="32"/>
        </w:rPr>
        <w:t>FUE</w:t>
      </w:r>
      <w:r w:rsidR="00FD4277" w:rsidRPr="0033459E">
        <w:rPr>
          <w:rFonts w:ascii="Arial" w:eastAsia="Arial" w:hAnsi="Arial" w:cs="Arial"/>
          <w:b/>
          <w:sz w:val="32"/>
          <w:szCs w:val="32"/>
        </w:rPr>
        <w:t xml:space="preserve"> </w:t>
      </w:r>
      <w:r w:rsidR="00B26669" w:rsidRPr="0033459E">
        <w:rPr>
          <w:rFonts w:ascii="Arial" w:eastAsia="Arial" w:hAnsi="Arial" w:cs="Arial"/>
          <w:b/>
          <w:sz w:val="32"/>
          <w:szCs w:val="32"/>
        </w:rPr>
        <w:t>AMORTIGUADA</w:t>
      </w:r>
      <w:r w:rsidR="006B3CE8" w:rsidRPr="0033459E">
        <w:rPr>
          <w:rFonts w:ascii="Arial" w:eastAsia="Arial" w:hAnsi="Arial" w:cs="Arial"/>
          <w:b/>
          <w:sz w:val="32"/>
          <w:szCs w:val="32"/>
        </w:rPr>
        <w:t xml:space="preserve"> </w:t>
      </w:r>
      <w:r w:rsidR="00FD4277" w:rsidRPr="0033459E">
        <w:rPr>
          <w:rFonts w:ascii="Arial" w:eastAsia="Arial" w:hAnsi="Arial" w:cs="Arial"/>
          <w:b/>
          <w:sz w:val="32"/>
          <w:szCs w:val="32"/>
        </w:rPr>
        <w:t>POR IMPORTANTE PAGO</w:t>
      </w:r>
      <w:r w:rsidR="006B3CE8" w:rsidRPr="0033459E">
        <w:rPr>
          <w:rFonts w:ascii="Arial" w:eastAsia="Arial" w:hAnsi="Arial" w:cs="Arial"/>
          <w:b/>
          <w:sz w:val="32"/>
          <w:szCs w:val="32"/>
        </w:rPr>
        <w:t xml:space="preserve"> DE IMPUESTOS</w:t>
      </w:r>
      <w:r w:rsidR="00FD4277" w:rsidRPr="0033459E">
        <w:rPr>
          <w:rFonts w:ascii="Arial" w:eastAsia="Arial" w:hAnsi="Arial" w:cs="Arial"/>
          <w:b/>
          <w:sz w:val="32"/>
          <w:szCs w:val="32"/>
        </w:rPr>
        <w:t xml:space="preserve"> </w:t>
      </w:r>
      <w:r w:rsidR="00866B9B" w:rsidRPr="0033459E">
        <w:rPr>
          <w:rFonts w:ascii="Arial" w:eastAsia="Arial" w:hAnsi="Arial" w:cs="Arial"/>
          <w:b/>
          <w:sz w:val="32"/>
          <w:szCs w:val="32"/>
        </w:rPr>
        <w:t>POR</w:t>
      </w:r>
      <w:r w:rsidR="006B3CE8" w:rsidRPr="0033459E">
        <w:rPr>
          <w:rFonts w:ascii="Arial" w:eastAsia="Arial" w:hAnsi="Arial" w:cs="Arial"/>
          <w:b/>
          <w:sz w:val="32"/>
          <w:szCs w:val="32"/>
        </w:rPr>
        <w:t xml:space="preserve"> </w:t>
      </w:r>
      <w:r w:rsidR="00FD4277" w:rsidRPr="0033459E">
        <w:rPr>
          <w:rFonts w:ascii="Arial" w:eastAsia="Arial" w:hAnsi="Arial" w:cs="Arial"/>
          <w:b/>
          <w:sz w:val="32"/>
          <w:szCs w:val="32"/>
        </w:rPr>
        <w:t>LA VENTA DE UNA EMPRESA ELÉCTRICA</w:t>
      </w:r>
    </w:p>
    <w:p w14:paraId="231A1195" w14:textId="21813FA1" w:rsidR="005F5590" w:rsidRPr="004666BA" w:rsidRDefault="001444E8" w:rsidP="00C80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 w:rsidRPr="00C800FA">
        <w:rPr>
          <w:rFonts w:ascii="Arial" w:eastAsia="Arial" w:hAnsi="Arial" w:cs="Arial"/>
          <w:b/>
          <w:i/>
        </w:rPr>
        <w:t>Los ingresos tributarios e</w:t>
      </w:r>
      <w:r w:rsidR="00C800FA" w:rsidRPr="00C800FA">
        <w:rPr>
          <w:rFonts w:ascii="Arial" w:eastAsia="Arial" w:hAnsi="Arial" w:cs="Arial"/>
          <w:b/>
          <w:i/>
        </w:rPr>
        <w:t xml:space="preserve">n </w:t>
      </w:r>
      <w:r w:rsidR="005F5590" w:rsidRPr="00C800FA">
        <w:rPr>
          <w:rFonts w:ascii="Arial" w:eastAsia="Arial" w:hAnsi="Arial" w:cs="Arial"/>
          <w:b/>
          <w:i/>
        </w:rPr>
        <w:t>mayo</w:t>
      </w:r>
      <w:r w:rsidRPr="00C800FA">
        <w:rPr>
          <w:rFonts w:ascii="Arial" w:eastAsia="Arial" w:hAnsi="Arial" w:cs="Arial"/>
          <w:b/>
          <w:i/>
        </w:rPr>
        <w:t xml:space="preserve"> sumaron S/ 7 </w:t>
      </w:r>
      <w:r w:rsidR="00706BB3" w:rsidRPr="00C800FA">
        <w:rPr>
          <w:rFonts w:ascii="Arial" w:eastAsia="Arial" w:hAnsi="Arial" w:cs="Arial"/>
          <w:b/>
          <w:i/>
        </w:rPr>
        <w:t>298</w:t>
      </w:r>
      <w:r w:rsidRPr="00C800FA">
        <w:rPr>
          <w:rFonts w:ascii="Arial" w:eastAsia="Arial" w:hAnsi="Arial" w:cs="Arial"/>
          <w:b/>
          <w:i/>
        </w:rPr>
        <w:t xml:space="preserve"> millones</w:t>
      </w:r>
      <w:r w:rsidR="005F5590" w:rsidRPr="00C800FA">
        <w:rPr>
          <w:rFonts w:ascii="Arial" w:eastAsia="Arial" w:hAnsi="Arial" w:cs="Arial"/>
          <w:b/>
          <w:i/>
        </w:rPr>
        <w:t xml:space="preserve">, </w:t>
      </w:r>
      <w:r w:rsidR="00B26669" w:rsidRPr="004666BA">
        <w:rPr>
          <w:rFonts w:ascii="Arial" w:eastAsia="Arial" w:hAnsi="Arial" w:cs="Arial"/>
          <w:b/>
          <w:i/>
        </w:rPr>
        <w:t>expresando</w:t>
      </w:r>
      <w:r w:rsidR="005F5590" w:rsidRPr="004666BA">
        <w:rPr>
          <w:rFonts w:ascii="Arial" w:eastAsia="Arial" w:hAnsi="Arial" w:cs="Arial"/>
          <w:b/>
          <w:i/>
        </w:rPr>
        <w:t xml:space="preserve"> una contracción de </w:t>
      </w:r>
      <w:r w:rsidR="0061466F" w:rsidRPr="004666BA">
        <w:rPr>
          <w:rFonts w:ascii="Arial" w:eastAsia="Arial" w:hAnsi="Arial" w:cs="Arial"/>
          <w:b/>
          <w:i/>
        </w:rPr>
        <w:t>19,8</w:t>
      </w:r>
      <w:r w:rsidR="005F5590" w:rsidRPr="004666BA">
        <w:rPr>
          <w:rFonts w:ascii="Arial" w:eastAsia="Arial" w:hAnsi="Arial" w:cs="Arial"/>
          <w:b/>
          <w:i/>
        </w:rPr>
        <w:t>%</w:t>
      </w:r>
      <w:r w:rsidR="0061466F" w:rsidRPr="004666BA">
        <w:rPr>
          <w:rStyle w:val="Refdenotaalpie"/>
          <w:rFonts w:ascii="Arial" w:hAnsi="Arial" w:cs="Arial"/>
          <w:bCs/>
          <w:kern w:val="24"/>
        </w:rPr>
        <w:footnoteReference w:id="1"/>
      </w:r>
      <w:r w:rsidR="005F5590" w:rsidRPr="004666BA">
        <w:rPr>
          <w:rFonts w:ascii="Arial" w:eastAsia="Arial" w:hAnsi="Arial" w:cs="Arial"/>
          <w:b/>
          <w:i/>
        </w:rPr>
        <w:t xml:space="preserve"> respecto a </w:t>
      </w:r>
      <w:r w:rsidR="00C800FA" w:rsidRPr="004666BA">
        <w:rPr>
          <w:rFonts w:ascii="Arial" w:eastAsia="Arial" w:hAnsi="Arial" w:cs="Arial"/>
          <w:b/>
          <w:i/>
        </w:rPr>
        <w:t>similar mes del año pasado</w:t>
      </w:r>
      <w:r w:rsidR="005F5590" w:rsidRPr="004666BA">
        <w:rPr>
          <w:rFonts w:ascii="Arial" w:eastAsia="Arial" w:hAnsi="Arial" w:cs="Arial"/>
          <w:b/>
          <w:i/>
        </w:rPr>
        <w:t xml:space="preserve">. </w:t>
      </w:r>
    </w:p>
    <w:p w14:paraId="1EACD470" w14:textId="6F7670CA" w:rsidR="005F5590" w:rsidRPr="00C800FA" w:rsidRDefault="00B26669" w:rsidP="00C80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5" w:hanging="357"/>
        <w:jc w:val="both"/>
        <w:rPr>
          <w:rFonts w:ascii="Arial" w:hAnsi="Arial" w:cs="Arial"/>
          <w:b/>
          <w:i/>
        </w:rPr>
      </w:pPr>
      <w:r w:rsidRPr="004666BA">
        <w:rPr>
          <w:rFonts w:ascii="Arial" w:hAnsi="Arial" w:cs="Arial"/>
          <w:b/>
          <w:i/>
        </w:rPr>
        <w:t>Este</w:t>
      </w:r>
      <w:r w:rsidR="00EB64FE" w:rsidRPr="004666BA">
        <w:rPr>
          <w:rFonts w:ascii="Arial" w:hAnsi="Arial" w:cs="Arial"/>
          <w:b/>
          <w:i/>
        </w:rPr>
        <w:t xml:space="preserve"> </w:t>
      </w:r>
      <w:r w:rsidRPr="004666BA">
        <w:rPr>
          <w:rFonts w:ascii="Arial" w:hAnsi="Arial" w:cs="Arial"/>
          <w:b/>
          <w:i/>
        </w:rPr>
        <w:t>resultado</w:t>
      </w:r>
      <w:r w:rsidR="008B169E" w:rsidRPr="004666BA">
        <w:rPr>
          <w:rFonts w:ascii="Arial" w:hAnsi="Arial" w:cs="Arial"/>
          <w:b/>
          <w:i/>
        </w:rPr>
        <w:t xml:space="preserve"> </w:t>
      </w:r>
      <w:r w:rsidR="005F5590" w:rsidRPr="004666BA">
        <w:rPr>
          <w:rFonts w:ascii="Arial" w:hAnsi="Arial" w:cs="Arial"/>
          <w:b/>
          <w:i/>
        </w:rPr>
        <w:t>refleja tanto la menor actividad económica</w:t>
      </w:r>
      <w:r w:rsidRPr="004666BA">
        <w:rPr>
          <w:rFonts w:ascii="Arial" w:hAnsi="Arial" w:cs="Arial"/>
          <w:b/>
          <w:i/>
        </w:rPr>
        <w:t>, por el</w:t>
      </w:r>
      <w:r w:rsidR="005F5590" w:rsidRPr="004666BA">
        <w:rPr>
          <w:rFonts w:ascii="Arial" w:hAnsi="Arial" w:cs="Arial"/>
          <w:b/>
          <w:i/>
        </w:rPr>
        <w:t xml:space="preserve"> COVID-19</w:t>
      </w:r>
      <w:r w:rsidR="000E7DC6" w:rsidRPr="004666BA">
        <w:rPr>
          <w:rFonts w:ascii="Arial" w:hAnsi="Arial" w:cs="Arial"/>
          <w:b/>
          <w:i/>
        </w:rPr>
        <w:t>,</w:t>
      </w:r>
      <w:r w:rsidR="00C800FA" w:rsidRPr="004666BA">
        <w:rPr>
          <w:rFonts w:ascii="Arial" w:hAnsi="Arial" w:cs="Arial"/>
          <w:b/>
          <w:i/>
        </w:rPr>
        <w:t xml:space="preserve"> como</w:t>
      </w:r>
      <w:r w:rsidR="000E7DC6" w:rsidRPr="004666BA">
        <w:rPr>
          <w:rFonts w:ascii="Arial" w:hAnsi="Arial" w:cs="Arial"/>
          <w:b/>
          <w:i/>
        </w:rPr>
        <w:t xml:space="preserve"> el impacto de</w:t>
      </w:r>
      <w:r w:rsidRPr="004666BA">
        <w:rPr>
          <w:rFonts w:ascii="Arial" w:hAnsi="Arial" w:cs="Arial"/>
          <w:b/>
          <w:i/>
        </w:rPr>
        <w:t xml:space="preserve"> </w:t>
      </w:r>
      <w:r w:rsidR="005F5590" w:rsidRPr="004666BA">
        <w:rPr>
          <w:rFonts w:ascii="Arial" w:hAnsi="Arial" w:cs="Arial"/>
          <w:b/>
          <w:i/>
        </w:rPr>
        <w:t>las facilidades a</w:t>
      </w:r>
      <w:r w:rsidR="00C800FA" w:rsidRPr="004666BA">
        <w:rPr>
          <w:rFonts w:ascii="Arial" w:hAnsi="Arial" w:cs="Arial"/>
          <w:b/>
          <w:i/>
        </w:rPr>
        <w:t>probadas</w:t>
      </w:r>
      <w:r w:rsidR="005F5590" w:rsidRPr="004666BA">
        <w:rPr>
          <w:rFonts w:ascii="Arial" w:hAnsi="Arial" w:cs="Arial"/>
          <w:b/>
          <w:i/>
        </w:rPr>
        <w:t xml:space="preserve"> por </w:t>
      </w:r>
      <w:r w:rsidR="003C7A89" w:rsidRPr="004666BA">
        <w:rPr>
          <w:rFonts w:ascii="Arial" w:hAnsi="Arial" w:cs="Arial"/>
          <w:b/>
          <w:i/>
        </w:rPr>
        <w:t>el ejecutivo y l</w:t>
      </w:r>
      <w:r w:rsidR="005F5590" w:rsidRPr="004666BA">
        <w:rPr>
          <w:rFonts w:ascii="Arial" w:hAnsi="Arial" w:cs="Arial"/>
          <w:b/>
          <w:i/>
        </w:rPr>
        <w:t xml:space="preserve">a </w:t>
      </w:r>
      <w:r w:rsidRPr="004666BA">
        <w:rPr>
          <w:rFonts w:ascii="Arial" w:hAnsi="Arial" w:cs="Arial"/>
          <w:b/>
          <w:i/>
        </w:rPr>
        <w:t>SUNAT para</w:t>
      </w:r>
      <w:r w:rsidR="005F5590" w:rsidRPr="004666BA">
        <w:rPr>
          <w:rFonts w:ascii="Arial" w:hAnsi="Arial" w:cs="Arial"/>
          <w:b/>
          <w:i/>
        </w:rPr>
        <w:t xml:space="preserve"> los contribuyentes</w:t>
      </w:r>
      <w:r w:rsidR="005F5590" w:rsidRPr="00C800FA">
        <w:rPr>
          <w:rFonts w:ascii="Arial" w:hAnsi="Arial" w:cs="Arial"/>
          <w:b/>
          <w:i/>
        </w:rPr>
        <w:t>.</w:t>
      </w:r>
    </w:p>
    <w:p w14:paraId="3F2CF73C" w14:textId="059E1E47" w:rsidR="00146D17" w:rsidRPr="00C800FA" w:rsidRDefault="00146D17" w:rsidP="00C80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5" w:hanging="357"/>
        <w:jc w:val="both"/>
        <w:rPr>
          <w:rFonts w:ascii="Arial" w:hAnsi="Arial" w:cs="Arial"/>
          <w:b/>
          <w:i/>
        </w:rPr>
      </w:pPr>
      <w:r w:rsidRPr="00C800FA">
        <w:rPr>
          <w:rFonts w:ascii="Arial" w:hAnsi="Arial" w:cs="Arial"/>
          <w:b/>
          <w:i/>
        </w:rPr>
        <w:t xml:space="preserve">No obstante, </w:t>
      </w:r>
      <w:r w:rsidR="00B26669">
        <w:rPr>
          <w:rFonts w:ascii="Arial" w:hAnsi="Arial" w:cs="Arial"/>
          <w:b/>
          <w:i/>
        </w:rPr>
        <w:t>esta</w:t>
      </w:r>
      <w:r w:rsidR="00B26669" w:rsidRPr="00B26669">
        <w:rPr>
          <w:rFonts w:ascii="Arial" w:hAnsi="Arial" w:cs="Arial"/>
          <w:b/>
          <w:i/>
          <w:color w:val="FF0000"/>
        </w:rPr>
        <w:t xml:space="preserve"> </w:t>
      </w:r>
      <w:r w:rsidR="00B26669" w:rsidRPr="004666BA">
        <w:rPr>
          <w:rFonts w:ascii="Arial" w:hAnsi="Arial" w:cs="Arial"/>
          <w:b/>
          <w:i/>
        </w:rPr>
        <w:t>menor recaudación</w:t>
      </w:r>
      <w:r w:rsidR="001338A0" w:rsidRPr="004666BA">
        <w:rPr>
          <w:rFonts w:ascii="Arial" w:hAnsi="Arial" w:cs="Arial"/>
          <w:b/>
          <w:i/>
        </w:rPr>
        <w:t xml:space="preserve"> fue parcialmente </w:t>
      </w:r>
      <w:r w:rsidR="00B26669" w:rsidRPr="004666BA">
        <w:rPr>
          <w:rFonts w:ascii="Arial" w:hAnsi="Arial" w:cs="Arial"/>
          <w:b/>
          <w:i/>
        </w:rPr>
        <w:t>amortiguada</w:t>
      </w:r>
      <w:r w:rsidR="002F62AF">
        <w:rPr>
          <w:rFonts w:ascii="Arial" w:hAnsi="Arial" w:cs="Arial"/>
          <w:b/>
          <w:i/>
        </w:rPr>
        <w:t xml:space="preserve"> </w:t>
      </w:r>
      <w:r w:rsidR="001338A0" w:rsidRPr="004666BA">
        <w:rPr>
          <w:rFonts w:ascii="Arial" w:hAnsi="Arial" w:cs="Arial"/>
          <w:b/>
          <w:i/>
        </w:rPr>
        <w:t>por</w:t>
      </w:r>
      <w:r w:rsidR="00B764B6" w:rsidRPr="004666BA">
        <w:rPr>
          <w:rFonts w:ascii="Arial" w:hAnsi="Arial" w:cs="Arial"/>
          <w:b/>
          <w:i/>
        </w:rPr>
        <w:t xml:space="preserve"> el pago de</w:t>
      </w:r>
      <w:r w:rsidR="002F62AF">
        <w:rPr>
          <w:rFonts w:ascii="Arial" w:hAnsi="Arial" w:cs="Arial"/>
          <w:b/>
          <w:i/>
        </w:rPr>
        <w:t xml:space="preserve"> </w:t>
      </w:r>
      <w:r w:rsidR="00B764B6" w:rsidRPr="004666BA">
        <w:rPr>
          <w:rFonts w:ascii="Arial" w:hAnsi="Arial" w:cs="Arial"/>
          <w:b/>
          <w:i/>
        </w:rPr>
        <w:t xml:space="preserve">S/ 2 416 millones en impuestos resultado de </w:t>
      </w:r>
      <w:r w:rsidRPr="004666BA">
        <w:rPr>
          <w:rFonts w:ascii="Arial" w:hAnsi="Arial" w:cs="Arial"/>
          <w:b/>
          <w:i/>
        </w:rPr>
        <w:t>la venta de una empresa de distribución</w:t>
      </w:r>
      <w:r w:rsidR="008B169E" w:rsidRPr="004666BA">
        <w:rPr>
          <w:rFonts w:ascii="Arial" w:hAnsi="Arial" w:cs="Arial"/>
          <w:b/>
          <w:i/>
        </w:rPr>
        <w:t xml:space="preserve"> </w:t>
      </w:r>
      <w:r w:rsidR="008B169E" w:rsidRPr="00C800FA">
        <w:rPr>
          <w:rFonts w:ascii="Arial" w:hAnsi="Arial" w:cs="Arial"/>
          <w:b/>
          <w:i/>
        </w:rPr>
        <w:t>de energía eléctrica.</w:t>
      </w:r>
      <w:r w:rsidRPr="00C800FA">
        <w:rPr>
          <w:rFonts w:ascii="Arial" w:hAnsi="Arial" w:cs="Arial"/>
          <w:b/>
          <w:i/>
        </w:rPr>
        <w:t xml:space="preserve">  </w:t>
      </w:r>
    </w:p>
    <w:p w14:paraId="290D5234" w14:textId="77777777" w:rsidR="008D0CA8" w:rsidRPr="00590F0C" w:rsidRDefault="003754B9" w:rsidP="008A41BE">
      <w:pPr>
        <w:spacing w:line="240" w:lineRule="auto"/>
        <w:ind w:left="284" w:hanging="218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7B4BDD53" w:rsidR="008D0CA8" w:rsidRPr="00590F0C" w:rsidRDefault="00BF41DC" w:rsidP="00BF41DC">
      <w:pPr>
        <w:spacing w:line="240" w:lineRule="auto"/>
        <w:rPr>
          <w:rFonts w:ascii="Arial" w:eastAsia="Arial" w:hAnsi="Arial" w:cs="Arial"/>
          <w:b/>
          <w:color w:val="0070C0"/>
          <w:sz w:val="24"/>
        </w:rPr>
      </w:pPr>
      <w:r w:rsidRPr="00590F0C"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0B28F1AD" wp14:editId="440188A9">
            <wp:simplePos x="0" y="0"/>
            <wp:positionH relativeFrom="column">
              <wp:posOffset>2962275</wp:posOffset>
            </wp:positionH>
            <wp:positionV relativeFrom="paragraph">
              <wp:posOffset>197485</wp:posOffset>
            </wp:positionV>
            <wp:extent cx="3594100" cy="2619375"/>
            <wp:effectExtent l="0" t="0" r="635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Recaudación </w:t>
      </w:r>
      <w:r w:rsidR="00B4325A" w:rsidRPr="00590F0C">
        <w:rPr>
          <w:rFonts w:ascii="Arial" w:eastAsia="Arial" w:hAnsi="Arial" w:cs="Arial"/>
          <w:b/>
          <w:color w:val="0070C0"/>
          <w:sz w:val="24"/>
        </w:rPr>
        <w:t>mayo</w:t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 2020</w:t>
      </w:r>
    </w:p>
    <w:p w14:paraId="3E734AF6" w14:textId="47625C32" w:rsidR="008D0CA8" w:rsidRPr="00590F0C" w:rsidRDefault="001444E8" w:rsidP="004D2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18"/>
        <w:jc w:val="both"/>
      </w:pPr>
      <w:r w:rsidRPr="00590F0C">
        <w:rPr>
          <w:rFonts w:ascii="Arial" w:eastAsia="Arial" w:hAnsi="Arial" w:cs="Arial"/>
        </w:rPr>
        <w:t>En</w:t>
      </w:r>
      <w:r w:rsidR="001242F2" w:rsidRPr="00590F0C">
        <w:rPr>
          <w:rFonts w:ascii="Arial" w:eastAsia="Arial" w:hAnsi="Arial" w:cs="Arial"/>
        </w:rPr>
        <w:t xml:space="preserve"> mayo</w:t>
      </w:r>
      <w:r w:rsidRPr="00590F0C">
        <w:rPr>
          <w:rFonts w:ascii="Arial" w:eastAsia="Arial" w:hAnsi="Arial" w:cs="Arial"/>
        </w:rPr>
        <w:t xml:space="preserve"> </w:t>
      </w:r>
      <w:r w:rsidR="00C800FA">
        <w:rPr>
          <w:rFonts w:ascii="Arial" w:eastAsia="Arial" w:hAnsi="Arial" w:cs="Arial"/>
        </w:rPr>
        <w:t xml:space="preserve">del </w:t>
      </w:r>
      <w:r w:rsidRPr="00590F0C">
        <w:rPr>
          <w:rFonts w:ascii="Arial" w:eastAsia="Arial" w:hAnsi="Arial" w:cs="Arial"/>
        </w:rPr>
        <w:t xml:space="preserve">2020, se recaudaron S/ 7 </w:t>
      </w:r>
      <w:r w:rsidR="00706BB3" w:rsidRPr="00590F0C">
        <w:rPr>
          <w:rFonts w:ascii="Arial" w:eastAsia="Arial" w:hAnsi="Arial" w:cs="Arial"/>
        </w:rPr>
        <w:t>298</w:t>
      </w:r>
      <w:r w:rsidRPr="00590F0C">
        <w:rPr>
          <w:rFonts w:ascii="Arial" w:eastAsia="Arial" w:hAnsi="Arial" w:cs="Arial"/>
        </w:rPr>
        <w:t xml:space="preserve"> millones de ingresos tributarios del Gobierno Central (descontando las devoluciones de impuestos). Ver Anexo 1.</w:t>
      </w:r>
      <w:r w:rsidR="00BE0349" w:rsidRPr="00590F0C">
        <w:rPr>
          <w:noProof/>
        </w:rPr>
        <w:t xml:space="preserve"> </w:t>
      </w:r>
    </w:p>
    <w:p w14:paraId="639CE7B9" w14:textId="6513FF8F" w:rsidR="0061466F" w:rsidRPr="004666BA" w:rsidRDefault="00B764B6" w:rsidP="004D2DC3">
      <w:pPr>
        <w:spacing w:before="240" w:line="240" w:lineRule="auto"/>
        <w:ind w:left="284"/>
        <w:jc w:val="both"/>
        <w:rPr>
          <w:rFonts w:ascii="Arial" w:hAnsi="Arial" w:cs="Arial"/>
          <w:noProof/>
          <w:szCs w:val="24"/>
        </w:rPr>
      </w:pPr>
      <w:r w:rsidRPr="004666BA">
        <w:rPr>
          <w:rFonts w:ascii="Arial" w:hAnsi="Arial" w:cs="Arial"/>
          <w:kern w:val="24"/>
          <w:szCs w:val="24"/>
        </w:rPr>
        <w:t>Este</w:t>
      </w:r>
      <w:r w:rsidR="0061466F" w:rsidRPr="004666BA">
        <w:rPr>
          <w:rFonts w:ascii="Arial" w:hAnsi="Arial" w:cs="Arial"/>
          <w:kern w:val="24"/>
          <w:szCs w:val="24"/>
        </w:rPr>
        <w:t xml:space="preserve"> importe representa S/ 1 63</w:t>
      </w:r>
      <w:r w:rsidRPr="004666BA">
        <w:rPr>
          <w:rFonts w:ascii="Arial" w:hAnsi="Arial" w:cs="Arial"/>
          <w:kern w:val="24"/>
          <w:szCs w:val="24"/>
        </w:rPr>
        <w:t>9 millones menos que lo recaudado</w:t>
      </w:r>
      <w:r w:rsidR="0061466F" w:rsidRPr="004666BA">
        <w:rPr>
          <w:rFonts w:ascii="Arial" w:hAnsi="Arial" w:cs="Arial"/>
          <w:kern w:val="24"/>
          <w:szCs w:val="24"/>
        </w:rPr>
        <w:t xml:space="preserve"> en </w:t>
      </w:r>
      <w:r w:rsidR="00C800FA" w:rsidRPr="004666BA">
        <w:rPr>
          <w:rFonts w:ascii="Arial" w:hAnsi="Arial" w:cs="Arial"/>
          <w:kern w:val="24"/>
          <w:szCs w:val="24"/>
        </w:rPr>
        <w:t>similar mes</w:t>
      </w:r>
      <w:r w:rsidR="006B7242" w:rsidRPr="004666BA">
        <w:rPr>
          <w:rFonts w:ascii="Arial" w:hAnsi="Arial" w:cs="Arial"/>
          <w:kern w:val="24"/>
          <w:szCs w:val="24"/>
        </w:rPr>
        <w:t xml:space="preserve"> de</w:t>
      </w:r>
      <w:r w:rsidR="00C800FA" w:rsidRPr="004666BA">
        <w:rPr>
          <w:rFonts w:ascii="Arial" w:hAnsi="Arial" w:cs="Arial"/>
          <w:kern w:val="24"/>
          <w:szCs w:val="24"/>
        </w:rPr>
        <w:t>l</w:t>
      </w:r>
      <w:r w:rsidR="0061466F" w:rsidRPr="004666BA">
        <w:rPr>
          <w:rFonts w:ascii="Arial" w:hAnsi="Arial" w:cs="Arial"/>
          <w:kern w:val="24"/>
          <w:szCs w:val="24"/>
        </w:rPr>
        <w:t xml:space="preserve"> </w:t>
      </w:r>
      <w:r w:rsidR="00C800FA" w:rsidRPr="004666BA">
        <w:rPr>
          <w:rFonts w:ascii="Arial" w:hAnsi="Arial" w:cs="Arial"/>
          <w:kern w:val="24"/>
          <w:szCs w:val="24"/>
        </w:rPr>
        <w:t>año pasa</w:t>
      </w:r>
      <w:r w:rsidRPr="004666BA">
        <w:rPr>
          <w:rFonts w:ascii="Arial" w:hAnsi="Arial" w:cs="Arial"/>
          <w:kern w:val="24"/>
          <w:szCs w:val="24"/>
        </w:rPr>
        <w:t xml:space="preserve">do, </w:t>
      </w:r>
      <w:r w:rsidR="00E87B98">
        <w:rPr>
          <w:rFonts w:ascii="Arial" w:hAnsi="Arial" w:cs="Arial"/>
          <w:kern w:val="24"/>
          <w:szCs w:val="24"/>
        </w:rPr>
        <w:t xml:space="preserve">los que </w:t>
      </w:r>
      <w:r w:rsidRPr="004666BA">
        <w:rPr>
          <w:rFonts w:ascii="Arial" w:hAnsi="Arial" w:cs="Arial"/>
          <w:kern w:val="24"/>
          <w:szCs w:val="24"/>
        </w:rPr>
        <w:t>equivale a</w:t>
      </w:r>
      <w:r w:rsidR="0061466F" w:rsidRPr="004666BA">
        <w:rPr>
          <w:rFonts w:ascii="Arial" w:hAnsi="Arial" w:cs="Arial"/>
          <w:kern w:val="24"/>
          <w:szCs w:val="24"/>
        </w:rPr>
        <w:t xml:space="preserve"> una reducción de </w:t>
      </w:r>
      <w:r w:rsidR="0061466F" w:rsidRPr="004666BA">
        <w:rPr>
          <w:rFonts w:ascii="Arial" w:hAnsi="Arial" w:cs="Arial"/>
          <w:bCs/>
          <w:kern w:val="24"/>
          <w:szCs w:val="24"/>
        </w:rPr>
        <w:t>19,8%</w:t>
      </w:r>
      <w:r w:rsidR="00C800FA" w:rsidRPr="004666BA">
        <w:rPr>
          <w:rFonts w:ascii="Arial" w:hAnsi="Arial" w:cs="Arial"/>
          <w:bCs/>
          <w:kern w:val="24"/>
          <w:szCs w:val="24"/>
        </w:rPr>
        <w:t>.</w:t>
      </w:r>
      <w:r w:rsidR="0061466F" w:rsidRPr="004666BA">
        <w:rPr>
          <w:rFonts w:ascii="Arial" w:hAnsi="Arial" w:cs="Arial"/>
          <w:noProof/>
          <w:szCs w:val="24"/>
        </w:rPr>
        <w:t xml:space="preserve">  </w:t>
      </w:r>
    </w:p>
    <w:p w14:paraId="337A0AEC" w14:textId="756041B4" w:rsidR="0061466F" w:rsidRPr="00590F0C" w:rsidRDefault="00EB64FE" w:rsidP="00BF41DC">
      <w:pPr>
        <w:spacing w:line="240" w:lineRule="auto"/>
        <w:ind w:left="284"/>
        <w:jc w:val="both"/>
        <w:rPr>
          <w:rFonts w:ascii="Arial" w:hAnsi="Arial" w:cs="Arial"/>
          <w:kern w:val="24"/>
        </w:rPr>
      </w:pPr>
      <w:r w:rsidRPr="00590F0C">
        <w:rPr>
          <w:rFonts w:ascii="Arial" w:hAnsi="Arial" w:cs="Arial"/>
          <w:kern w:val="24"/>
        </w:rPr>
        <w:t xml:space="preserve">En general, </w:t>
      </w:r>
      <w:r w:rsidR="006B7242" w:rsidRPr="00590F0C">
        <w:rPr>
          <w:rFonts w:ascii="Arial" w:hAnsi="Arial" w:cs="Arial"/>
          <w:kern w:val="24"/>
        </w:rPr>
        <w:t xml:space="preserve">el resultado neto </w:t>
      </w:r>
      <w:r w:rsidR="00520EAB">
        <w:rPr>
          <w:rFonts w:ascii="Arial" w:hAnsi="Arial" w:cs="Arial"/>
          <w:kern w:val="24"/>
        </w:rPr>
        <w:t xml:space="preserve">de </w:t>
      </w:r>
      <w:r w:rsidR="00520EAB" w:rsidRPr="00590F0C">
        <w:rPr>
          <w:rFonts w:ascii="Arial" w:hAnsi="Arial" w:cs="Arial"/>
          <w:kern w:val="24"/>
        </w:rPr>
        <w:t xml:space="preserve">mayo </w:t>
      </w:r>
      <w:r w:rsidR="00520EAB">
        <w:rPr>
          <w:rFonts w:ascii="Arial" w:hAnsi="Arial" w:cs="Arial"/>
          <w:kern w:val="24"/>
        </w:rPr>
        <w:t>se debió a</w:t>
      </w:r>
      <w:r w:rsidR="006B7242" w:rsidRPr="00590F0C">
        <w:rPr>
          <w:rFonts w:ascii="Arial" w:hAnsi="Arial" w:cs="Arial"/>
          <w:kern w:val="24"/>
        </w:rPr>
        <w:t xml:space="preserve"> tres factores</w:t>
      </w:r>
      <w:r w:rsidR="0061466F" w:rsidRPr="00590F0C">
        <w:rPr>
          <w:rFonts w:ascii="Arial" w:hAnsi="Arial" w:cs="Arial"/>
          <w:kern w:val="24"/>
        </w:rPr>
        <w:t xml:space="preserve"> principales:</w:t>
      </w:r>
    </w:p>
    <w:p w14:paraId="6C01DF57" w14:textId="7F2558AB" w:rsidR="0061466F" w:rsidRPr="00590F0C" w:rsidRDefault="0061466F" w:rsidP="002F62AF">
      <w:pPr>
        <w:pStyle w:val="Prrafodelista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Arial" w:hAnsi="Arial" w:cs="Arial"/>
          <w:kern w:val="24"/>
        </w:rPr>
      </w:pPr>
      <w:r w:rsidRPr="00590F0C">
        <w:rPr>
          <w:rFonts w:ascii="Arial" w:hAnsi="Arial" w:cs="Arial"/>
          <w:kern w:val="24"/>
        </w:rPr>
        <w:t>La menor actividad económica asociada con la declaración de inmovilización</w:t>
      </w:r>
      <w:r w:rsidR="00B764B6" w:rsidRPr="00B764B6">
        <w:rPr>
          <w:rFonts w:ascii="Arial" w:hAnsi="Arial" w:cs="Arial"/>
          <w:color w:val="FF0000"/>
          <w:kern w:val="24"/>
        </w:rPr>
        <w:t xml:space="preserve"> </w:t>
      </w:r>
      <w:r w:rsidR="00B764B6" w:rsidRPr="004666BA">
        <w:rPr>
          <w:rFonts w:ascii="Arial" w:hAnsi="Arial" w:cs="Arial"/>
          <w:kern w:val="24"/>
        </w:rPr>
        <w:t>social</w:t>
      </w:r>
      <w:r w:rsidRPr="004666BA">
        <w:rPr>
          <w:rFonts w:ascii="Arial" w:hAnsi="Arial" w:cs="Arial"/>
          <w:kern w:val="24"/>
        </w:rPr>
        <w:t xml:space="preserve"> </w:t>
      </w:r>
      <w:r w:rsidRPr="00590F0C">
        <w:rPr>
          <w:rFonts w:ascii="Arial" w:hAnsi="Arial" w:cs="Arial"/>
          <w:kern w:val="24"/>
        </w:rPr>
        <w:t>obligatoria</w:t>
      </w:r>
      <w:r w:rsidR="00FF0C21" w:rsidRPr="00590F0C">
        <w:rPr>
          <w:rFonts w:ascii="Arial" w:hAnsi="Arial" w:cs="Arial"/>
          <w:kern w:val="24"/>
        </w:rPr>
        <w:t xml:space="preserve"> desde marzo pasado.</w:t>
      </w:r>
    </w:p>
    <w:p w14:paraId="6CE66DA9" w14:textId="095FA59C" w:rsidR="006B7242" w:rsidRPr="004666BA" w:rsidRDefault="006B7242" w:rsidP="007052ED">
      <w:pPr>
        <w:spacing w:before="240" w:after="0" w:line="240" w:lineRule="auto"/>
        <w:ind w:left="720"/>
        <w:jc w:val="both"/>
        <w:rPr>
          <w:rFonts w:ascii="Arial" w:eastAsia="Arial" w:hAnsi="Arial" w:cs="Arial"/>
        </w:rPr>
      </w:pPr>
      <w:r w:rsidRPr="004666BA">
        <w:rPr>
          <w:rFonts w:ascii="Arial" w:eastAsia="Arial" w:hAnsi="Arial" w:cs="Arial"/>
        </w:rPr>
        <w:t xml:space="preserve">Si bien la recaudación de abril pasado reflejó el impacto de </w:t>
      </w:r>
      <w:r w:rsidR="00B764B6" w:rsidRPr="004666BA">
        <w:rPr>
          <w:rFonts w:ascii="Arial" w:eastAsia="Arial" w:hAnsi="Arial" w:cs="Arial"/>
        </w:rPr>
        <w:t>sólo quince días de esta medida (</w:t>
      </w:r>
      <w:r w:rsidR="0080416C" w:rsidRPr="004666BA">
        <w:rPr>
          <w:rFonts w:ascii="Arial" w:eastAsia="Arial" w:hAnsi="Arial" w:cs="Arial"/>
        </w:rPr>
        <w:t>los pagos de dicho m</w:t>
      </w:r>
      <w:r w:rsidR="00B764B6" w:rsidRPr="004666BA">
        <w:rPr>
          <w:rFonts w:ascii="Arial" w:eastAsia="Arial" w:hAnsi="Arial" w:cs="Arial"/>
        </w:rPr>
        <w:t>es correspondieron, en su mayor parte,</w:t>
      </w:r>
      <w:r w:rsidR="0080416C" w:rsidRPr="004666BA">
        <w:rPr>
          <w:rFonts w:ascii="Arial" w:eastAsia="Arial" w:hAnsi="Arial" w:cs="Arial"/>
        </w:rPr>
        <w:t xml:space="preserve"> a las operaciones económi</w:t>
      </w:r>
      <w:r w:rsidR="00B764B6" w:rsidRPr="004666BA">
        <w:rPr>
          <w:rFonts w:ascii="Arial" w:eastAsia="Arial" w:hAnsi="Arial" w:cs="Arial"/>
        </w:rPr>
        <w:t>cas realizadas durante los primeros 15 días de</w:t>
      </w:r>
      <w:r w:rsidR="0080416C" w:rsidRPr="004666BA">
        <w:rPr>
          <w:rFonts w:ascii="Arial" w:eastAsia="Arial" w:hAnsi="Arial" w:cs="Arial"/>
        </w:rPr>
        <w:t xml:space="preserve"> marzo</w:t>
      </w:r>
      <w:r w:rsidR="00B764B6" w:rsidRPr="004666BA">
        <w:rPr>
          <w:rFonts w:ascii="Arial" w:eastAsia="Arial" w:hAnsi="Arial" w:cs="Arial"/>
        </w:rPr>
        <w:t xml:space="preserve"> considerando que </w:t>
      </w:r>
      <w:r w:rsidR="007052ED" w:rsidRPr="004666BA">
        <w:rPr>
          <w:rFonts w:ascii="Arial" w:eastAsia="Arial" w:hAnsi="Arial" w:cs="Arial"/>
        </w:rPr>
        <w:t>el aislamie</w:t>
      </w:r>
      <w:r w:rsidR="00B764B6" w:rsidRPr="004666BA">
        <w:rPr>
          <w:rFonts w:ascii="Arial" w:eastAsia="Arial" w:hAnsi="Arial" w:cs="Arial"/>
        </w:rPr>
        <w:t>nto se aplicó</w:t>
      </w:r>
      <w:r w:rsidR="007052ED" w:rsidRPr="004666BA">
        <w:rPr>
          <w:rFonts w:ascii="Arial" w:eastAsia="Arial" w:hAnsi="Arial" w:cs="Arial"/>
        </w:rPr>
        <w:t xml:space="preserve"> desde el día 16 de</w:t>
      </w:r>
      <w:r w:rsidR="00B764B6" w:rsidRPr="004666BA">
        <w:rPr>
          <w:rFonts w:ascii="Arial" w:eastAsia="Arial" w:hAnsi="Arial" w:cs="Arial"/>
        </w:rPr>
        <w:t>l citado</w:t>
      </w:r>
      <w:r w:rsidR="007052ED" w:rsidRPr="004666BA">
        <w:rPr>
          <w:rFonts w:ascii="Arial" w:eastAsia="Arial" w:hAnsi="Arial" w:cs="Arial"/>
        </w:rPr>
        <w:t xml:space="preserve"> mes</w:t>
      </w:r>
      <w:r w:rsidR="00B764B6" w:rsidRPr="004666BA">
        <w:rPr>
          <w:rFonts w:ascii="Arial" w:eastAsia="Arial" w:hAnsi="Arial" w:cs="Arial"/>
        </w:rPr>
        <w:t>), los ingresos tributarios</w:t>
      </w:r>
      <w:r w:rsidR="0080416C" w:rsidRPr="004666BA">
        <w:rPr>
          <w:rFonts w:ascii="Arial" w:eastAsia="Arial" w:hAnsi="Arial" w:cs="Arial"/>
        </w:rPr>
        <w:t xml:space="preserve"> de mayo que se reporta</w:t>
      </w:r>
      <w:r w:rsidR="00B764B6" w:rsidRPr="004666BA">
        <w:rPr>
          <w:rFonts w:ascii="Arial" w:eastAsia="Arial" w:hAnsi="Arial" w:cs="Arial"/>
        </w:rPr>
        <w:t xml:space="preserve">n en esta </w:t>
      </w:r>
      <w:r w:rsidR="0080416C" w:rsidRPr="004666BA">
        <w:rPr>
          <w:rFonts w:ascii="Arial" w:eastAsia="Arial" w:hAnsi="Arial" w:cs="Arial"/>
        </w:rPr>
        <w:t>nota refleja</w:t>
      </w:r>
      <w:r w:rsidR="00B764B6" w:rsidRPr="004666BA">
        <w:rPr>
          <w:rFonts w:ascii="Arial" w:eastAsia="Arial" w:hAnsi="Arial" w:cs="Arial"/>
        </w:rPr>
        <w:t>n</w:t>
      </w:r>
      <w:r w:rsidR="00D75D58" w:rsidRPr="004666BA">
        <w:rPr>
          <w:rFonts w:ascii="Arial" w:eastAsia="Arial" w:hAnsi="Arial" w:cs="Arial"/>
        </w:rPr>
        <w:t xml:space="preserve"> el impacto de la “cuarentena” vigente</w:t>
      </w:r>
      <w:r w:rsidR="00617D03" w:rsidRPr="004666BA">
        <w:rPr>
          <w:rFonts w:ascii="Arial" w:eastAsia="Arial" w:hAnsi="Arial" w:cs="Arial"/>
        </w:rPr>
        <w:t xml:space="preserve"> </w:t>
      </w:r>
      <w:r w:rsidR="0080416C" w:rsidRPr="004666BA">
        <w:rPr>
          <w:rFonts w:ascii="Arial" w:eastAsia="Arial" w:hAnsi="Arial" w:cs="Arial"/>
        </w:rPr>
        <w:t>durante to</w:t>
      </w:r>
      <w:r w:rsidR="00FA6485" w:rsidRPr="004666BA">
        <w:rPr>
          <w:rFonts w:ascii="Arial" w:eastAsia="Arial" w:hAnsi="Arial" w:cs="Arial"/>
        </w:rPr>
        <w:t xml:space="preserve">do </w:t>
      </w:r>
      <w:r w:rsidR="0080416C" w:rsidRPr="004666BA">
        <w:rPr>
          <w:rFonts w:ascii="Arial" w:eastAsia="Arial" w:hAnsi="Arial" w:cs="Arial"/>
        </w:rPr>
        <w:t>el mes de a</w:t>
      </w:r>
      <w:r w:rsidR="007052ED" w:rsidRPr="004666BA">
        <w:rPr>
          <w:rFonts w:ascii="Arial" w:eastAsia="Arial" w:hAnsi="Arial" w:cs="Arial"/>
        </w:rPr>
        <w:t>bril.</w:t>
      </w:r>
    </w:p>
    <w:p w14:paraId="0CC1BDAA" w14:textId="4F3A23BA" w:rsidR="00FF0C21" w:rsidRPr="00590F0C" w:rsidRDefault="008A41BE" w:rsidP="00D1071A">
      <w:pPr>
        <w:spacing w:before="240" w:after="0" w:line="240" w:lineRule="auto"/>
        <w:ind w:left="720"/>
        <w:jc w:val="both"/>
        <w:rPr>
          <w:rFonts w:ascii="Arial" w:hAnsi="Arial" w:cs="Arial"/>
          <w:kern w:val="24"/>
        </w:rPr>
      </w:pPr>
      <w:r w:rsidRPr="00590F0C">
        <w:rPr>
          <w:rFonts w:ascii="Arial" w:hAnsi="Arial" w:cs="Arial"/>
          <w:kern w:val="24"/>
        </w:rPr>
        <w:t xml:space="preserve">Asimismo, </w:t>
      </w:r>
      <w:r w:rsidR="00FA6485">
        <w:rPr>
          <w:rFonts w:ascii="Arial" w:hAnsi="Arial" w:cs="Arial"/>
          <w:kern w:val="24"/>
        </w:rPr>
        <w:t>se debe</w:t>
      </w:r>
      <w:r w:rsidR="00A45B06" w:rsidRPr="00590F0C">
        <w:rPr>
          <w:rFonts w:ascii="Arial" w:eastAsia="Arial" w:hAnsi="Arial" w:cs="Arial"/>
        </w:rPr>
        <w:t xml:space="preserve"> considerar que</w:t>
      </w:r>
      <w:r w:rsidR="00D1071A" w:rsidRPr="00590F0C">
        <w:rPr>
          <w:rFonts w:ascii="Arial" w:eastAsia="Arial" w:hAnsi="Arial" w:cs="Arial"/>
        </w:rPr>
        <w:t>,</w:t>
      </w:r>
      <w:r w:rsidR="00A45B06" w:rsidRPr="00590F0C">
        <w:rPr>
          <w:rFonts w:ascii="Arial" w:eastAsia="Arial" w:hAnsi="Arial" w:cs="Arial"/>
        </w:rPr>
        <w:t xml:space="preserve"> si bien desde fines de mayo empezó el reinicio gradual de actividades</w:t>
      </w:r>
      <w:r w:rsidRPr="00590F0C">
        <w:rPr>
          <w:rFonts w:ascii="Arial" w:eastAsia="Arial" w:hAnsi="Arial" w:cs="Arial"/>
        </w:rPr>
        <w:t xml:space="preserve"> económicas, </w:t>
      </w:r>
      <w:r w:rsidR="00A45B06" w:rsidRPr="00590F0C">
        <w:rPr>
          <w:rFonts w:ascii="Arial" w:eastAsia="Arial" w:hAnsi="Arial" w:cs="Arial"/>
        </w:rPr>
        <w:t xml:space="preserve">sus efectos </w:t>
      </w:r>
      <w:r w:rsidR="007052ED" w:rsidRPr="00590F0C">
        <w:rPr>
          <w:rFonts w:ascii="Arial" w:eastAsia="Arial" w:hAnsi="Arial" w:cs="Arial"/>
        </w:rPr>
        <w:t xml:space="preserve">sobre la recaudación </w:t>
      </w:r>
      <w:r w:rsidR="00A45B06" w:rsidRPr="00590F0C">
        <w:rPr>
          <w:rFonts w:ascii="Arial" w:eastAsia="Arial" w:hAnsi="Arial" w:cs="Arial"/>
        </w:rPr>
        <w:t>se observarán</w:t>
      </w:r>
      <w:r w:rsidRPr="00590F0C">
        <w:rPr>
          <w:rFonts w:ascii="Arial" w:eastAsia="Arial" w:hAnsi="Arial" w:cs="Arial"/>
        </w:rPr>
        <w:t xml:space="preserve"> paulatinamente a partir de</w:t>
      </w:r>
      <w:r w:rsidR="00FA6485">
        <w:rPr>
          <w:rFonts w:ascii="Arial" w:eastAsia="Arial" w:hAnsi="Arial" w:cs="Arial"/>
        </w:rPr>
        <w:t xml:space="preserve"> </w:t>
      </w:r>
      <w:r w:rsidR="00A45B06" w:rsidRPr="00590F0C">
        <w:rPr>
          <w:rFonts w:ascii="Arial" w:eastAsia="Arial" w:hAnsi="Arial" w:cs="Arial"/>
        </w:rPr>
        <w:t>junio</w:t>
      </w:r>
    </w:p>
    <w:p w14:paraId="1EE2041E" w14:textId="1E68BFF7" w:rsidR="0061466F" w:rsidRPr="00590F0C" w:rsidRDefault="00520EAB" w:rsidP="002F62AF">
      <w:pPr>
        <w:pStyle w:val="Prrafodelista"/>
        <w:numPr>
          <w:ilvl w:val="0"/>
          <w:numId w:val="7"/>
        </w:numPr>
        <w:spacing w:before="240" w:line="240" w:lineRule="auto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 w:rsidR="00FF0C21" w:rsidRPr="00590F0C">
        <w:rPr>
          <w:rFonts w:ascii="Arial" w:eastAsia="Arial" w:hAnsi="Arial" w:cs="Arial"/>
        </w:rPr>
        <w:t xml:space="preserve"> medidas adoptadas por el Poder Ejecutivo para amortiguar el impacto </w:t>
      </w:r>
      <w:r w:rsidR="00D1071A" w:rsidRPr="00590F0C">
        <w:rPr>
          <w:rFonts w:ascii="Arial" w:eastAsia="Arial" w:hAnsi="Arial" w:cs="Arial"/>
        </w:rPr>
        <w:t xml:space="preserve">económico generado </w:t>
      </w:r>
      <w:r w:rsidR="00FF0C21" w:rsidRPr="00590F0C">
        <w:rPr>
          <w:rFonts w:ascii="Arial" w:eastAsia="Arial" w:hAnsi="Arial" w:cs="Arial"/>
        </w:rPr>
        <w:t>por el COVID-19 a través de</w:t>
      </w:r>
      <w:r w:rsidR="00D1071A" w:rsidRPr="00590F0C">
        <w:rPr>
          <w:rFonts w:ascii="Arial" w:eastAsia="Arial" w:hAnsi="Arial" w:cs="Arial"/>
        </w:rPr>
        <w:t xml:space="preserve">l </w:t>
      </w:r>
      <w:r w:rsidR="00D75D58">
        <w:rPr>
          <w:rFonts w:ascii="Arial" w:eastAsia="Arial" w:hAnsi="Arial" w:cs="Arial"/>
        </w:rPr>
        <w:t xml:space="preserve">alivio tributario </w:t>
      </w:r>
      <w:r w:rsidR="00D75D58" w:rsidRPr="004666BA">
        <w:rPr>
          <w:rFonts w:ascii="Arial" w:eastAsia="Arial" w:hAnsi="Arial" w:cs="Arial"/>
        </w:rPr>
        <w:t>para</w:t>
      </w:r>
      <w:r w:rsidR="00FF0C21" w:rsidRPr="004666BA">
        <w:rPr>
          <w:rFonts w:ascii="Arial" w:eastAsia="Arial" w:hAnsi="Arial" w:cs="Arial"/>
        </w:rPr>
        <w:t xml:space="preserve"> </w:t>
      </w:r>
      <w:r w:rsidR="00FF0C21" w:rsidRPr="00590F0C">
        <w:rPr>
          <w:rFonts w:ascii="Arial" w:eastAsia="Arial" w:hAnsi="Arial" w:cs="Arial"/>
        </w:rPr>
        <w:t>los contribuyentes</w:t>
      </w:r>
      <w:r w:rsidR="00D1071A" w:rsidRPr="00590F0C">
        <w:rPr>
          <w:rFonts w:ascii="Arial" w:eastAsia="Arial" w:hAnsi="Arial" w:cs="Arial"/>
        </w:rPr>
        <w:t xml:space="preserve"> y</w:t>
      </w:r>
      <w:r w:rsidR="008A41BE" w:rsidRPr="00590F0C">
        <w:rPr>
          <w:rFonts w:ascii="Arial" w:eastAsia="Arial" w:hAnsi="Arial" w:cs="Arial"/>
        </w:rPr>
        <w:t>, en particular</w:t>
      </w:r>
      <w:r w:rsidR="00D1071A" w:rsidRPr="00590F0C">
        <w:rPr>
          <w:rFonts w:ascii="Arial" w:eastAsia="Arial" w:hAnsi="Arial" w:cs="Arial"/>
        </w:rPr>
        <w:t>,</w:t>
      </w:r>
      <w:r w:rsidR="008A41BE" w:rsidRPr="00590F0C">
        <w:rPr>
          <w:rFonts w:ascii="Arial" w:eastAsia="Arial" w:hAnsi="Arial" w:cs="Arial"/>
        </w:rPr>
        <w:t xml:space="preserve"> </w:t>
      </w:r>
      <w:r w:rsidR="0019165A" w:rsidRPr="00590F0C">
        <w:rPr>
          <w:rFonts w:ascii="Arial" w:eastAsia="Arial" w:hAnsi="Arial" w:cs="Arial"/>
        </w:rPr>
        <w:lastRenderedPageBreak/>
        <w:t>a través d</w:t>
      </w:r>
      <w:r w:rsidR="008A41BE" w:rsidRPr="00590F0C">
        <w:rPr>
          <w:rFonts w:ascii="Arial" w:eastAsia="Arial" w:hAnsi="Arial" w:cs="Arial"/>
        </w:rPr>
        <w:t>e la postergación de las declaraciones y pagos</w:t>
      </w:r>
      <w:r w:rsidR="0019165A" w:rsidRPr="00590F0C">
        <w:rPr>
          <w:rFonts w:ascii="Arial" w:eastAsia="Arial" w:hAnsi="Arial" w:cs="Arial"/>
        </w:rPr>
        <w:t>, así como el uso de la facultad discrecional para no aplicar sanciones durante la emergencia</w:t>
      </w:r>
      <w:r w:rsidR="00FF0C21" w:rsidRPr="00590F0C">
        <w:rPr>
          <w:rFonts w:ascii="Arial" w:eastAsia="Arial" w:hAnsi="Arial" w:cs="Arial"/>
        </w:rPr>
        <w:t>.</w:t>
      </w:r>
    </w:p>
    <w:p w14:paraId="32162FAC" w14:textId="6CB38390" w:rsidR="00A45B06" w:rsidRPr="002F62AF" w:rsidRDefault="00DE59A4" w:rsidP="002F62A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eastAsia="Arial" w:hAnsi="Arial" w:cs="Arial"/>
        </w:rPr>
      </w:pPr>
      <w:r w:rsidRPr="002F62AF">
        <w:rPr>
          <w:rFonts w:ascii="Arial" w:eastAsia="Arial" w:hAnsi="Arial" w:cs="Arial"/>
        </w:rPr>
        <w:t xml:space="preserve">El </w:t>
      </w:r>
      <w:r w:rsidR="0061466F" w:rsidRPr="002F62AF">
        <w:rPr>
          <w:rFonts w:ascii="Arial" w:eastAsia="Arial" w:hAnsi="Arial" w:cs="Arial"/>
        </w:rPr>
        <w:t xml:space="preserve">efecto estadístico </w:t>
      </w:r>
      <w:r w:rsidR="0019165A" w:rsidRPr="002F62AF">
        <w:rPr>
          <w:rFonts w:ascii="Arial" w:eastAsia="Arial" w:hAnsi="Arial" w:cs="Arial"/>
        </w:rPr>
        <w:t>a favor</w:t>
      </w:r>
      <w:r w:rsidR="002F62AF">
        <w:rPr>
          <w:rFonts w:ascii="Arial" w:eastAsia="Arial" w:hAnsi="Arial" w:cs="Arial"/>
        </w:rPr>
        <w:t>,</w:t>
      </w:r>
      <w:r w:rsidR="00D1071A" w:rsidRPr="002F62AF">
        <w:rPr>
          <w:rFonts w:ascii="Arial" w:eastAsia="Arial" w:hAnsi="Arial" w:cs="Arial"/>
        </w:rPr>
        <w:t xml:space="preserve"> </w:t>
      </w:r>
      <w:r w:rsidR="00617D03" w:rsidRPr="002F62AF">
        <w:rPr>
          <w:rFonts w:ascii="Arial" w:eastAsia="Arial" w:hAnsi="Arial" w:cs="Arial"/>
        </w:rPr>
        <w:t>generado por</w:t>
      </w:r>
      <w:r w:rsidR="00D1071A" w:rsidRPr="002F62AF">
        <w:rPr>
          <w:rFonts w:ascii="Arial" w:eastAsia="Arial" w:hAnsi="Arial" w:cs="Arial"/>
        </w:rPr>
        <w:t xml:space="preserve"> </w:t>
      </w:r>
      <w:r w:rsidR="00E87B98" w:rsidRPr="002F62AF">
        <w:rPr>
          <w:rFonts w:ascii="Arial" w:eastAsia="Arial" w:hAnsi="Arial" w:cs="Arial"/>
        </w:rPr>
        <w:t>el</w:t>
      </w:r>
      <w:r w:rsidR="008B169E" w:rsidRPr="002F62AF">
        <w:rPr>
          <w:rFonts w:ascii="Arial" w:eastAsia="Arial" w:hAnsi="Arial" w:cs="Arial"/>
        </w:rPr>
        <w:t xml:space="preserve"> pago de S/ 2 416 millones por concepto de Impuesto a la Renta de No Domiciliados</w:t>
      </w:r>
      <w:r w:rsidR="00E87B98" w:rsidRPr="002F62AF">
        <w:rPr>
          <w:rFonts w:ascii="Arial" w:eastAsia="Arial" w:hAnsi="Arial" w:cs="Arial"/>
        </w:rPr>
        <w:t>, debido a</w:t>
      </w:r>
      <w:r w:rsidR="00EB64FE" w:rsidRPr="002F62AF">
        <w:rPr>
          <w:rFonts w:ascii="Arial" w:eastAsia="Arial" w:hAnsi="Arial" w:cs="Arial"/>
        </w:rPr>
        <w:t xml:space="preserve"> la venta de </w:t>
      </w:r>
      <w:r w:rsidR="0019165A" w:rsidRPr="002F62AF">
        <w:rPr>
          <w:rFonts w:ascii="Arial" w:eastAsia="Arial" w:hAnsi="Arial" w:cs="Arial"/>
        </w:rPr>
        <w:t xml:space="preserve">una </w:t>
      </w:r>
      <w:r w:rsidR="008B169E" w:rsidRPr="002F62AF">
        <w:rPr>
          <w:rFonts w:ascii="Arial" w:eastAsia="Arial" w:hAnsi="Arial" w:cs="Arial"/>
        </w:rPr>
        <w:t>empresa privada dedicada a la distribución de energía eléctrica</w:t>
      </w:r>
      <w:r w:rsidR="00A45B06" w:rsidRPr="002F62AF">
        <w:rPr>
          <w:rFonts w:ascii="Arial" w:eastAsia="Arial" w:hAnsi="Arial" w:cs="Arial"/>
        </w:rPr>
        <w:t>.</w:t>
      </w:r>
    </w:p>
    <w:p w14:paraId="53A683F3" w14:textId="77777777" w:rsidR="00E87B98" w:rsidRPr="00590F0C" w:rsidRDefault="00E87B98" w:rsidP="00F95D7A">
      <w:pPr>
        <w:pStyle w:val="Prrafodelista"/>
        <w:spacing w:line="240" w:lineRule="auto"/>
        <w:ind w:left="714"/>
        <w:contextualSpacing w:val="0"/>
        <w:jc w:val="both"/>
        <w:rPr>
          <w:rFonts w:ascii="Arial" w:eastAsia="Arial" w:hAnsi="Arial" w:cs="Arial"/>
        </w:rPr>
      </w:pPr>
    </w:p>
    <w:p w14:paraId="7EB97CFA" w14:textId="01155055" w:rsidR="008D0CA8" w:rsidRPr="00590F0C" w:rsidRDefault="00FA6485" w:rsidP="004D2DC3">
      <w:pPr>
        <w:spacing w:line="240" w:lineRule="auto"/>
        <w:rPr>
          <w:rFonts w:ascii="Arial" w:eastAsia="Arial" w:hAnsi="Arial" w:cs="Arial"/>
          <w:b/>
          <w:color w:val="0070C0"/>
          <w:sz w:val="24"/>
        </w:rPr>
      </w:pPr>
      <w:r w:rsidRPr="00590F0C">
        <w:rPr>
          <w:noProof/>
        </w:rPr>
        <w:drawing>
          <wp:anchor distT="0" distB="0" distL="114300" distR="114300" simplePos="0" relativeHeight="251667456" behindDoc="0" locked="0" layoutInCell="1" allowOverlap="1" wp14:anchorId="0BDDDD08" wp14:editId="2509DA19">
            <wp:simplePos x="0" y="0"/>
            <wp:positionH relativeFrom="margin">
              <wp:posOffset>2353310</wp:posOffset>
            </wp:positionH>
            <wp:positionV relativeFrom="paragraph">
              <wp:posOffset>252095</wp:posOffset>
            </wp:positionV>
            <wp:extent cx="3835400" cy="2603500"/>
            <wp:effectExtent l="0" t="0" r="0" b="6350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Principales resultados por tributos </w:t>
      </w:r>
    </w:p>
    <w:p w14:paraId="2CFC7683" w14:textId="08BFDD7A" w:rsidR="008D0CA8" w:rsidRPr="00590F0C" w:rsidRDefault="001444E8" w:rsidP="004D2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8"/>
        <w:jc w:val="both"/>
      </w:pPr>
      <w:r w:rsidRPr="00590F0C">
        <w:rPr>
          <w:rFonts w:ascii="Arial" w:eastAsia="Arial" w:hAnsi="Arial" w:cs="Arial"/>
        </w:rPr>
        <w:t xml:space="preserve">En </w:t>
      </w:r>
      <w:r w:rsidR="000C4CCA" w:rsidRPr="00590F0C">
        <w:rPr>
          <w:rFonts w:ascii="Arial" w:eastAsia="Arial" w:hAnsi="Arial" w:cs="Arial"/>
        </w:rPr>
        <w:t>mayo</w:t>
      </w:r>
      <w:r w:rsidRPr="00590F0C">
        <w:rPr>
          <w:rFonts w:ascii="Arial" w:eastAsia="Arial" w:hAnsi="Arial" w:cs="Arial"/>
        </w:rPr>
        <w:t xml:space="preserve"> se recaud</w:t>
      </w:r>
      <w:r w:rsidR="00FA6485">
        <w:rPr>
          <w:rFonts w:ascii="Arial" w:eastAsia="Arial" w:hAnsi="Arial" w:cs="Arial"/>
        </w:rPr>
        <w:t>ó</w:t>
      </w:r>
      <w:r w:rsidRPr="00590F0C">
        <w:rPr>
          <w:rFonts w:ascii="Arial" w:eastAsia="Arial" w:hAnsi="Arial" w:cs="Arial"/>
        </w:rPr>
        <w:t xml:space="preserve"> S/ 4 </w:t>
      </w:r>
      <w:r w:rsidR="000C4CCA" w:rsidRPr="00590F0C">
        <w:rPr>
          <w:rFonts w:ascii="Arial" w:eastAsia="Arial" w:hAnsi="Arial" w:cs="Arial"/>
        </w:rPr>
        <w:t>235</w:t>
      </w:r>
      <w:r w:rsidRPr="00590F0C">
        <w:rPr>
          <w:rFonts w:ascii="Arial" w:eastAsia="Arial" w:hAnsi="Arial" w:cs="Arial"/>
        </w:rPr>
        <w:t xml:space="preserve"> millones por Impuesto a la Renta, importe que significó S/ </w:t>
      </w:r>
      <w:r w:rsidR="000C4CCA" w:rsidRPr="00590F0C">
        <w:rPr>
          <w:rFonts w:ascii="Arial" w:eastAsia="Arial" w:hAnsi="Arial" w:cs="Arial"/>
        </w:rPr>
        <w:t xml:space="preserve">829 </w:t>
      </w:r>
      <w:r w:rsidRPr="00590F0C">
        <w:rPr>
          <w:rFonts w:ascii="Arial" w:eastAsia="Arial" w:hAnsi="Arial" w:cs="Arial"/>
        </w:rPr>
        <w:t>millones de m</w:t>
      </w:r>
      <w:r w:rsidR="000C4CCA" w:rsidRPr="00590F0C">
        <w:rPr>
          <w:rFonts w:ascii="Arial" w:eastAsia="Arial" w:hAnsi="Arial" w:cs="Arial"/>
        </w:rPr>
        <w:t>ay</w:t>
      </w:r>
      <w:r w:rsidRPr="00590F0C">
        <w:rPr>
          <w:rFonts w:ascii="Arial" w:eastAsia="Arial" w:hAnsi="Arial" w:cs="Arial"/>
        </w:rPr>
        <w:t xml:space="preserve">or recaudación con respecto a </w:t>
      </w:r>
      <w:r w:rsidR="00FA6485">
        <w:rPr>
          <w:rFonts w:ascii="Arial" w:eastAsia="Arial" w:hAnsi="Arial" w:cs="Arial"/>
        </w:rPr>
        <w:t>similar mes</w:t>
      </w:r>
      <w:r w:rsidRPr="00590F0C">
        <w:rPr>
          <w:rFonts w:ascii="Arial" w:eastAsia="Arial" w:hAnsi="Arial" w:cs="Arial"/>
        </w:rPr>
        <w:t xml:space="preserve"> del año 2019.</w:t>
      </w:r>
      <w:r w:rsidR="00BE0349" w:rsidRPr="00590F0C">
        <w:rPr>
          <w:noProof/>
        </w:rPr>
        <w:t xml:space="preserve"> </w:t>
      </w:r>
    </w:p>
    <w:p w14:paraId="6C5B4472" w14:textId="7A5B7675" w:rsidR="008D0CA8" w:rsidRPr="00590F0C" w:rsidRDefault="008D0CA8" w:rsidP="004D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Arial" w:eastAsia="Arial" w:hAnsi="Arial" w:cs="Arial"/>
        </w:rPr>
      </w:pPr>
    </w:p>
    <w:p w14:paraId="7A1296D5" w14:textId="3DCB2B5E" w:rsidR="00200A5B" w:rsidRPr="00590F0C" w:rsidRDefault="001444E8" w:rsidP="004D2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8"/>
        <w:jc w:val="both"/>
      </w:pPr>
      <w:r w:rsidRPr="00590F0C">
        <w:rPr>
          <w:rFonts w:ascii="Arial" w:eastAsia="Arial" w:hAnsi="Arial" w:cs="Arial"/>
        </w:rPr>
        <w:t>Este resultado</w:t>
      </w:r>
      <w:r w:rsidR="00200A5B" w:rsidRPr="00590F0C">
        <w:rPr>
          <w:rFonts w:ascii="Arial" w:eastAsia="Arial" w:hAnsi="Arial" w:cs="Arial"/>
        </w:rPr>
        <w:t xml:space="preserve"> positivo</w:t>
      </w:r>
      <w:r w:rsidRPr="00590F0C">
        <w:rPr>
          <w:rFonts w:ascii="Arial" w:eastAsia="Arial" w:hAnsi="Arial" w:cs="Arial"/>
        </w:rPr>
        <w:t xml:space="preserve"> </w:t>
      </w:r>
      <w:r w:rsidR="00200A5B" w:rsidRPr="00590F0C">
        <w:rPr>
          <w:rFonts w:ascii="Arial" w:eastAsia="Arial" w:hAnsi="Arial" w:cs="Arial"/>
        </w:rPr>
        <w:t xml:space="preserve">es </w:t>
      </w:r>
      <w:r w:rsidR="00617D03" w:rsidRPr="00590F0C">
        <w:rPr>
          <w:rFonts w:ascii="Arial" w:eastAsia="Arial" w:hAnsi="Arial" w:cs="Arial"/>
        </w:rPr>
        <w:t>consecuencia</w:t>
      </w:r>
      <w:r w:rsidR="00200A5B" w:rsidRPr="00590F0C">
        <w:rPr>
          <w:rFonts w:ascii="Arial" w:eastAsia="Arial" w:hAnsi="Arial" w:cs="Arial"/>
        </w:rPr>
        <w:t xml:space="preserve"> de múltiples factores</w:t>
      </w:r>
      <w:r w:rsidR="00617D03" w:rsidRPr="00590F0C">
        <w:rPr>
          <w:rFonts w:ascii="Arial" w:eastAsia="Arial" w:hAnsi="Arial" w:cs="Arial"/>
        </w:rPr>
        <w:t xml:space="preserve"> que interactúan entre sí</w:t>
      </w:r>
      <w:r w:rsidR="00200A5B" w:rsidRPr="00590F0C">
        <w:rPr>
          <w:rFonts w:ascii="Arial" w:eastAsia="Arial" w:hAnsi="Arial" w:cs="Arial"/>
        </w:rPr>
        <w:t>:</w:t>
      </w:r>
    </w:p>
    <w:p w14:paraId="1896D75C" w14:textId="752E9356" w:rsidR="00200A5B" w:rsidRPr="00590F0C" w:rsidRDefault="00200A5B" w:rsidP="002F62AF">
      <w:pPr>
        <w:pStyle w:val="Prrafodelista"/>
        <w:numPr>
          <w:ilvl w:val="0"/>
          <w:numId w:val="9"/>
        </w:numPr>
        <w:spacing w:before="240" w:line="240" w:lineRule="auto"/>
        <w:contextualSpacing w:val="0"/>
        <w:jc w:val="both"/>
      </w:pPr>
      <w:r w:rsidRPr="00590F0C">
        <w:rPr>
          <w:rFonts w:ascii="Arial" w:eastAsia="Arial" w:hAnsi="Arial" w:cs="Arial"/>
        </w:rPr>
        <w:t>De un lado,</w:t>
      </w:r>
      <w:r w:rsidR="001444E8" w:rsidRPr="00590F0C">
        <w:rPr>
          <w:rFonts w:ascii="Arial" w:eastAsia="Arial" w:hAnsi="Arial" w:cs="Arial"/>
        </w:rPr>
        <w:t xml:space="preserve"> </w:t>
      </w:r>
      <w:r w:rsidR="002344DA" w:rsidRPr="00590F0C">
        <w:rPr>
          <w:rFonts w:ascii="Arial" w:eastAsia="Arial" w:hAnsi="Arial" w:cs="Arial"/>
        </w:rPr>
        <w:t xml:space="preserve">el efecto positivo </w:t>
      </w:r>
      <w:r w:rsidR="002344DA" w:rsidRPr="004666BA">
        <w:rPr>
          <w:rFonts w:ascii="Arial" w:eastAsia="Arial" w:hAnsi="Arial" w:cs="Arial"/>
        </w:rPr>
        <w:t>de</w:t>
      </w:r>
      <w:r w:rsidR="00D75D58" w:rsidRPr="004666BA">
        <w:rPr>
          <w:rFonts w:ascii="Arial" w:eastAsia="Arial" w:hAnsi="Arial" w:cs="Arial"/>
        </w:rPr>
        <w:t>l</w:t>
      </w:r>
      <w:r w:rsidR="00314E56" w:rsidRPr="004666BA">
        <w:rPr>
          <w:rFonts w:ascii="Arial" w:eastAsia="Arial" w:hAnsi="Arial" w:cs="Arial"/>
        </w:rPr>
        <w:t xml:space="preserve"> </w:t>
      </w:r>
      <w:r w:rsidR="00314E56" w:rsidRPr="00590F0C">
        <w:rPr>
          <w:rFonts w:ascii="Arial" w:eastAsia="Arial" w:hAnsi="Arial" w:cs="Arial"/>
        </w:rPr>
        <w:t>mencionado</w:t>
      </w:r>
      <w:r w:rsidR="0077407D" w:rsidRPr="00590F0C">
        <w:rPr>
          <w:rFonts w:ascii="Arial" w:eastAsia="Arial" w:hAnsi="Arial" w:cs="Arial"/>
        </w:rPr>
        <w:t xml:space="preserve"> pago </w:t>
      </w:r>
      <w:r w:rsidR="0019165A" w:rsidRPr="00590F0C">
        <w:rPr>
          <w:rFonts w:ascii="Arial" w:eastAsia="Arial" w:hAnsi="Arial" w:cs="Arial"/>
        </w:rPr>
        <w:t xml:space="preserve">por concepto de Impuesto a la Renta de No Domiciliados </w:t>
      </w:r>
      <w:r w:rsidR="0077407D" w:rsidRPr="00590F0C">
        <w:rPr>
          <w:rFonts w:ascii="Arial" w:eastAsia="Arial" w:hAnsi="Arial" w:cs="Arial"/>
        </w:rPr>
        <w:t xml:space="preserve">como </w:t>
      </w:r>
      <w:r w:rsidR="0077407D" w:rsidRPr="00590F0C">
        <w:rPr>
          <w:rFonts w:ascii="Arial" w:eastAsiaTheme="minorEastAsia" w:hAnsi="Arial" w:cs="Arial"/>
          <w:kern w:val="24"/>
        </w:rPr>
        <w:t>resultado</w:t>
      </w:r>
      <w:r w:rsidR="0077407D" w:rsidRPr="00590F0C">
        <w:rPr>
          <w:rFonts w:ascii="Arial" w:eastAsia="Arial" w:hAnsi="Arial" w:cs="Arial"/>
        </w:rPr>
        <w:t xml:space="preserve"> de la venta de una empresa eléctrica. </w:t>
      </w:r>
    </w:p>
    <w:p w14:paraId="045DC6D9" w14:textId="693A4CC8" w:rsidR="008D0CA8" w:rsidRPr="00590F0C" w:rsidRDefault="00200A5B" w:rsidP="002F62AF">
      <w:pPr>
        <w:pStyle w:val="Prrafodelista"/>
        <w:numPr>
          <w:ilvl w:val="0"/>
          <w:numId w:val="9"/>
        </w:numPr>
        <w:spacing w:before="240" w:line="240" w:lineRule="auto"/>
        <w:contextualSpacing w:val="0"/>
        <w:jc w:val="both"/>
      </w:pPr>
      <w:r w:rsidRPr="00590F0C">
        <w:rPr>
          <w:rFonts w:ascii="Arial" w:eastAsia="Arial" w:hAnsi="Arial" w:cs="Arial"/>
        </w:rPr>
        <w:t>Como contraparte, el efecto adverso generado por el</w:t>
      </w:r>
      <w:r w:rsidR="0077407D" w:rsidRPr="00590F0C">
        <w:rPr>
          <w:rFonts w:ascii="Arial" w:eastAsia="Arial" w:hAnsi="Arial" w:cs="Arial"/>
        </w:rPr>
        <w:t xml:space="preserve"> diferimiento de</w:t>
      </w:r>
      <w:r w:rsidRPr="00590F0C">
        <w:rPr>
          <w:rFonts w:ascii="Arial" w:eastAsia="Arial" w:hAnsi="Arial" w:cs="Arial"/>
        </w:rPr>
        <w:t>l</w:t>
      </w:r>
      <w:r w:rsidR="0077407D" w:rsidRPr="00590F0C">
        <w:rPr>
          <w:rFonts w:ascii="Arial" w:eastAsia="Arial" w:hAnsi="Arial" w:cs="Arial"/>
        </w:rPr>
        <w:t xml:space="preserve"> pago de obligaciones y la menor actividad económica causada por la cuarentena decretada por el gobierno.</w:t>
      </w:r>
    </w:p>
    <w:p w14:paraId="140BF1B8" w14:textId="43A04206" w:rsidR="008D0CA8" w:rsidRPr="00590F0C" w:rsidRDefault="00925409" w:rsidP="004D2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8"/>
        <w:jc w:val="both"/>
      </w:pPr>
      <w:r w:rsidRPr="00590F0C">
        <w:rPr>
          <w:noProof/>
        </w:rPr>
        <w:drawing>
          <wp:anchor distT="0" distB="0" distL="114300" distR="114300" simplePos="0" relativeHeight="251669504" behindDoc="0" locked="0" layoutInCell="1" allowOverlap="1" wp14:anchorId="4E1B0293" wp14:editId="569B174C">
            <wp:simplePos x="0" y="0"/>
            <wp:positionH relativeFrom="margin">
              <wp:posOffset>2406650</wp:posOffset>
            </wp:positionH>
            <wp:positionV relativeFrom="paragraph">
              <wp:posOffset>117475</wp:posOffset>
            </wp:positionV>
            <wp:extent cx="3752850" cy="221615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</w:rPr>
        <w:t xml:space="preserve">La recaudación del IGV total alcanzó los S/ 3 </w:t>
      </w:r>
      <w:r w:rsidR="002344DA" w:rsidRPr="00590F0C">
        <w:rPr>
          <w:rFonts w:ascii="Arial" w:eastAsia="Arial" w:hAnsi="Arial" w:cs="Arial"/>
        </w:rPr>
        <w:t>22</w:t>
      </w:r>
      <w:r w:rsidR="00057ED3" w:rsidRPr="00590F0C">
        <w:rPr>
          <w:rFonts w:ascii="Arial" w:eastAsia="Arial" w:hAnsi="Arial" w:cs="Arial"/>
        </w:rPr>
        <w:t>5</w:t>
      </w:r>
      <w:r w:rsidR="001444E8" w:rsidRPr="00590F0C">
        <w:rPr>
          <w:rFonts w:ascii="Arial" w:eastAsia="Arial" w:hAnsi="Arial" w:cs="Arial"/>
        </w:rPr>
        <w:t xml:space="preserve"> millones</w:t>
      </w:r>
      <w:r w:rsidR="00740519" w:rsidRPr="00590F0C">
        <w:rPr>
          <w:rFonts w:ascii="Arial" w:eastAsia="Arial" w:hAnsi="Arial" w:cs="Arial"/>
        </w:rPr>
        <w:t>, importe</w:t>
      </w:r>
      <w:r w:rsidR="001444E8" w:rsidRPr="00590F0C">
        <w:rPr>
          <w:rFonts w:ascii="Arial" w:eastAsia="Arial" w:hAnsi="Arial" w:cs="Arial"/>
        </w:rPr>
        <w:t xml:space="preserve"> que representa S/ </w:t>
      </w:r>
      <w:r w:rsidR="002344DA" w:rsidRPr="00590F0C">
        <w:rPr>
          <w:rFonts w:ascii="Arial" w:eastAsia="Arial" w:hAnsi="Arial" w:cs="Arial"/>
        </w:rPr>
        <w:t>2</w:t>
      </w:r>
      <w:r w:rsidR="001444E8" w:rsidRPr="00590F0C">
        <w:rPr>
          <w:rFonts w:ascii="Arial" w:eastAsia="Arial" w:hAnsi="Arial" w:cs="Arial"/>
        </w:rPr>
        <w:t xml:space="preserve"> </w:t>
      </w:r>
      <w:r w:rsidR="002344DA" w:rsidRPr="00590F0C">
        <w:rPr>
          <w:rFonts w:ascii="Arial" w:eastAsia="Arial" w:hAnsi="Arial" w:cs="Arial"/>
        </w:rPr>
        <w:t>00</w:t>
      </w:r>
      <w:r w:rsidR="00057ED3" w:rsidRPr="00590F0C">
        <w:rPr>
          <w:rFonts w:ascii="Arial" w:eastAsia="Arial" w:hAnsi="Arial" w:cs="Arial"/>
        </w:rPr>
        <w:t>7</w:t>
      </w:r>
      <w:r w:rsidR="001444E8" w:rsidRPr="00590F0C">
        <w:rPr>
          <w:rFonts w:ascii="Arial" w:eastAsia="Arial" w:hAnsi="Arial" w:cs="Arial"/>
        </w:rPr>
        <w:t xml:space="preserve"> millones menos con respecto a lo obtenido en </w:t>
      </w:r>
      <w:r w:rsidR="002344DA" w:rsidRPr="00590F0C">
        <w:rPr>
          <w:rFonts w:ascii="Arial" w:eastAsia="Arial" w:hAnsi="Arial" w:cs="Arial"/>
        </w:rPr>
        <w:t>mayo</w:t>
      </w:r>
      <w:r w:rsidR="001444E8" w:rsidRPr="00590F0C">
        <w:rPr>
          <w:rFonts w:ascii="Arial" w:eastAsia="Arial" w:hAnsi="Arial" w:cs="Arial"/>
        </w:rPr>
        <w:t xml:space="preserve"> de</w:t>
      </w:r>
      <w:r w:rsidR="00FA6485">
        <w:rPr>
          <w:rFonts w:ascii="Arial" w:eastAsia="Arial" w:hAnsi="Arial" w:cs="Arial"/>
        </w:rPr>
        <w:t>l</w:t>
      </w:r>
      <w:r w:rsidR="001444E8" w:rsidRPr="00590F0C">
        <w:rPr>
          <w:rFonts w:ascii="Arial" w:eastAsia="Arial" w:hAnsi="Arial" w:cs="Arial"/>
        </w:rPr>
        <w:t xml:space="preserve"> 2019. </w:t>
      </w:r>
    </w:p>
    <w:p w14:paraId="2944D7F7" w14:textId="4DC92D7F" w:rsidR="008D0CA8" w:rsidRPr="00590F0C" w:rsidRDefault="008D0CA8" w:rsidP="004D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Arial" w:eastAsia="Arial" w:hAnsi="Arial" w:cs="Arial"/>
        </w:rPr>
      </w:pPr>
    </w:p>
    <w:p w14:paraId="4BAE99F4" w14:textId="4BAA5CB2" w:rsidR="00092239" w:rsidRPr="00590F0C" w:rsidRDefault="00092239" w:rsidP="004D2DC3">
      <w:pPr>
        <w:spacing w:line="240" w:lineRule="auto"/>
        <w:ind w:left="284"/>
        <w:jc w:val="both"/>
        <w:rPr>
          <w:rFonts w:ascii="Arial" w:hAnsi="Arial" w:cs="Arial"/>
          <w:kern w:val="24"/>
        </w:rPr>
      </w:pPr>
      <w:r w:rsidRPr="00590F0C">
        <w:rPr>
          <w:rFonts w:ascii="Arial" w:hAnsi="Arial" w:cs="Arial"/>
          <w:kern w:val="24"/>
          <w:lang w:val="es-ES"/>
        </w:rPr>
        <w:t>A nivel de componentes, el IGV interno registró una recaudación de S/ 1 870 millones, monto que evidencia una contracción influenciada principalmente por la mencionada postergación del pago de obligaciones para las empresas</w:t>
      </w:r>
      <w:r w:rsidR="00FA6485">
        <w:rPr>
          <w:rFonts w:ascii="Arial" w:hAnsi="Arial" w:cs="Arial"/>
          <w:kern w:val="24"/>
          <w:lang w:val="es-ES"/>
        </w:rPr>
        <w:t>,</w:t>
      </w:r>
      <w:r w:rsidRPr="00590F0C">
        <w:rPr>
          <w:rFonts w:ascii="Arial" w:hAnsi="Arial" w:cs="Arial"/>
          <w:kern w:val="24"/>
          <w:lang w:val="es-ES"/>
        </w:rPr>
        <w:t xml:space="preserve"> así como por </w:t>
      </w:r>
      <w:r w:rsidR="00740519" w:rsidRPr="00590F0C">
        <w:rPr>
          <w:rFonts w:ascii="Arial" w:hAnsi="Arial" w:cs="Arial"/>
          <w:kern w:val="24"/>
          <w:lang w:val="es-ES"/>
        </w:rPr>
        <w:t>el menor dinamismo</w:t>
      </w:r>
      <w:r w:rsidRPr="00590F0C">
        <w:rPr>
          <w:rFonts w:ascii="Arial" w:hAnsi="Arial" w:cs="Arial"/>
          <w:kern w:val="24"/>
          <w:lang w:val="es-ES"/>
        </w:rPr>
        <w:t xml:space="preserve"> de la demanda interna</w:t>
      </w:r>
      <w:r w:rsidR="00740519" w:rsidRPr="00590F0C">
        <w:rPr>
          <w:rFonts w:ascii="Arial" w:hAnsi="Arial" w:cs="Arial"/>
          <w:kern w:val="24"/>
          <w:lang w:val="es-ES"/>
        </w:rPr>
        <w:t xml:space="preserve"> durante </w:t>
      </w:r>
      <w:r w:rsidR="00FA6485">
        <w:rPr>
          <w:rFonts w:ascii="Arial" w:hAnsi="Arial" w:cs="Arial"/>
          <w:kern w:val="24"/>
          <w:lang w:val="es-ES"/>
        </w:rPr>
        <w:t>a</w:t>
      </w:r>
      <w:r w:rsidR="00740519" w:rsidRPr="00590F0C">
        <w:rPr>
          <w:rFonts w:ascii="Arial" w:hAnsi="Arial" w:cs="Arial"/>
          <w:kern w:val="24"/>
          <w:lang w:val="es-ES"/>
        </w:rPr>
        <w:t>bril</w:t>
      </w:r>
      <w:r w:rsidRPr="00590F0C">
        <w:rPr>
          <w:rFonts w:ascii="Arial" w:hAnsi="Arial" w:cs="Arial"/>
          <w:kern w:val="24"/>
          <w:lang w:val="es-ES"/>
        </w:rPr>
        <w:t>.</w:t>
      </w:r>
    </w:p>
    <w:p w14:paraId="317B5976" w14:textId="700D18E6" w:rsidR="00092239" w:rsidRPr="00590F0C" w:rsidRDefault="00092239" w:rsidP="002F51A3">
      <w:pPr>
        <w:spacing w:line="240" w:lineRule="auto"/>
        <w:ind w:left="284"/>
        <w:jc w:val="both"/>
        <w:rPr>
          <w:rFonts w:ascii="Arial" w:hAnsi="Arial" w:cs="Arial"/>
          <w:kern w:val="24"/>
          <w:szCs w:val="24"/>
        </w:rPr>
      </w:pPr>
      <w:r w:rsidRPr="00590F0C">
        <w:rPr>
          <w:rFonts w:ascii="Arial" w:hAnsi="Arial" w:cs="Arial"/>
          <w:kern w:val="24"/>
          <w:szCs w:val="24"/>
          <w:lang w:val="es-ES"/>
        </w:rPr>
        <w:t>Por su parte, el IGV importacione</w:t>
      </w:r>
      <w:r w:rsidR="00D75D58">
        <w:rPr>
          <w:rFonts w:ascii="Arial" w:hAnsi="Arial" w:cs="Arial"/>
          <w:kern w:val="24"/>
          <w:szCs w:val="24"/>
          <w:lang w:val="es-ES"/>
        </w:rPr>
        <w:t>s recaudó S/ 1 553 millones,</w:t>
      </w:r>
      <w:r w:rsidR="00D75D58" w:rsidRPr="00D75D58">
        <w:rPr>
          <w:rFonts w:ascii="Arial" w:hAnsi="Arial" w:cs="Arial"/>
          <w:color w:val="FF0000"/>
          <w:kern w:val="24"/>
          <w:szCs w:val="24"/>
          <w:lang w:val="es-ES"/>
        </w:rPr>
        <w:t xml:space="preserve"> </w:t>
      </w:r>
      <w:r w:rsidR="00D75D58" w:rsidRPr="004666BA">
        <w:rPr>
          <w:rFonts w:ascii="Arial" w:hAnsi="Arial" w:cs="Arial"/>
          <w:kern w:val="24"/>
          <w:szCs w:val="24"/>
          <w:lang w:val="es-ES"/>
        </w:rPr>
        <w:t xml:space="preserve">monto </w:t>
      </w:r>
      <w:r w:rsidRPr="004666BA">
        <w:rPr>
          <w:rFonts w:ascii="Arial" w:hAnsi="Arial" w:cs="Arial"/>
          <w:kern w:val="24"/>
          <w:szCs w:val="24"/>
          <w:lang w:val="es-ES"/>
        </w:rPr>
        <w:t>que representa una contracción asociada a las menores importaciones de mayo, tendencia observada desde febrero pasado como consecuenc</w:t>
      </w:r>
      <w:r w:rsidR="00D75D58" w:rsidRPr="004666BA">
        <w:rPr>
          <w:rFonts w:ascii="Arial" w:hAnsi="Arial" w:cs="Arial"/>
          <w:kern w:val="24"/>
          <w:szCs w:val="24"/>
          <w:lang w:val="es-ES"/>
        </w:rPr>
        <w:t>ia de la expansión del COVID-19 a nivel mundial</w:t>
      </w:r>
      <w:r w:rsidR="00D75D58" w:rsidRPr="00D75D58">
        <w:rPr>
          <w:rFonts w:ascii="Arial" w:hAnsi="Arial" w:cs="Arial"/>
          <w:color w:val="FF0000"/>
          <w:kern w:val="24"/>
          <w:szCs w:val="24"/>
          <w:lang w:val="es-ES"/>
        </w:rPr>
        <w:t>.</w:t>
      </w:r>
    </w:p>
    <w:p w14:paraId="3AAED8C6" w14:textId="6C64B557" w:rsidR="008D0CA8" w:rsidRPr="00590F0C" w:rsidRDefault="0072550E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 w:rsidRPr="00590F0C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896DE78" wp14:editId="0D76E89E">
            <wp:simplePos x="0" y="0"/>
            <wp:positionH relativeFrom="margin">
              <wp:posOffset>2933700</wp:posOffset>
            </wp:positionH>
            <wp:positionV relativeFrom="paragraph">
              <wp:posOffset>5080</wp:posOffset>
            </wp:positionV>
            <wp:extent cx="3530600" cy="2482850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EFB85" w14:textId="0022EC85" w:rsidR="008D0CA8" w:rsidRPr="00590F0C" w:rsidRDefault="001444E8" w:rsidP="002F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8"/>
        <w:jc w:val="both"/>
      </w:pPr>
      <w:r w:rsidRPr="00590F0C">
        <w:rPr>
          <w:rFonts w:ascii="Arial" w:eastAsia="Arial" w:hAnsi="Arial" w:cs="Arial"/>
        </w:rPr>
        <w:t xml:space="preserve">La recaudación por ISC </w:t>
      </w:r>
      <w:r w:rsidR="00C0638A" w:rsidRPr="00590F0C">
        <w:rPr>
          <w:rFonts w:ascii="Arial" w:eastAsia="Arial" w:hAnsi="Arial" w:cs="Arial"/>
        </w:rPr>
        <w:t>alcanzó los</w:t>
      </w:r>
      <w:r w:rsidRPr="00590F0C">
        <w:rPr>
          <w:rFonts w:ascii="Arial" w:eastAsia="Arial" w:hAnsi="Arial" w:cs="Arial"/>
        </w:rPr>
        <w:t xml:space="preserve"> S/ </w:t>
      </w:r>
      <w:r w:rsidR="001859F1" w:rsidRPr="00590F0C">
        <w:rPr>
          <w:rFonts w:ascii="Arial" w:eastAsia="Arial" w:hAnsi="Arial" w:cs="Arial"/>
        </w:rPr>
        <w:t>243</w:t>
      </w:r>
      <w:r w:rsidRPr="00590F0C">
        <w:rPr>
          <w:rFonts w:ascii="Arial" w:eastAsia="Arial" w:hAnsi="Arial" w:cs="Arial"/>
        </w:rPr>
        <w:t xml:space="preserve"> millones</w:t>
      </w:r>
      <w:r w:rsidR="00740519" w:rsidRPr="00590F0C">
        <w:rPr>
          <w:rFonts w:ascii="Arial" w:eastAsia="Arial" w:hAnsi="Arial" w:cs="Arial"/>
        </w:rPr>
        <w:t>,</w:t>
      </w:r>
      <w:r w:rsidRPr="00590F0C">
        <w:rPr>
          <w:rFonts w:ascii="Arial" w:eastAsia="Arial" w:hAnsi="Arial" w:cs="Arial"/>
        </w:rPr>
        <w:t xml:space="preserve"> lo que significó una disminución de S/ 3</w:t>
      </w:r>
      <w:r w:rsidR="001859F1" w:rsidRPr="00590F0C">
        <w:rPr>
          <w:rFonts w:ascii="Arial" w:eastAsia="Arial" w:hAnsi="Arial" w:cs="Arial"/>
        </w:rPr>
        <w:t>79</w:t>
      </w:r>
      <w:r w:rsidRPr="00590F0C">
        <w:rPr>
          <w:rFonts w:ascii="Arial" w:eastAsia="Arial" w:hAnsi="Arial" w:cs="Arial"/>
        </w:rPr>
        <w:t xml:space="preserve"> millones respecto de </w:t>
      </w:r>
      <w:r w:rsidR="001859F1" w:rsidRPr="00590F0C">
        <w:rPr>
          <w:rFonts w:ascii="Arial" w:eastAsia="Arial" w:hAnsi="Arial" w:cs="Arial"/>
        </w:rPr>
        <w:t>mayo</w:t>
      </w:r>
      <w:r w:rsidRPr="00590F0C">
        <w:rPr>
          <w:rFonts w:ascii="Arial" w:eastAsia="Arial" w:hAnsi="Arial" w:cs="Arial"/>
        </w:rPr>
        <w:t xml:space="preserve"> del 2019.</w:t>
      </w:r>
      <w:r w:rsidR="0072550E" w:rsidRPr="00590F0C">
        <w:rPr>
          <w:noProof/>
        </w:rPr>
        <w:t xml:space="preserve"> </w:t>
      </w:r>
    </w:p>
    <w:p w14:paraId="19C4041F" w14:textId="77777777" w:rsidR="008D0CA8" w:rsidRPr="00590F0C" w:rsidRDefault="001444E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Arial" w:eastAsia="Arial" w:hAnsi="Arial" w:cs="Arial"/>
        </w:rPr>
      </w:pPr>
      <w:r w:rsidRPr="00590F0C">
        <w:rPr>
          <w:rFonts w:ascii="Arial" w:eastAsia="Arial" w:hAnsi="Arial" w:cs="Arial"/>
        </w:rPr>
        <w:t xml:space="preserve"> </w:t>
      </w:r>
    </w:p>
    <w:p w14:paraId="40A9CF37" w14:textId="279556F4" w:rsidR="00C0638A" w:rsidRPr="00590F0C" w:rsidRDefault="00C0638A" w:rsidP="002F51A3">
      <w:pPr>
        <w:spacing w:line="240" w:lineRule="auto"/>
        <w:ind w:left="284"/>
        <w:jc w:val="both"/>
        <w:rPr>
          <w:rFonts w:ascii="Arial" w:eastAsia="Times New Roman" w:hAnsi="Arial" w:cs="Arial"/>
        </w:rPr>
      </w:pPr>
      <w:r w:rsidRPr="00590F0C">
        <w:rPr>
          <w:rFonts w:ascii="Arial" w:eastAsia="Times New Roman" w:hAnsi="Arial" w:cs="Arial"/>
        </w:rPr>
        <w:t>La recaudación del ISC interno ascendió a S/ 79 millones, rep</w:t>
      </w:r>
      <w:r w:rsidR="000E7DC6">
        <w:rPr>
          <w:rFonts w:ascii="Arial" w:eastAsia="Times New Roman" w:hAnsi="Arial" w:cs="Arial"/>
        </w:rPr>
        <w:t xml:space="preserve">resentando una disminución que </w:t>
      </w:r>
      <w:r w:rsidR="000E7DC6" w:rsidRPr="004666BA">
        <w:rPr>
          <w:rFonts w:ascii="Arial" w:eastAsia="Times New Roman" w:hAnsi="Arial" w:cs="Arial"/>
        </w:rPr>
        <w:t>refleja, básicamente, la reducción de la</w:t>
      </w:r>
      <w:r w:rsidRPr="00590F0C">
        <w:rPr>
          <w:rFonts w:ascii="Arial" w:eastAsia="Times New Roman" w:hAnsi="Arial" w:cs="Arial"/>
        </w:rPr>
        <w:t xml:space="preserve"> demanda interna y la menor producción del sector cervecero.</w:t>
      </w:r>
    </w:p>
    <w:p w14:paraId="7297B25D" w14:textId="77777777" w:rsidR="008D0CA8" w:rsidRPr="00590F0C" w:rsidRDefault="008D0CA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Arial" w:eastAsia="Arial" w:hAnsi="Arial" w:cs="Arial"/>
        </w:rPr>
      </w:pPr>
    </w:p>
    <w:p w14:paraId="221482B7" w14:textId="78D43BB1" w:rsidR="00092239" w:rsidRPr="00590F0C" w:rsidRDefault="00092239" w:rsidP="002F51A3">
      <w:pPr>
        <w:pStyle w:val="Prrafodelista"/>
        <w:spacing w:line="240" w:lineRule="auto"/>
        <w:ind w:left="284"/>
        <w:jc w:val="both"/>
        <w:rPr>
          <w:rFonts w:ascii="Arial" w:eastAsia="Times New Roman" w:hAnsi="Arial" w:cs="Arial"/>
        </w:rPr>
      </w:pPr>
      <w:r w:rsidRPr="00590F0C">
        <w:rPr>
          <w:rFonts w:ascii="Arial" w:eastAsia="Times New Roman" w:hAnsi="Arial" w:cs="Arial"/>
          <w:noProof/>
        </w:rPr>
        <w:t xml:space="preserve">Por su parte, la recaudación del ISC importado </w:t>
      </w:r>
      <w:r w:rsidR="00FA6485">
        <w:rPr>
          <w:rFonts w:ascii="Arial" w:eastAsia="Times New Roman" w:hAnsi="Arial" w:cs="Arial"/>
          <w:noProof/>
        </w:rPr>
        <w:t>tuvo</w:t>
      </w:r>
      <w:r w:rsidRPr="00590F0C">
        <w:rPr>
          <w:rFonts w:ascii="Arial" w:eastAsia="Times New Roman" w:hAnsi="Arial" w:cs="Arial"/>
          <w:noProof/>
        </w:rPr>
        <w:t xml:space="preserve"> una disminución de S/ 164 millones, asociada al menor flujo de importaciones gravadas, sobretodo las correspondientes a combustibles.</w:t>
      </w:r>
    </w:p>
    <w:p w14:paraId="74433EE4" w14:textId="159C3524" w:rsidR="0072550E" w:rsidRPr="00590F0C" w:rsidRDefault="00FA6485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590F0C">
        <w:rPr>
          <w:rFonts w:eastAsia="Times New Roman"/>
          <w:noProof/>
        </w:rPr>
        <w:drawing>
          <wp:anchor distT="0" distB="0" distL="114300" distR="114300" simplePos="0" relativeHeight="251673600" behindDoc="0" locked="0" layoutInCell="1" allowOverlap="1" wp14:anchorId="4684CCCA" wp14:editId="3CBB76F7">
            <wp:simplePos x="0" y="0"/>
            <wp:positionH relativeFrom="column">
              <wp:posOffset>3009900</wp:posOffset>
            </wp:positionH>
            <wp:positionV relativeFrom="paragraph">
              <wp:posOffset>149860</wp:posOffset>
            </wp:positionV>
            <wp:extent cx="3486150" cy="2637155"/>
            <wp:effectExtent l="0" t="0" r="0" b="0"/>
            <wp:wrapSquare wrapText="bothSides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3B944" w14:textId="4FED829F" w:rsidR="008D0CA8" w:rsidRPr="00590F0C" w:rsidRDefault="001444E8" w:rsidP="002F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8"/>
        <w:jc w:val="both"/>
      </w:pPr>
      <w:r w:rsidRPr="00590F0C">
        <w:rPr>
          <w:rFonts w:ascii="Arial" w:eastAsia="Arial" w:hAnsi="Arial" w:cs="Arial"/>
        </w:rPr>
        <w:t xml:space="preserve">El rubro de </w:t>
      </w:r>
      <w:r w:rsidR="000E7DC6">
        <w:rPr>
          <w:rFonts w:ascii="Arial" w:eastAsia="Arial" w:hAnsi="Arial" w:cs="Arial"/>
        </w:rPr>
        <w:t>“</w:t>
      </w:r>
      <w:r w:rsidRPr="00590F0C">
        <w:rPr>
          <w:rFonts w:ascii="Arial" w:eastAsia="Arial" w:hAnsi="Arial" w:cs="Arial"/>
        </w:rPr>
        <w:t>Otros Ingresos</w:t>
      </w:r>
      <w:r w:rsidR="000E7DC6">
        <w:rPr>
          <w:rFonts w:ascii="Arial" w:eastAsia="Arial" w:hAnsi="Arial" w:cs="Arial"/>
        </w:rPr>
        <w:t xml:space="preserve">” registró una contracción </w:t>
      </w:r>
      <w:r w:rsidR="000E7DC6" w:rsidRPr="004666BA">
        <w:rPr>
          <w:rFonts w:ascii="Arial" w:eastAsia="Arial" w:hAnsi="Arial" w:cs="Arial"/>
        </w:rPr>
        <w:t>que se explica principalmente</w:t>
      </w:r>
      <w:r w:rsidRPr="004666BA">
        <w:rPr>
          <w:rFonts w:ascii="Arial" w:eastAsia="Arial" w:hAnsi="Arial" w:cs="Arial"/>
        </w:rPr>
        <w:t xml:space="preserve"> </w:t>
      </w:r>
      <w:r w:rsidR="00FE512F" w:rsidRPr="00590F0C">
        <w:rPr>
          <w:rFonts w:ascii="Arial" w:eastAsia="Arial" w:hAnsi="Arial" w:cs="Arial"/>
        </w:rPr>
        <w:t>por</w:t>
      </w:r>
      <w:r w:rsidRPr="00590F0C">
        <w:rPr>
          <w:rFonts w:ascii="Arial" w:eastAsia="Arial" w:hAnsi="Arial" w:cs="Arial"/>
        </w:rPr>
        <w:t xml:space="preserve"> los menores pagos de fraccionamientos, multas</w:t>
      </w:r>
      <w:r w:rsidR="002254C4" w:rsidRPr="00590F0C">
        <w:rPr>
          <w:rFonts w:ascii="Arial" w:eastAsia="Arial" w:hAnsi="Arial" w:cs="Arial"/>
        </w:rPr>
        <w:t xml:space="preserve">, </w:t>
      </w:r>
      <w:r w:rsidRPr="00590F0C">
        <w:rPr>
          <w:rFonts w:ascii="Arial" w:eastAsia="Arial" w:hAnsi="Arial" w:cs="Arial"/>
        </w:rPr>
        <w:t>ITAN</w:t>
      </w:r>
      <w:r w:rsidR="00C0638A" w:rsidRPr="00590F0C">
        <w:rPr>
          <w:rFonts w:ascii="Arial" w:eastAsia="Arial" w:hAnsi="Arial" w:cs="Arial"/>
        </w:rPr>
        <w:t xml:space="preserve"> e ingresos como recaudación</w:t>
      </w:r>
      <w:r w:rsidRPr="00590F0C">
        <w:rPr>
          <w:rFonts w:ascii="Arial" w:eastAsia="Arial" w:hAnsi="Arial" w:cs="Arial"/>
        </w:rPr>
        <w:t>.</w:t>
      </w:r>
      <w:r w:rsidR="0072550E" w:rsidRPr="00590F0C">
        <w:rPr>
          <w:rFonts w:eastAsia="Times New Roman"/>
          <w:noProof/>
        </w:rPr>
        <w:t xml:space="preserve"> </w:t>
      </w:r>
    </w:p>
    <w:p w14:paraId="33973BB9" w14:textId="4875211F" w:rsidR="008D0CA8" w:rsidRPr="00590F0C" w:rsidRDefault="008D0CA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Arial" w:eastAsia="Arial" w:hAnsi="Arial" w:cs="Arial"/>
        </w:rPr>
      </w:pPr>
    </w:p>
    <w:p w14:paraId="76401A70" w14:textId="7A99A739" w:rsidR="00C0638A" w:rsidRPr="00590F0C" w:rsidRDefault="00C0638A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590F0C">
        <w:rPr>
          <w:rFonts w:ascii="Arial" w:eastAsia="Arial" w:hAnsi="Arial" w:cs="Arial"/>
        </w:rPr>
        <w:t xml:space="preserve">La </w:t>
      </w:r>
      <w:r w:rsidR="001444E8" w:rsidRPr="00590F0C">
        <w:rPr>
          <w:rFonts w:ascii="Arial" w:eastAsia="Arial" w:hAnsi="Arial" w:cs="Arial"/>
        </w:rPr>
        <w:t xml:space="preserve">contracción de los pagos por fraccionamientos se debe a la </w:t>
      </w:r>
      <w:r w:rsidR="000E7DC6">
        <w:rPr>
          <w:rFonts w:ascii="Arial" w:eastAsia="Arial" w:hAnsi="Arial" w:cs="Arial"/>
        </w:rPr>
        <w:t xml:space="preserve">flexibilización </w:t>
      </w:r>
      <w:r w:rsidR="000E7DC6" w:rsidRPr="004666BA">
        <w:rPr>
          <w:rFonts w:ascii="Arial" w:eastAsia="Arial" w:hAnsi="Arial" w:cs="Arial"/>
        </w:rPr>
        <w:t>dispuesta por</w:t>
      </w:r>
      <w:r w:rsidR="001444E8" w:rsidRPr="004666BA">
        <w:rPr>
          <w:rFonts w:ascii="Arial" w:eastAsia="Arial" w:hAnsi="Arial" w:cs="Arial"/>
        </w:rPr>
        <w:t xml:space="preserve"> </w:t>
      </w:r>
      <w:r w:rsidR="001444E8" w:rsidRPr="00590F0C">
        <w:rPr>
          <w:rFonts w:ascii="Arial" w:eastAsia="Arial" w:hAnsi="Arial" w:cs="Arial"/>
        </w:rPr>
        <w:t>la Resolución de Superintendencia N°065-2020/SUNAT</w:t>
      </w:r>
      <w:r w:rsidRPr="00590F0C">
        <w:rPr>
          <w:rFonts w:ascii="Arial" w:eastAsia="Arial" w:hAnsi="Arial" w:cs="Arial"/>
        </w:rPr>
        <w:t xml:space="preserve">. </w:t>
      </w:r>
    </w:p>
    <w:p w14:paraId="72B588E2" w14:textId="77777777" w:rsidR="00C0638A" w:rsidRPr="00590F0C" w:rsidRDefault="00C0638A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14:paraId="7EE44BEC" w14:textId="2C64A774" w:rsidR="00C0638A" w:rsidRPr="00590F0C" w:rsidRDefault="00C0638A" w:rsidP="002F51A3">
      <w:pPr>
        <w:pStyle w:val="Prrafodelista"/>
        <w:spacing w:line="240" w:lineRule="auto"/>
        <w:ind w:left="284"/>
        <w:jc w:val="both"/>
        <w:rPr>
          <w:rFonts w:ascii="Arial" w:eastAsia="Times New Roman" w:hAnsi="Arial" w:cs="Arial"/>
        </w:rPr>
      </w:pPr>
      <w:r w:rsidRPr="00590F0C">
        <w:rPr>
          <w:rFonts w:ascii="Arial" w:eastAsia="Times New Roman" w:hAnsi="Arial" w:cs="Arial"/>
        </w:rPr>
        <w:t xml:space="preserve">Por su parte, la menor recaudación proveniente de multas está relacionada con la emisión de la Resolución de Superintendencia </w:t>
      </w:r>
      <w:proofErr w:type="spellStart"/>
      <w:r w:rsidRPr="00590F0C">
        <w:rPr>
          <w:rFonts w:ascii="Arial" w:eastAsia="Times New Roman" w:hAnsi="Arial" w:cs="Arial"/>
        </w:rPr>
        <w:t>N°</w:t>
      </w:r>
      <w:proofErr w:type="spellEnd"/>
      <w:r w:rsidRPr="00590F0C">
        <w:rPr>
          <w:rFonts w:ascii="Arial" w:eastAsia="Times New Roman" w:hAnsi="Arial" w:cs="Arial"/>
        </w:rPr>
        <w:t xml:space="preserve"> 008-2020/SUNAT, mediante la cual se ejercen facultades discrecionales respecto de la aplicación de sanciones, como parte del conjunto de medidas de alivio a</w:t>
      </w:r>
      <w:r w:rsidR="000E7DC6">
        <w:rPr>
          <w:rFonts w:ascii="Arial" w:eastAsia="Times New Roman" w:hAnsi="Arial" w:cs="Arial"/>
        </w:rPr>
        <w:t xml:space="preserve"> los contribuyentes</w:t>
      </w:r>
      <w:r w:rsidR="004666BA">
        <w:rPr>
          <w:rFonts w:ascii="Arial" w:eastAsia="Times New Roman" w:hAnsi="Arial" w:cs="Arial"/>
        </w:rPr>
        <w:t>,</w:t>
      </w:r>
      <w:r w:rsidR="000E7DC6">
        <w:rPr>
          <w:rFonts w:ascii="Arial" w:eastAsia="Times New Roman" w:hAnsi="Arial" w:cs="Arial"/>
        </w:rPr>
        <w:t xml:space="preserve"> </w:t>
      </w:r>
      <w:r w:rsidR="000E7DC6" w:rsidRPr="004666BA">
        <w:rPr>
          <w:rFonts w:ascii="Arial" w:eastAsia="Times New Roman" w:hAnsi="Arial" w:cs="Arial"/>
        </w:rPr>
        <w:t>adoptadas por</w:t>
      </w:r>
      <w:r w:rsidRPr="004666BA">
        <w:rPr>
          <w:rFonts w:ascii="Arial" w:eastAsia="Times New Roman" w:hAnsi="Arial" w:cs="Arial"/>
        </w:rPr>
        <w:t xml:space="preserve"> </w:t>
      </w:r>
      <w:r w:rsidRPr="00590F0C">
        <w:rPr>
          <w:rFonts w:ascii="Arial" w:eastAsia="Times New Roman" w:hAnsi="Arial" w:cs="Arial"/>
        </w:rPr>
        <w:t>la SUNAT.</w:t>
      </w:r>
    </w:p>
    <w:p w14:paraId="5B3B4D28" w14:textId="579FC9CB" w:rsidR="00FE512F" w:rsidRPr="00590F0C" w:rsidRDefault="001444E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590F0C">
        <w:rPr>
          <w:rFonts w:ascii="Arial" w:eastAsia="Arial" w:hAnsi="Arial" w:cs="Arial"/>
        </w:rPr>
        <w:t>En el caso del ITAN, la menor recaudación reflej</w:t>
      </w:r>
      <w:r w:rsidR="00FE512F" w:rsidRPr="00590F0C">
        <w:rPr>
          <w:rFonts w:ascii="Arial" w:eastAsia="Arial" w:hAnsi="Arial" w:cs="Arial"/>
        </w:rPr>
        <w:t>ó</w:t>
      </w:r>
      <w:r w:rsidR="00B15C22" w:rsidRPr="00590F0C">
        <w:rPr>
          <w:rFonts w:ascii="Arial" w:eastAsia="Arial" w:hAnsi="Arial" w:cs="Arial"/>
        </w:rPr>
        <w:t xml:space="preserve"> </w:t>
      </w:r>
      <w:r w:rsidR="00014A61" w:rsidRPr="00590F0C">
        <w:rPr>
          <w:rFonts w:ascii="Arial" w:eastAsia="Arial" w:hAnsi="Arial" w:cs="Arial"/>
        </w:rPr>
        <w:t>l</w:t>
      </w:r>
      <w:r w:rsidRPr="00590F0C">
        <w:rPr>
          <w:rFonts w:ascii="Arial" w:eastAsia="Arial" w:hAnsi="Arial" w:cs="Arial"/>
        </w:rPr>
        <w:t>a postergación de</w:t>
      </w:r>
      <w:r w:rsidR="00FE512F" w:rsidRPr="00590F0C">
        <w:rPr>
          <w:rFonts w:ascii="Arial" w:eastAsia="Arial" w:hAnsi="Arial" w:cs="Arial"/>
        </w:rPr>
        <w:t>l pago de obligaciones en favor de</w:t>
      </w:r>
      <w:r w:rsidR="00B15C22" w:rsidRPr="00590F0C">
        <w:rPr>
          <w:rFonts w:ascii="Arial" w:eastAsia="Arial" w:hAnsi="Arial" w:cs="Arial"/>
        </w:rPr>
        <w:t xml:space="preserve"> un segmento de</w:t>
      </w:r>
      <w:r w:rsidR="00FE512F" w:rsidRPr="00590F0C">
        <w:rPr>
          <w:rFonts w:ascii="Arial" w:eastAsia="Arial" w:hAnsi="Arial" w:cs="Arial"/>
        </w:rPr>
        <w:t xml:space="preserve"> los contribuyentes.</w:t>
      </w:r>
    </w:p>
    <w:p w14:paraId="5654D5BB" w14:textId="39570A84" w:rsidR="008D0CA8" w:rsidRPr="00590F0C" w:rsidRDefault="008D0CA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14:paraId="0F983B28" w14:textId="3F66525B" w:rsidR="008D0CA8" w:rsidRPr="00590F0C" w:rsidRDefault="008D0CA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8" w:hanging="720"/>
        <w:jc w:val="both"/>
        <w:rPr>
          <w:rFonts w:ascii="Arial" w:eastAsia="Arial" w:hAnsi="Arial" w:cs="Arial"/>
        </w:rPr>
      </w:pPr>
    </w:p>
    <w:p w14:paraId="24C1A253" w14:textId="77777777" w:rsidR="002F62AF" w:rsidRPr="002F62AF" w:rsidRDefault="002F62AF" w:rsidP="002F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8"/>
        <w:jc w:val="both"/>
      </w:pPr>
    </w:p>
    <w:p w14:paraId="60651544" w14:textId="77777777" w:rsidR="002F62AF" w:rsidRPr="002F62AF" w:rsidRDefault="002F62AF" w:rsidP="002F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8"/>
        <w:jc w:val="both"/>
      </w:pPr>
    </w:p>
    <w:p w14:paraId="5E22274D" w14:textId="337D1395" w:rsidR="008D0CA8" w:rsidRPr="00590F0C" w:rsidRDefault="0072550E" w:rsidP="002F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8"/>
        <w:jc w:val="both"/>
      </w:pPr>
      <w:r w:rsidRPr="004666BA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37DC516" wp14:editId="3E4F5F51">
            <wp:simplePos x="0" y="0"/>
            <wp:positionH relativeFrom="margin">
              <wp:posOffset>3175000</wp:posOffset>
            </wp:positionH>
            <wp:positionV relativeFrom="paragraph">
              <wp:posOffset>0</wp:posOffset>
            </wp:positionV>
            <wp:extent cx="3441700" cy="2543810"/>
            <wp:effectExtent l="0" t="0" r="6350" b="889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DC6" w:rsidRPr="004666BA">
        <w:rPr>
          <w:rFonts w:ascii="Arial" w:eastAsia="Arial" w:hAnsi="Arial" w:cs="Arial"/>
        </w:rPr>
        <w:t xml:space="preserve">En relación </w:t>
      </w:r>
      <w:r w:rsidR="004666BA">
        <w:rPr>
          <w:rFonts w:ascii="Arial" w:eastAsia="Arial" w:hAnsi="Arial" w:cs="Arial"/>
        </w:rPr>
        <w:t>con</w:t>
      </w:r>
      <w:r w:rsidR="001444E8" w:rsidRPr="004666BA">
        <w:rPr>
          <w:rFonts w:ascii="Arial" w:eastAsia="Arial" w:hAnsi="Arial" w:cs="Arial"/>
        </w:rPr>
        <w:t xml:space="preserve"> las devoluciones de impuestos </w:t>
      </w:r>
      <w:r w:rsidR="000E7DC6" w:rsidRPr="004666BA">
        <w:rPr>
          <w:rFonts w:ascii="Arial" w:eastAsia="Arial" w:hAnsi="Arial" w:cs="Arial"/>
        </w:rPr>
        <w:t xml:space="preserve">estos </w:t>
      </w:r>
      <w:r w:rsidR="001444E8" w:rsidRPr="004666BA">
        <w:rPr>
          <w:rFonts w:ascii="Arial" w:eastAsia="Arial" w:hAnsi="Arial" w:cs="Arial"/>
        </w:rPr>
        <w:t xml:space="preserve">ascendieron </w:t>
      </w:r>
      <w:r w:rsidR="001444E8" w:rsidRPr="00590F0C">
        <w:rPr>
          <w:rFonts w:ascii="Arial" w:eastAsia="Arial" w:hAnsi="Arial" w:cs="Arial"/>
        </w:rPr>
        <w:t xml:space="preserve">a S/ 1 </w:t>
      </w:r>
      <w:r w:rsidR="00AF7B25" w:rsidRPr="00590F0C">
        <w:rPr>
          <w:rFonts w:ascii="Arial" w:eastAsia="Arial" w:hAnsi="Arial" w:cs="Arial"/>
        </w:rPr>
        <w:t>057</w:t>
      </w:r>
      <w:r w:rsidR="001444E8" w:rsidRPr="00590F0C">
        <w:rPr>
          <w:rFonts w:ascii="Arial" w:eastAsia="Arial" w:hAnsi="Arial" w:cs="Arial"/>
        </w:rPr>
        <w:t xml:space="preserve"> millones, importe que representó S/ </w:t>
      </w:r>
      <w:r w:rsidR="00AF7B25" w:rsidRPr="00590F0C">
        <w:rPr>
          <w:rFonts w:ascii="Arial" w:eastAsia="Arial" w:hAnsi="Arial" w:cs="Arial"/>
        </w:rPr>
        <w:t>356</w:t>
      </w:r>
      <w:r w:rsidR="001444E8" w:rsidRPr="00590F0C">
        <w:rPr>
          <w:rFonts w:ascii="Arial" w:eastAsia="Arial" w:hAnsi="Arial" w:cs="Arial"/>
        </w:rPr>
        <w:t xml:space="preserve"> millones menos que en el </w:t>
      </w:r>
      <w:r w:rsidR="00BC68D1" w:rsidRPr="00590F0C">
        <w:rPr>
          <w:rFonts w:ascii="Arial" w:eastAsia="Arial" w:hAnsi="Arial" w:cs="Arial"/>
        </w:rPr>
        <w:t>mismo mes de</w:t>
      </w:r>
      <w:r w:rsidR="00FA6485">
        <w:rPr>
          <w:rFonts w:ascii="Arial" w:eastAsia="Arial" w:hAnsi="Arial" w:cs="Arial"/>
        </w:rPr>
        <w:t>l</w:t>
      </w:r>
      <w:r w:rsidR="00BC68D1" w:rsidRPr="00590F0C">
        <w:rPr>
          <w:rFonts w:ascii="Arial" w:eastAsia="Arial" w:hAnsi="Arial" w:cs="Arial"/>
        </w:rPr>
        <w:t xml:space="preserve"> </w:t>
      </w:r>
      <w:r w:rsidR="001444E8" w:rsidRPr="00590F0C">
        <w:rPr>
          <w:rFonts w:ascii="Arial" w:eastAsia="Arial" w:hAnsi="Arial" w:cs="Arial"/>
        </w:rPr>
        <w:t>2019</w:t>
      </w:r>
      <w:r w:rsidR="00FE512F" w:rsidRPr="00590F0C">
        <w:rPr>
          <w:rFonts w:ascii="Arial" w:eastAsia="Arial" w:hAnsi="Arial" w:cs="Arial"/>
        </w:rPr>
        <w:t>.</w:t>
      </w:r>
    </w:p>
    <w:p w14:paraId="5F4A9089" w14:textId="7A1C7EC9" w:rsidR="008D0CA8" w:rsidRPr="00590F0C" w:rsidRDefault="001444E8" w:rsidP="002F51A3">
      <w:pPr>
        <w:spacing w:line="240" w:lineRule="auto"/>
        <w:ind w:left="66"/>
        <w:jc w:val="both"/>
        <w:rPr>
          <w:rFonts w:ascii="Arial" w:eastAsia="Arial" w:hAnsi="Arial" w:cs="Arial"/>
        </w:rPr>
      </w:pPr>
      <w:r w:rsidRPr="00590F0C">
        <w:t xml:space="preserve"> </w:t>
      </w:r>
    </w:p>
    <w:p w14:paraId="4A97B042" w14:textId="77777777" w:rsidR="008D0CA8" w:rsidRPr="00590F0C" w:rsidRDefault="008D0CA8" w:rsidP="002F51A3">
      <w:pPr>
        <w:spacing w:line="240" w:lineRule="auto"/>
        <w:jc w:val="both"/>
        <w:rPr>
          <w:rFonts w:ascii="Arial" w:eastAsia="Arial" w:hAnsi="Arial" w:cs="Arial"/>
        </w:rPr>
      </w:pPr>
    </w:p>
    <w:p w14:paraId="3851C1AC" w14:textId="77777777" w:rsidR="008D0CA8" w:rsidRPr="00590F0C" w:rsidRDefault="008D0CA8" w:rsidP="002F51A3">
      <w:pPr>
        <w:spacing w:line="240" w:lineRule="auto"/>
        <w:rPr>
          <w:rFonts w:ascii="Arial" w:eastAsia="Arial" w:hAnsi="Arial" w:cs="Arial"/>
        </w:rPr>
      </w:pPr>
    </w:p>
    <w:p w14:paraId="337FBA54" w14:textId="77777777" w:rsidR="008D0CA8" w:rsidRPr="00590F0C" w:rsidRDefault="008D0CA8" w:rsidP="002F51A3">
      <w:pPr>
        <w:spacing w:line="240" w:lineRule="auto"/>
        <w:rPr>
          <w:rFonts w:ascii="Arial" w:eastAsia="Arial" w:hAnsi="Arial" w:cs="Arial"/>
        </w:rPr>
      </w:pPr>
    </w:p>
    <w:p w14:paraId="461BEFFF" w14:textId="77777777" w:rsidR="008D0CA8" w:rsidRPr="00590F0C" w:rsidRDefault="008D0CA8" w:rsidP="002F51A3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8D2EE6B" w14:textId="71D18753" w:rsidR="00C0638A" w:rsidRPr="00590F0C" w:rsidRDefault="00C0638A" w:rsidP="002F51A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590F0C">
        <w:rPr>
          <w:rFonts w:ascii="Arial" w:eastAsia="Arial" w:hAnsi="Arial" w:cs="Arial"/>
          <w:sz w:val="24"/>
          <w:szCs w:val="24"/>
        </w:rPr>
        <w:br w:type="page"/>
      </w:r>
    </w:p>
    <w:p w14:paraId="2975F5B6" w14:textId="5F1A9152" w:rsidR="008D0CA8" w:rsidRPr="00590F0C" w:rsidRDefault="001444E8" w:rsidP="002F51A3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90F0C"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14:paraId="2D601B30" w14:textId="77777777" w:rsidR="008D0CA8" w:rsidRPr="00590F0C" w:rsidRDefault="001444E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590F0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               Recaudación por Tributo</w:t>
      </w:r>
    </w:p>
    <w:p w14:paraId="5AFFD2A2" w14:textId="77777777" w:rsidR="008D0CA8" w:rsidRPr="00590F0C" w:rsidRDefault="001444E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590F0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                (En millones de soles variación% real)</w:t>
      </w:r>
    </w:p>
    <w:p w14:paraId="234074A8" w14:textId="77777777" w:rsidR="008D0CA8" w:rsidRPr="00590F0C" w:rsidRDefault="008D0CA8" w:rsidP="002F5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AC828C5" w14:textId="084BF8FB" w:rsidR="008D0CA8" w:rsidRPr="00590F0C" w:rsidRDefault="00AF7B25" w:rsidP="002F51A3">
      <w:pPr>
        <w:spacing w:line="240" w:lineRule="auto"/>
        <w:jc w:val="center"/>
        <w:rPr>
          <w:rFonts w:ascii="Arial" w:eastAsia="Arial" w:hAnsi="Arial" w:cs="Arial"/>
          <w:b/>
        </w:rPr>
      </w:pPr>
      <w:r w:rsidRPr="00590F0C">
        <w:rPr>
          <w:noProof/>
        </w:rPr>
        <w:drawing>
          <wp:inline distT="0" distB="0" distL="0" distR="0" wp14:anchorId="04F0E075" wp14:editId="2721DCD3">
            <wp:extent cx="6350635" cy="47320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902" cy="47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736D" w14:textId="0BBD82C2" w:rsidR="00046342" w:rsidRDefault="00046342" w:rsidP="002F51A3">
      <w:pPr>
        <w:spacing w:after="0" w:line="240" w:lineRule="auto"/>
        <w:rPr>
          <w:rFonts w:ascii="Arial" w:eastAsia="Arial" w:hAnsi="Arial" w:cs="Arial"/>
          <w:b/>
        </w:rPr>
      </w:pPr>
    </w:p>
    <w:p w14:paraId="004DF5B1" w14:textId="77777777" w:rsidR="002F62AF" w:rsidRDefault="002F62AF" w:rsidP="002F51A3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1C51D7F4" w:rsidR="006116BC" w:rsidRPr="00590F0C" w:rsidRDefault="001444E8" w:rsidP="002F51A3">
      <w:pPr>
        <w:spacing w:after="0" w:line="240" w:lineRule="auto"/>
        <w:rPr>
          <w:rFonts w:ascii="Arial" w:eastAsia="Arial" w:hAnsi="Arial" w:cs="Arial"/>
          <w:b/>
        </w:rPr>
      </w:pPr>
      <w:r w:rsidRPr="00590F0C">
        <w:rPr>
          <w:rFonts w:ascii="Arial" w:eastAsia="Arial" w:hAnsi="Arial" w:cs="Arial"/>
          <w:b/>
        </w:rPr>
        <w:t>Gerencia de Comunicaciones e Imagen Institucional</w:t>
      </w:r>
    </w:p>
    <w:p w14:paraId="0B0E4419" w14:textId="37824256" w:rsidR="008D0CA8" w:rsidRDefault="001444E8" w:rsidP="002F51A3">
      <w:pPr>
        <w:spacing w:after="0" w:line="240" w:lineRule="auto"/>
        <w:rPr>
          <w:rFonts w:ascii="Arial" w:eastAsia="Arial" w:hAnsi="Arial" w:cs="Arial"/>
          <w:b/>
        </w:rPr>
      </w:pPr>
      <w:r w:rsidRPr="00590F0C">
        <w:rPr>
          <w:rFonts w:ascii="Arial" w:eastAsia="Arial" w:hAnsi="Arial" w:cs="Arial"/>
        </w:rPr>
        <w:t xml:space="preserve">Lima, </w:t>
      </w:r>
      <w:r w:rsidR="002F62AF">
        <w:rPr>
          <w:rFonts w:ascii="Arial" w:eastAsia="Arial" w:hAnsi="Arial" w:cs="Arial"/>
        </w:rPr>
        <w:t>sábado</w:t>
      </w:r>
      <w:r w:rsidR="00046342">
        <w:rPr>
          <w:rFonts w:ascii="Arial" w:eastAsia="Arial" w:hAnsi="Arial" w:cs="Arial"/>
        </w:rPr>
        <w:t xml:space="preserve"> 1</w:t>
      </w:r>
      <w:r w:rsidR="002F62AF">
        <w:rPr>
          <w:rFonts w:ascii="Arial" w:eastAsia="Arial" w:hAnsi="Arial" w:cs="Arial"/>
        </w:rPr>
        <w:t>3</w:t>
      </w:r>
      <w:r w:rsidR="006116BC" w:rsidRPr="00590F0C">
        <w:rPr>
          <w:rFonts w:ascii="Arial" w:eastAsia="Arial" w:hAnsi="Arial" w:cs="Arial"/>
        </w:rPr>
        <w:t xml:space="preserve"> d</w:t>
      </w:r>
      <w:r w:rsidRPr="00590F0C">
        <w:rPr>
          <w:rFonts w:ascii="Arial" w:eastAsia="Arial" w:hAnsi="Arial" w:cs="Arial"/>
        </w:rPr>
        <w:t xml:space="preserve">e </w:t>
      </w:r>
      <w:r w:rsidR="00C51508" w:rsidRPr="00590F0C">
        <w:rPr>
          <w:rFonts w:ascii="Arial" w:eastAsia="Arial" w:hAnsi="Arial" w:cs="Arial"/>
        </w:rPr>
        <w:t>junio</w:t>
      </w:r>
      <w:r w:rsidRPr="00590F0C">
        <w:rPr>
          <w:rFonts w:ascii="Arial" w:eastAsia="Arial" w:hAnsi="Arial" w:cs="Arial"/>
        </w:rPr>
        <w:t xml:space="preserve"> de 2020.</w:t>
      </w:r>
    </w:p>
    <w:sectPr w:rsidR="008D0CA8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B5269" w14:textId="77777777" w:rsidR="003754B9" w:rsidRDefault="003754B9">
      <w:pPr>
        <w:spacing w:after="0" w:line="240" w:lineRule="auto"/>
      </w:pPr>
      <w:r>
        <w:separator/>
      </w:r>
    </w:p>
  </w:endnote>
  <w:endnote w:type="continuationSeparator" w:id="0">
    <w:p w14:paraId="152E9288" w14:textId="77777777" w:rsidR="003754B9" w:rsidRDefault="0037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@</w:t>
    </w:r>
    <w:proofErr w:type="spellStart"/>
    <w:r>
      <w:rPr>
        <w:rFonts w:ascii="Antique Olive Roman" w:eastAsia="Antique Olive Roman" w:hAnsi="Antique Olive Roman" w:cs="Antique Olive Roman"/>
        <w:b/>
        <w:color w:val="000000"/>
      </w:rPr>
      <w:t>SUNATPrensa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47A7" w14:textId="77777777" w:rsidR="003754B9" w:rsidRDefault="003754B9">
      <w:pPr>
        <w:spacing w:after="0" w:line="240" w:lineRule="auto"/>
      </w:pPr>
      <w:r>
        <w:separator/>
      </w:r>
    </w:p>
  </w:footnote>
  <w:footnote w:type="continuationSeparator" w:id="0">
    <w:p w14:paraId="40DAA0AA" w14:textId="77777777" w:rsidR="003754B9" w:rsidRDefault="003754B9">
      <w:pPr>
        <w:spacing w:after="0" w:line="240" w:lineRule="auto"/>
      </w:pPr>
      <w:r>
        <w:continuationSeparator/>
      </w:r>
    </w:p>
  </w:footnote>
  <w:footnote w:id="1">
    <w:p w14:paraId="3A91C988" w14:textId="77777777" w:rsidR="0061466F" w:rsidRDefault="0061466F" w:rsidP="0061466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800">
        <w:rPr>
          <w:rFonts w:ascii="Arial" w:hAnsi="Arial" w:cs="Arial"/>
          <w:kern w:val="24"/>
          <w:sz w:val="16"/>
          <w:szCs w:val="16"/>
          <w:lang w:val="es-ES"/>
        </w:rPr>
        <w:t xml:space="preserve">Todas las variaciones porcentuales en este documento se </w:t>
      </w:r>
      <w:r w:rsidRPr="000C3394">
        <w:rPr>
          <w:rFonts w:ascii="Arial" w:hAnsi="Arial" w:cs="Arial"/>
          <w:kern w:val="24"/>
          <w:sz w:val="16"/>
          <w:szCs w:val="16"/>
          <w:lang w:val="es-ES"/>
        </w:rPr>
        <w:t>expresan en términos reales, salvo</w:t>
      </w:r>
      <w:r w:rsidRPr="00491800">
        <w:rPr>
          <w:rFonts w:ascii="Arial" w:hAnsi="Arial" w:cs="Arial"/>
          <w:kern w:val="24"/>
          <w:sz w:val="16"/>
          <w:szCs w:val="16"/>
          <w:lang w:val="es-ES"/>
        </w:rPr>
        <w:t xml:space="preserve"> indicación en contrario</w:t>
      </w:r>
      <w:r>
        <w:rPr>
          <w:rFonts w:ascii="Arial" w:hAnsi="Arial" w:cs="Arial"/>
          <w:kern w:val="24"/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0823F4" wp14:editId="2058192A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CFBBB95">
              <wp:simplePos x="0" y="0"/>
              <wp:positionH relativeFrom="column">
                <wp:posOffset>4318000</wp:posOffset>
              </wp:positionH>
              <wp:positionV relativeFrom="paragraph">
                <wp:posOffset>50800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50822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59190A" w14:textId="77777777" w:rsidR="008D0CA8" w:rsidRPr="002F62AF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62AF">
                            <w:rPr>
                              <w:rFonts w:ascii="Arial" w:eastAsia="Arial Narrow" w:hAnsi="Arial" w:cs="Arial"/>
                              <w:b/>
                              <w:color w:val="000000"/>
                              <w:sz w:val="16"/>
                            </w:rPr>
                            <w:t>Gerencia de Comunicaciones</w:t>
                          </w:r>
                        </w:p>
                        <w:p w14:paraId="01228C86" w14:textId="77777777" w:rsidR="008D0CA8" w:rsidRPr="002F62AF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62AF">
                            <w:rPr>
                              <w:rFonts w:ascii="Arial" w:eastAsia="Arial Narrow" w:hAnsi="Arial" w:cs="Arial"/>
                              <w:b/>
                              <w:color w:val="000000"/>
                              <w:sz w:val="16"/>
                            </w:rPr>
                            <w:t xml:space="preserve">Central: 634-3300 </w:t>
                          </w:r>
                        </w:p>
                        <w:p w14:paraId="257595C5" w14:textId="77777777" w:rsidR="008D0CA8" w:rsidRPr="002F62AF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62AF">
                            <w:rPr>
                              <w:rFonts w:ascii="Arial" w:eastAsia="Arial Narrow" w:hAnsi="Arial" w:cs="Arial"/>
                              <w:b/>
                              <w:color w:val="000000"/>
                              <w:sz w:val="16"/>
                            </w:rPr>
                            <w:t xml:space="preserve"> Anexos: 50308/50309/50361</w:t>
                          </w:r>
                        </w:p>
                        <w:p w14:paraId="2AFF7D09" w14:textId="77777777" w:rsidR="008D0CA8" w:rsidRDefault="008D0C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" stroked="f">
              <v:textbox inset="2.53958mm,1.2694mm,2.53958mm,1.2694mm">
                <w:txbxContent>
                  <w:p w14:paraId="7C59190A" w14:textId="77777777" w:rsidR="008D0CA8" w:rsidRPr="002F62AF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  <w:rPr>
                        <w:rFonts w:ascii="Arial" w:hAnsi="Arial" w:cs="Arial"/>
                      </w:rPr>
                    </w:pPr>
                    <w:r w:rsidRPr="002F62AF">
                      <w:rPr>
                        <w:rFonts w:ascii="Arial" w:eastAsia="Arial Narrow" w:hAnsi="Arial" w:cs="Arial"/>
                        <w:b/>
                        <w:color w:val="000000"/>
                        <w:sz w:val="16"/>
                      </w:rPr>
                      <w:t>Gerencia de Comunicaciones</w:t>
                    </w:r>
                  </w:p>
                  <w:p w14:paraId="01228C86" w14:textId="77777777" w:rsidR="008D0CA8" w:rsidRPr="002F62AF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  <w:rPr>
                        <w:rFonts w:ascii="Arial" w:hAnsi="Arial" w:cs="Arial"/>
                      </w:rPr>
                    </w:pPr>
                    <w:r w:rsidRPr="002F62AF">
                      <w:rPr>
                        <w:rFonts w:ascii="Arial" w:eastAsia="Arial Narrow" w:hAnsi="Arial" w:cs="Arial"/>
                        <w:b/>
                        <w:color w:val="000000"/>
                        <w:sz w:val="16"/>
                      </w:rPr>
                      <w:t xml:space="preserve">Central: 634-3300 </w:t>
                    </w:r>
                  </w:p>
                  <w:p w14:paraId="257595C5" w14:textId="77777777" w:rsidR="008D0CA8" w:rsidRPr="002F62AF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  <w:rPr>
                        <w:rFonts w:ascii="Arial" w:hAnsi="Arial" w:cs="Arial"/>
                      </w:rPr>
                    </w:pPr>
                    <w:r w:rsidRPr="002F62AF">
                      <w:rPr>
                        <w:rFonts w:ascii="Arial" w:eastAsia="Arial Narrow" w:hAnsi="Arial" w:cs="Arial"/>
                        <w:b/>
                        <w:color w:val="000000"/>
                        <w:sz w:val="16"/>
                      </w:rPr>
                      <w:t xml:space="preserve"> Anexos: 50308/50309/50361</w:t>
                    </w:r>
                  </w:p>
                  <w:p w14:paraId="2AFF7D09" w14:textId="77777777" w:rsidR="008D0CA8" w:rsidRDefault="008D0C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FD4F73"/>
    <w:multiLevelType w:val="multilevel"/>
    <w:tmpl w:val="888E1BE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1070E5"/>
    <w:multiLevelType w:val="multilevel"/>
    <w:tmpl w:val="C058A17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D6EC1"/>
    <w:multiLevelType w:val="multilevel"/>
    <w:tmpl w:val="64F22E3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794937"/>
    <w:multiLevelType w:val="hybridMultilevel"/>
    <w:tmpl w:val="1E4A7B70"/>
    <w:lvl w:ilvl="0" w:tplc="60E234EC">
      <w:start w:val="2"/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A8"/>
    <w:rsid w:val="00014A61"/>
    <w:rsid w:val="00023E28"/>
    <w:rsid w:val="000329D7"/>
    <w:rsid w:val="00040B49"/>
    <w:rsid w:val="00042FD6"/>
    <w:rsid w:val="00046342"/>
    <w:rsid w:val="00057ED3"/>
    <w:rsid w:val="00063324"/>
    <w:rsid w:val="00064688"/>
    <w:rsid w:val="0007698D"/>
    <w:rsid w:val="00092239"/>
    <w:rsid w:val="000929CF"/>
    <w:rsid w:val="000C4CCA"/>
    <w:rsid w:val="000E7DC6"/>
    <w:rsid w:val="001242F2"/>
    <w:rsid w:val="001338A0"/>
    <w:rsid w:val="001444E8"/>
    <w:rsid w:val="00146D17"/>
    <w:rsid w:val="001859F1"/>
    <w:rsid w:val="0019165A"/>
    <w:rsid w:val="001C73A1"/>
    <w:rsid w:val="001C7714"/>
    <w:rsid w:val="001E419B"/>
    <w:rsid w:val="00200A5B"/>
    <w:rsid w:val="0021794A"/>
    <w:rsid w:val="00217DF6"/>
    <w:rsid w:val="002254C4"/>
    <w:rsid w:val="002334B3"/>
    <w:rsid w:val="002344DA"/>
    <w:rsid w:val="0027738C"/>
    <w:rsid w:val="00292EAD"/>
    <w:rsid w:val="002F51A3"/>
    <w:rsid w:val="002F62AF"/>
    <w:rsid w:val="00314E56"/>
    <w:rsid w:val="0033459E"/>
    <w:rsid w:val="003754B9"/>
    <w:rsid w:val="00395870"/>
    <w:rsid w:val="003C7A89"/>
    <w:rsid w:val="00436C69"/>
    <w:rsid w:val="0046315F"/>
    <w:rsid w:val="004666BA"/>
    <w:rsid w:val="004D102E"/>
    <w:rsid w:val="004D2DC3"/>
    <w:rsid w:val="00520EAB"/>
    <w:rsid w:val="00555ED1"/>
    <w:rsid w:val="00560ED4"/>
    <w:rsid w:val="005615B4"/>
    <w:rsid w:val="005716D5"/>
    <w:rsid w:val="00590F0C"/>
    <w:rsid w:val="005F5590"/>
    <w:rsid w:val="006116BC"/>
    <w:rsid w:val="0061466F"/>
    <w:rsid w:val="00616578"/>
    <w:rsid w:val="00617D03"/>
    <w:rsid w:val="006B3CE8"/>
    <w:rsid w:val="006B7242"/>
    <w:rsid w:val="007052ED"/>
    <w:rsid w:val="00706BB3"/>
    <w:rsid w:val="0072477A"/>
    <w:rsid w:val="0072550E"/>
    <w:rsid w:val="00734995"/>
    <w:rsid w:val="00740519"/>
    <w:rsid w:val="00742091"/>
    <w:rsid w:val="00751FB8"/>
    <w:rsid w:val="0076313B"/>
    <w:rsid w:val="0077407D"/>
    <w:rsid w:val="00780014"/>
    <w:rsid w:val="00792141"/>
    <w:rsid w:val="007B49C9"/>
    <w:rsid w:val="007C0FDC"/>
    <w:rsid w:val="007C1F6C"/>
    <w:rsid w:val="007C5E63"/>
    <w:rsid w:val="007F0718"/>
    <w:rsid w:val="007F7C9E"/>
    <w:rsid w:val="0080416C"/>
    <w:rsid w:val="008120DC"/>
    <w:rsid w:val="00856F15"/>
    <w:rsid w:val="00866B9B"/>
    <w:rsid w:val="008726EA"/>
    <w:rsid w:val="008A41BE"/>
    <w:rsid w:val="008B169E"/>
    <w:rsid w:val="008D0CA8"/>
    <w:rsid w:val="008F3151"/>
    <w:rsid w:val="008F789B"/>
    <w:rsid w:val="00920A68"/>
    <w:rsid w:val="00925409"/>
    <w:rsid w:val="00926951"/>
    <w:rsid w:val="009271F2"/>
    <w:rsid w:val="00980A0F"/>
    <w:rsid w:val="009B2F45"/>
    <w:rsid w:val="009E2D7D"/>
    <w:rsid w:val="00A04E2B"/>
    <w:rsid w:val="00A2247D"/>
    <w:rsid w:val="00A45B06"/>
    <w:rsid w:val="00A93C14"/>
    <w:rsid w:val="00AC27A9"/>
    <w:rsid w:val="00AD1CCD"/>
    <w:rsid w:val="00AF21A2"/>
    <w:rsid w:val="00AF7B25"/>
    <w:rsid w:val="00B05A33"/>
    <w:rsid w:val="00B15C22"/>
    <w:rsid w:val="00B26669"/>
    <w:rsid w:val="00B4325A"/>
    <w:rsid w:val="00B6158C"/>
    <w:rsid w:val="00B764B6"/>
    <w:rsid w:val="00BA6132"/>
    <w:rsid w:val="00BC68D1"/>
    <w:rsid w:val="00BD7190"/>
    <w:rsid w:val="00BE0349"/>
    <w:rsid w:val="00BE51D5"/>
    <w:rsid w:val="00BF41DC"/>
    <w:rsid w:val="00C0638A"/>
    <w:rsid w:val="00C26FEE"/>
    <w:rsid w:val="00C51508"/>
    <w:rsid w:val="00C800FA"/>
    <w:rsid w:val="00CD2E82"/>
    <w:rsid w:val="00CD75FF"/>
    <w:rsid w:val="00D1071A"/>
    <w:rsid w:val="00D14E1D"/>
    <w:rsid w:val="00D42054"/>
    <w:rsid w:val="00D75D58"/>
    <w:rsid w:val="00DE59A4"/>
    <w:rsid w:val="00E130EC"/>
    <w:rsid w:val="00E61DBC"/>
    <w:rsid w:val="00E87B98"/>
    <w:rsid w:val="00EB3A59"/>
    <w:rsid w:val="00EB64FE"/>
    <w:rsid w:val="00EC466F"/>
    <w:rsid w:val="00F11C80"/>
    <w:rsid w:val="00F13B25"/>
    <w:rsid w:val="00F95D7A"/>
    <w:rsid w:val="00FA05BE"/>
    <w:rsid w:val="00FA1E90"/>
    <w:rsid w:val="00FA6485"/>
    <w:rsid w:val="00FB04A6"/>
    <w:rsid w:val="00FC0158"/>
    <w:rsid w:val="00FD4277"/>
    <w:rsid w:val="00FE512F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4F2F5CD-4D39-4326-B127-32BBE24B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6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2AF"/>
  </w:style>
  <w:style w:type="paragraph" w:styleId="Piedepgina">
    <w:name w:val="footer"/>
    <w:basedOn w:val="Normal"/>
    <w:link w:val="PiedepginaCar"/>
    <w:uiPriority w:val="99"/>
    <w:unhideWhenUsed/>
    <w:rsid w:val="002F6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-1.0600706713780919E-2"/>
                  <c:y val="-0.229042455954986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-3.1802120141342885E-2"/>
                  <c:y val="-0.186573084115284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7.0671378091872791E-3"/>
                  <c:y val="-0.130761993408970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Hoja1!$B$2:$B$18</c:f>
              <c:numCache>
                <c:formatCode>_ * #,##0_ ;_ * \-#,##0_ ;_ * "-"??_ ;_ @_ </c:formatCode>
                <c:ptCount val="17"/>
                <c:pt idx="0">
                  <c:v>10299.028718969999</c:v>
                </c:pt>
                <c:pt idx="1">
                  <c:v>8043.7543828599992</c:v>
                </c:pt>
                <c:pt idx="2">
                  <c:v>9310.6809947499969</c:v>
                </c:pt>
                <c:pt idx="3">
                  <c:v>12984.120838070003</c:v>
                </c:pt>
                <c:pt idx="4">
                  <c:v>8936.8448306600039</c:v>
                </c:pt>
                <c:pt idx="5">
                  <c:v>8401.9873588799983</c:v>
                </c:pt>
                <c:pt idx="6">
                  <c:v>7918.2162157700004</c:v>
                </c:pt>
                <c:pt idx="7">
                  <c:v>8008.0073065499937</c:v>
                </c:pt>
                <c:pt idx="8">
                  <c:v>8829.2684975600005</c:v>
                </c:pt>
                <c:pt idx="9">
                  <c:v>9098.4268171462991</c:v>
                </c:pt>
                <c:pt idx="10">
                  <c:v>9441.0419989900001</c:v>
                </c:pt>
                <c:pt idx="11">
                  <c:v>9490.6879966899996</c:v>
                </c:pt>
                <c:pt idx="12">
                  <c:v>11007.279920810002</c:v>
                </c:pt>
                <c:pt idx="13">
                  <c:v>8029.3091567771244</c:v>
                </c:pt>
                <c:pt idx="14">
                  <c:v>7785.7906755215099</c:v>
                </c:pt>
                <c:pt idx="15">
                  <c:v>7761</c:v>
                </c:pt>
                <c:pt idx="16">
                  <c:v>7297.5505982899995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6112896"/>
        <c:axId val="8649152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F276-4E83-9076-6ADF7CA0F303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F276-4E83-9076-6ADF7CA0F303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F276-4E83-9076-6ADF7CA0F303}"/>
                </c:ext>
              </c:extLst>
            </c:dLbl>
            <c:dLbl>
              <c:idx val="12"/>
              <c:layout>
                <c:manualLayout>
                  <c:x val="-4.6157313374697549E-2"/>
                  <c:y val="-5.3663387923155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5194346289752651E-2"/>
                  <c:y val="-0.1095255138562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Hoja1!$C$2:$C$18</c:f>
              <c:numCache>
                <c:formatCode>0.0</c:formatCode>
                <c:ptCount val="17"/>
                <c:pt idx="0">
                  <c:v>9.9243015252864062</c:v>
                </c:pt>
                <c:pt idx="1">
                  <c:v>11.201660862431041</c:v>
                </c:pt>
                <c:pt idx="2">
                  <c:v>-1.013110304991871</c:v>
                </c:pt>
                <c:pt idx="3">
                  <c:v>1.989127340587471</c:v>
                </c:pt>
                <c:pt idx="4">
                  <c:v>6.0861910181772227</c:v>
                </c:pt>
                <c:pt idx="5">
                  <c:v>0.25045611639615828</c:v>
                </c:pt>
                <c:pt idx="6">
                  <c:v>-2.9075334462038804</c:v>
                </c:pt>
                <c:pt idx="7">
                  <c:v>-3.2158526487722439</c:v>
                </c:pt>
                <c:pt idx="8">
                  <c:v>4.698264375916783</c:v>
                </c:pt>
                <c:pt idx="9">
                  <c:v>5.8957092853483273</c:v>
                </c:pt>
                <c:pt idx="10">
                  <c:v>7.6818004124207251</c:v>
                </c:pt>
                <c:pt idx="11">
                  <c:v>4.567477773141948</c:v>
                </c:pt>
                <c:pt idx="12">
                  <c:v>4.8536882266178472</c:v>
                </c:pt>
                <c:pt idx="13">
                  <c:v>-2.04468923833796</c:v>
                </c:pt>
                <c:pt idx="14">
                  <c:v>-17.873815746776533</c:v>
                </c:pt>
                <c:pt idx="15">
                  <c:v>-41.2</c:v>
                </c:pt>
                <c:pt idx="16">
                  <c:v>-19.772684680245909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493056"/>
        <c:axId val="86494592"/>
      </c:lineChart>
      <c:catAx>
        <c:axId val="8611289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6491520"/>
        <c:crosses val="autoZero"/>
        <c:auto val="1"/>
        <c:lblAlgn val="ctr"/>
        <c:lblOffset val="100"/>
        <c:noMultiLvlLbl val="1"/>
      </c:catAx>
      <c:valAx>
        <c:axId val="8649152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6112896"/>
        <c:crosses val="autoZero"/>
        <c:crossBetween val="between"/>
      </c:valAx>
      <c:catAx>
        <c:axId val="86493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6494592"/>
        <c:crosses val="autoZero"/>
        <c:auto val="1"/>
        <c:lblAlgn val="ctr"/>
        <c:lblOffset val="100"/>
        <c:noMultiLvlLbl val="1"/>
      </c:catAx>
      <c:valAx>
        <c:axId val="8649459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8649305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0223709256790197"/>
          <c:w val="0.5541239691010188"/>
          <c:h val="5.09045474746966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a la Renta: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83483003648934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Lbls>
            <c:dLbl>
              <c:idx val="0"/>
              <c:layout>
                <c:manualLayout>
                  <c:x val="-6.0511604172155987E-3"/>
                  <c:y val="-0.168765309145544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4A-4DA6-A536-6B1A8E0EEE18}"/>
                </c:ext>
              </c:extLst>
            </c:dLbl>
            <c:dLbl>
              <c:idx val="1"/>
              <c:layout>
                <c:manualLayout>
                  <c:x val="-3.0255802086077994E-3"/>
                  <c:y val="-0.148828370921749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4A-4DA6-A536-6B1A8E0EEE18}"/>
                </c:ext>
              </c:extLst>
            </c:dLbl>
            <c:dLbl>
              <c:idx val="2"/>
              <c:layout>
                <c:manualLayout>
                  <c:x val="-9.0767406258234536E-3"/>
                  <c:y val="-0.190613410679236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4A-4DA6-A536-6B1A8E0EEE18}"/>
                </c:ext>
              </c:extLst>
            </c:dLbl>
            <c:dLbl>
              <c:idx val="3"/>
              <c:layout>
                <c:manualLayout>
                  <c:x val="-3.0255802086077994E-3"/>
                  <c:y val="-0.280001626803371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4A-4DA6-A536-6B1A8E0EEE18}"/>
                </c:ext>
              </c:extLst>
            </c:dLbl>
            <c:dLbl>
              <c:idx val="4"/>
              <c:layout>
                <c:manualLayout>
                  <c:x val="-9.0767406258233981E-3"/>
                  <c:y val="-0.109079811237904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4A-4DA6-A536-6B1A8E0EEE18}"/>
                </c:ext>
              </c:extLst>
            </c:dLbl>
            <c:dLbl>
              <c:idx val="5"/>
              <c:layout>
                <c:manualLayout>
                  <c:x val="-9.9370652533951644E-3"/>
                  <c:y val="-7.47885333942967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4A-4DA6-A536-6B1A8E0EEE18}"/>
                </c:ext>
              </c:extLst>
            </c:dLbl>
            <c:dLbl>
              <c:idx val="6"/>
              <c:layout>
                <c:manualLayout>
                  <c:x val="0"/>
                  <c:y val="-4.11506331817995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4A-4DA6-A536-6B1A8E0EEE18}"/>
                </c:ext>
              </c:extLst>
            </c:dLbl>
            <c:dLbl>
              <c:idx val="7"/>
              <c:layout>
                <c:manualLayout>
                  <c:x val="6.6247101689301093E-3"/>
                  <c:y val="-3.14038684241100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9"/>
              <c:layout>
                <c:manualLayout>
                  <c:x val="0"/>
                  <c:y val="-0.100955300625498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4A-4DA6-A536-6B1A8E0EEE18}"/>
                </c:ext>
              </c:extLst>
            </c:dLbl>
            <c:dLbl>
              <c:idx val="10"/>
              <c:layout>
                <c:manualLayout>
                  <c:x val="-3.3123550844650546E-3"/>
                  <c:y val="-6.87411693719151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dLbl>
              <c:idx val="11"/>
              <c:layout>
                <c:manualLayout>
                  <c:x val="6.6247101689299879E-3"/>
                  <c:y val="-6.68050834435795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4A-4DA6-A536-6B1A8E0EEE18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34A-4DA6-A536-6B1A8E0EEE18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AD63-46DA-AD3B-A0EBD02C7E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Hoja1!$A$2:$A$30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Hoja1!$B$2:$B$30</c:f>
              <c:numCache>
                <c:formatCode>_ * #,##0_ ;_ * \-#,##0_ ;_ * "-"??_ ;_ @_ </c:formatCode>
                <c:ptCount val="17"/>
                <c:pt idx="0">
                  <c:v>4119.6140546399993</c:v>
                </c:pt>
                <c:pt idx="1">
                  <c:v>3134.3328087700006</c:v>
                </c:pt>
                <c:pt idx="2">
                  <c:v>5012.4229301400001</c:v>
                </c:pt>
                <c:pt idx="3">
                  <c:v>6857.1837135300002</c:v>
                </c:pt>
                <c:pt idx="4">
                  <c:v>3405.7940624000003</c:v>
                </c:pt>
                <c:pt idx="5">
                  <c:v>2856.3244101399996</c:v>
                </c:pt>
                <c:pt idx="6">
                  <c:v>2846.8226552800006</c:v>
                </c:pt>
                <c:pt idx="7">
                  <c:v>2840.0690791299999</c:v>
                </c:pt>
                <c:pt idx="8">
                  <c:v>3026.0862726600003</c:v>
                </c:pt>
                <c:pt idx="9">
                  <c:v>3349.9592931999996</c:v>
                </c:pt>
                <c:pt idx="10">
                  <c:v>3382.6780182500002</c:v>
                </c:pt>
                <c:pt idx="11">
                  <c:v>3184.1294135799999</c:v>
                </c:pt>
                <c:pt idx="12">
                  <c:v>4374.6741067000012</c:v>
                </c:pt>
                <c:pt idx="13">
                  <c:v>3405.6330130799997</c:v>
                </c:pt>
                <c:pt idx="14">
                  <c:v>3854.5266706700004</c:v>
                </c:pt>
                <c:pt idx="15">
                  <c:v>4617.7957680099989</c:v>
                </c:pt>
                <c:pt idx="16">
                  <c:v>4234.5302148700002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6617472"/>
        <c:axId val="86631552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3.7176757254602816E-2"/>
                  <c:y val="-3.9483377508319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4A-4DA6-A536-6B1A8E0EEE18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layout>
                <c:manualLayout>
                  <c:x val="-5.4306192017485121E-2"/>
                  <c:y val="2.0954401166298677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2.5991030922459319E-2"/>
                  <c:y val="-5.6154023429998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1"/>
              <c:layout>
                <c:manualLayout>
                  <c:x val="-5.097695155655211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34A-4DA6-A536-6B1A8E0EEE18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34A-4DA6-A536-6B1A8E0EEE18}"/>
                </c:ext>
              </c:extLst>
            </c:dLbl>
            <c:dLbl>
              <c:idx val="15"/>
              <c:layout>
                <c:manualLayout>
                  <c:x val="-5.834437086092715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34A-4DA6-A536-6B1A8E0EEE18}"/>
                </c:ext>
              </c:extLst>
            </c:dLbl>
            <c:dLbl>
              <c:idx val="16"/>
              <c:layout>
                <c:manualLayout>
                  <c:x val="-6.3866089586483932E-2"/>
                  <c:y val="-3.6109468023814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63-46DA-AD3B-A0EBD02C7E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Hoja1!$A$2:$A$30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Hoja1!$C$2:$C$30</c:f>
              <c:numCache>
                <c:formatCode>0.0</c:formatCode>
                <c:ptCount val="17"/>
                <c:pt idx="0">
                  <c:v>2.6644288779915648</c:v>
                </c:pt>
                <c:pt idx="1">
                  <c:v>-2.759788927260598</c:v>
                </c:pt>
                <c:pt idx="2">
                  <c:v>3.7950646380467745</c:v>
                </c:pt>
                <c:pt idx="3">
                  <c:v>-2.5646904458470399</c:v>
                </c:pt>
                <c:pt idx="4">
                  <c:v>19.868037421198913</c:v>
                </c:pt>
                <c:pt idx="5">
                  <c:v>2.292145227788156</c:v>
                </c:pt>
                <c:pt idx="6">
                  <c:v>-2.9827559181151764</c:v>
                </c:pt>
                <c:pt idx="7">
                  <c:v>0.87043870182199612</c:v>
                </c:pt>
                <c:pt idx="8">
                  <c:v>8.500094702315387</c:v>
                </c:pt>
                <c:pt idx="9">
                  <c:v>14.120624853965547</c:v>
                </c:pt>
                <c:pt idx="10">
                  <c:v>15.61306885286966</c:v>
                </c:pt>
                <c:pt idx="11">
                  <c:v>-5.4800046131129871</c:v>
                </c:pt>
                <c:pt idx="12">
                  <c:v>4.1811492819277873</c:v>
                </c:pt>
                <c:pt idx="13">
                  <c:v>6.6255651098421353</c:v>
                </c:pt>
                <c:pt idx="14">
                  <c:v>-24.476220479219922</c:v>
                </c:pt>
                <c:pt idx="15">
                  <c:v>-33.799999999999997</c:v>
                </c:pt>
                <c:pt idx="16">
                  <c:v>22.156396800817824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Hoja1!$A$2:$A$30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Hoja1!$D$2:$D$30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633088"/>
        <c:axId val="86638976"/>
      </c:lineChart>
      <c:catAx>
        <c:axId val="8661747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6631552"/>
        <c:crosses val="autoZero"/>
        <c:auto val="1"/>
        <c:lblAlgn val="ctr"/>
        <c:lblOffset val="100"/>
        <c:noMultiLvlLbl val="1"/>
      </c:catAx>
      <c:valAx>
        <c:axId val="86631552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6617472"/>
        <c:crosses val="autoZero"/>
        <c:crossBetween val="between"/>
      </c:valAx>
      <c:catAx>
        <c:axId val="86633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6638976"/>
        <c:crosses val="autoZero"/>
        <c:auto val="1"/>
        <c:lblAlgn val="ctr"/>
        <c:lblOffset val="100"/>
        <c:noMultiLvlLbl val="1"/>
      </c:catAx>
      <c:valAx>
        <c:axId val="866389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86633088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Lbls>
            <c:dLbl>
              <c:idx val="2"/>
              <c:layout>
                <c:manualLayout>
                  <c:x val="-3.1020510232739066E-17"/>
                  <c:y val="-0.11048891094916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AF-49EC-BAF2-A94280C53A12}"/>
                </c:ext>
              </c:extLst>
            </c:dLbl>
            <c:dLbl>
              <c:idx val="3"/>
              <c:layout>
                <c:manualLayout>
                  <c:x val="-3.1020510232739066E-17"/>
                  <c:y val="-0.1298043904970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AF-49EC-BAF2-A94280C53A12}"/>
                </c:ext>
              </c:extLst>
            </c:dLbl>
            <c:dLbl>
              <c:idx val="5"/>
              <c:layout>
                <c:manualLayout>
                  <c:x val="3.3840947546530682E-3"/>
                  <c:y val="-0.116640570358504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BAF-49EC-BAF2-A94280C53A12}"/>
                </c:ext>
              </c:extLst>
            </c:dLbl>
            <c:dLbl>
              <c:idx val="7"/>
              <c:layout>
                <c:manualLayout>
                  <c:x val="0"/>
                  <c:y val="-0.187397964939196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AF-49EC-BAF2-A94280C53A12}"/>
                </c:ext>
              </c:extLst>
            </c:dLbl>
            <c:dLbl>
              <c:idx val="8"/>
              <c:layout>
                <c:manualLayout>
                  <c:x val="3.3840947546530682E-3"/>
                  <c:y val="-0.2085440967443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3-498C-841D-C7BD24249050}"/>
                </c:ext>
              </c:extLst>
            </c:dLbl>
            <c:dLbl>
              <c:idx val="9"/>
              <c:layout>
                <c:manualLayout>
                  <c:x val="6.2041020465478132E-17"/>
                  <c:y val="-0.13152042957381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BAF-49EC-BAF2-A94280C53A12}"/>
                </c:ext>
              </c:extLst>
            </c:dLbl>
            <c:dLbl>
              <c:idx val="11"/>
              <c:layout>
                <c:manualLayout>
                  <c:x val="0"/>
                  <c:y val="-0.18134557678857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AF-49EC-BAF2-A94280C53A12}"/>
                </c:ext>
              </c:extLst>
            </c:dLbl>
            <c:dLbl>
              <c:idx val="15"/>
              <c:layout>
                <c:manualLayout>
                  <c:x val="0"/>
                  <c:y val="-9.61230061142070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6.72657536719084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Hoja1!$B$2:$B$18</c:f>
              <c:numCache>
                <c:formatCode>_ * #,##0_ ;_ * \-#,##0_ ;_ * "-"??_ ;_ @_ </c:formatCode>
                <c:ptCount val="17"/>
                <c:pt idx="0">
                  <c:v>6227.1166668506266</c:v>
                </c:pt>
                <c:pt idx="1">
                  <c:v>4947.2755594025639</c:v>
                </c:pt>
                <c:pt idx="2">
                  <c:v>4643.2057875538994</c:v>
                </c:pt>
                <c:pt idx="3">
                  <c:v>5144.3702199278978</c:v>
                </c:pt>
                <c:pt idx="4">
                  <c:v>5232.0763887874018</c:v>
                </c:pt>
                <c:pt idx="5">
                  <c:v>5100.1949787844478</c:v>
                </c:pt>
                <c:pt idx="6">
                  <c:v>5133.4724003140946</c:v>
                </c:pt>
                <c:pt idx="7">
                  <c:v>5300.5072566140398</c:v>
                </c:pt>
                <c:pt idx="8">
                  <c:v>5403.0998315662782</c:v>
                </c:pt>
                <c:pt idx="9">
                  <c:v>5337.5788725471193</c:v>
                </c:pt>
                <c:pt idx="10">
                  <c:v>5445.8323444921707</c:v>
                </c:pt>
                <c:pt idx="11">
                  <c:v>5589.5335996153781</c:v>
                </c:pt>
                <c:pt idx="12">
                  <c:v>6391.5114638523028</c:v>
                </c:pt>
                <c:pt idx="13">
                  <c:v>4870.5136023731884</c:v>
                </c:pt>
                <c:pt idx="14">
                  <c:v>4199.875697667133</c:v>
                </c:pt>
                <c:pt idx="15">
                  <c:v>3378.3405757523524</c:v>
                </c:pt>
                <c:pt idx="16">
                  <c:v>3225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9350912"/>
        <c:axId val="893524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350453655222045E-2"/>
                  <c:y val="-4.8151524039437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BAF-49EC-BAF2-A94280C53A12}"/>
                </c:ext>
              </c:extLst>
            </c:dLbl>
            <c:dLbl>
              <c:idx val="1"/>
              <c:layout>
                <c:manualLayout>
                  <c:x val="-4.0820709594041861E-2"/>
                  <c:y val="-2.52288879362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AF-49EC-BAF2-A94280C53A12}"/>
                </c:ext>
              </c:extLst>
            </c:dLbl>
            <c:dLbl>
              <c:idx val="2"/>
              <c:layout>
                <c:manualLayout>
                  <c:x val="-4.8714177225308762E-2"/>
                  <c:y val="-3.669020598786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BAF-49EC-BAF2-A94280C53A12}"/>
                </c:ext>
              </c:extLst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B3-498C-841D-C7BD24249050}"/>
                </c:ext>
              </c:extLst>
            </c:dLbl>
            <c:dLbl>
              <c:idx val="4"/>
              <c:layout>
                <c:manualLayout>
                  <c:x val="-4.7588899103348181E-2"/>
                  <c:y val="-6.5343501116801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BAF-49EC-BAF2-A94280C53A12}"/>
                </c:ext>
              </c:extLst>
            </c:dLbl>
            <c:dLbl>
              <c:idx val="5"/>
              <c:layout>
                <c:manualLayout>
                  <c:x val="-4.0820709594041861E-2"/>
                  <c:y val="-3.6690205987861831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2304658297641811E-2"/>
                  <c:y val="6.1299075235026798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layout>
                <c:manualLayout>
                  <c:x val="-4.9315586820682947E-2"/>
                  <c:y val="-3.380096112627760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8"/>
              <c:layout>
                <c:manualLayout>
                  <c:x val="-4.7588899103348119E-2"/>
                  <c:y val="-4.2420865013649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BAF-49EC-BAF2-A94280C53A12}"/>
                </c:ext>
              </c:extLst>
            </c:dLbl>
            <c:dLbl>
              <c:idx val="10"/>
              <c:layout>
                <c:manualLayout>
                  <c:x val="-4.7588899103348244E-2"/>
                  <c:y val="-5.3882183065225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BAF-49EC-BAF2-A94280C53A12}"/>
                </c:ext>
              </c:extLst>
            </c:dLbl>
            <c:dLbl>
              <c:idx val="11"/>
              <c:layout>
                <c:manualLayout>
                  <c:x val="-5.0972993858001379E-2"/>
                  <c:y val="-4.8151524039437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BAF-49EC-BAF2-A94280C53A12}"/>
                </c:ext>
              </c:extLst>
            </c:dLbl>
            <c:dLbl>
              <c:idx val="12"/>
              <c:layout>
                <c:manualLayout>
                  <c:x val="-4.4204804348695115E-2"/>
                  <c:y val="-1.9498228910497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BAF-49EC-BAF2-A94280C53A12}"/>
                </c:ext>
              </c:extLst>
            </c:dLbl>
            <c:dLbl>
              <c:idx val="13"/>
              <c:layout>
                <c:manualLayout>
                  <c:x val="-5.8866461489268156E-2"/>
                  <c:y val="7.7922974527897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BAF-49EC-BAF2-A94280C53A12}"/>
                </c:ext>
              </c:extLst>
            </c:dLbl>
            <c:dLbl>
              <c:idx val="14"/>
              <c:layout>
                <c:manualLayout>
                  <c:x val="-6.6395939086294417E-2"/>
                  <c:y val="9.5114951605261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BAF-49EC-BAF2-A94280C53A12}"/>
                </c:ext>
              </c:extLst>
            </c:dLbl>
            <c:dLbl>
              <c:idx val="15"/>
              <c:layout>
                <c:manualLayout>
                  <c:x val="-7.9932318104906933E-2"/>
                  <c:y val="3.2077702321593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AF-49EC-BAF2-A94280C53A12}"/>
                </c:ext>
              </c:extLst>
            </c:dLbl>
            <c:dLbl>
              <c:idx val="16"/>
              <c:layout>
                <c:manualLayout>
                  <c:x val="-6.6395939086294542E-2"/>
                  <c:y val="4.3539020373169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BAF-49EC-BAF2-A94280C53A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Hoja1!$C$2:$C$18</c:f>
              <c:numCache>
                <c:formatCode>0.0</c:formatCode>
                <c:ptCount val="17"/>
                <c:pt idx="0">
                  <c:v>10.498718361440895</c:v>
                </c:pt>
                <c:pt idx="1">
                  <c:v>5.5224648817586486</c:v>
                </c:pt>
                <c:pt idx="2">
                  <c:v>-1.0182906517309798</c:v>
                </c:pt>
                <c:pt idx="3">
                  <c:v>0.93411294296947833</c:v>
                </c:pt>
                <c:pt idx="4">
                  <c:v>0.31272793194747628</c:v>
                </c:pt>
                <c:pt idx="5">
                  <c:v>0.61342752650641597</c:v>
                </c:pt>
                <c:pt idx="6">
                  <c:v>-3.0560950145957499</c:v>
                </c:pt>
                <c:pt idx="7">
                  <c:v>4.9576429696165381</c:v>
                </c:pt>
                <c:pt idx="8">
                  <c:v>5.0576275892465272</c:v>
                </c:pt>
                <c:pt idx="9">
                  <c:v>-2.0362109233117764</c:v>
                </c:pt>
                <c:pt idx="10">
                  <c:v>1.6036589434541337</c:v>
                </c:pt>
                <c:pt idx="11">
                  <c:v>6.1167434084235639</c:v>
                </c:pt>
                <c:pt idx="12">
                  <c:v>0.69700168993584999</c:v>
                </c:pt>
                <c:pt idx="13">
                  <c:v>-3.3910710824922252</c:v>
                </c:pt>
                <c:pt idx="14">
                  <c:v>-11.162982824584688</c:v>
                </c:pt>
                <c:pt idx="15">
                  <c:v>-35.44265016540826</c:v>
                </c:pt>
                <c:pt idx="16">
                  <c:v>-39.4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399296"/>
        <c:axId val="89400832"/>
      </c:lineChart>
      <c:catAx>
        <c:axId val="893509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9352448"/>
        <c:crosses val="autoZero"/>
        <c:auto val="1"/>
        <c:lblAlgn val="ctr"/>
        <c:lblOffset val="100"/>
        <c:noMultiLvlLbl val="1"/>
      </c:catAx>
      <c:valAx>
        <c:axId val="893524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9350912"/>
        <c:crosses val="autoZero"/>
        <c:crossBetween val="between"/>
      </c:valAx>
      <c:catAx>
        <c:axId val="89399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9400832"/>
        <c:crosses val="autoZero"/>
        <c:auto val="1"/>
        <c:lblAlgn val="ctr"/>
        <c:lblOffset val="100"/>
        <c:noMultiLvlLbl val="1"/>
      </c:catAx>
      <c:valAx>
        <c:axId val="8940083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8939929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88035227436764107"/>
          <c:h val="5.090461295077841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sz="1050" dirty="0"/>
              <a:t>Impuesto Selectivo al Consumo: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7469294533"/>
          <c:y val="0.31280786193285942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Hoja1!$B$2:$B$18</c:f>
              <c:numCache>
                <c:formatCode>_ * #,##0_ ;_ * \-#,##0_ ;_ * "-"??_ ;_ @_ </c:formatCode>
                <c:ptCount val="17"/>
                <c:pt idx="0">
                  <c:v>760.89625952365122</c:v>
                </c:pt>
                <c:pt idx="1">
                  <c:v>665.79825196208321</c:v>
                </c:pt>
                <c:pt idx="2">
                  <c:v>600.89814851657331</c:v>
                </c:pt>
                <c:pt idx="3">
                  <c:v>677.25318005834242</c:v>
                </c:pt>
                <c:pt idx="4">
                  <c:v>622.38446739096753</c:v>
                </c:pt>
                <c:pt idx="5">
                  <c:v>744.8581706006072</c:v>
                </c:pt>
                <c:pt idx="6">
                  <c:v>599.4770582116422</c:v>
                </c:pt>
                <c:pt idx="7">
                  <c:v>692.78218636493853</c:v>
                </c:pt>
                <c:pt idx="8">
                  <c:v>709.02205403939456</c:v>
                </c:pt>
                <c:pt idx="9">
                  <c:v>736.72424007156496</c:v>
                </c:pt>
                <c:pt idx="10">
                  <c:v>707.2733726979103</c:v>
                </c:pt>
                <c:pt idx="11">
                  <c:v>699.08972432117889</c:v>
                </c:pt>
                <c:pt idx="12">
                  <c:v>935.73666637714098</c:v>
                </c:pt>
                <c:pt idx="13">
                  <c:v>670.25454108416909</c:v>
                </c:pt>
                <c:pt idx="14">
                  <c:v>703.93996938972191</c:v>
                </c:pt>
                <c:pt idx="15">
                  <c:v>333.90574692999996</c:v>
                </c:pt>
                <c:pt idx="16">
                  <c:v>243.40547565443626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96414336"/>
        <c:axId val="9642432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F10-4A7F-8390-2E6E221D874C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6F10-4A7F-8390-2E6E221D874C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F10-4A7F-8390-2E6E221D874C}"/>
                </c:ext>
              </c:extLst>
            </c:dLbl>
            <c:dLbl>
              <c:idx val="12"/>
              <c:layout>
                <c:manualLayout>
                  <c:x val="-5.1492947374383959E-2"/>
                  <c:y val="-3.5933302454840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Hoja1!$C$2:$C$18</c:f>
              <c:numCache>
                <c:formatCode>0.0</c:formatCode>
                <c:ptCount val="17"/>
                <c:pt idx="0">
                  <c:v>27.353064297097095</c:v>
                </c:pt>
                <c:pt idx="1">
                  <c:v>44.57853484926342</c:v>
                </c:pt>
                <c:pt idx="2">
                  <c:v>34.908415377115396</c:v>
                </c:pt>
                <c:pt idx="3">
                  <c:v>22.733716452695862</c:v>
                </c:pt>
                <c:pt idx="4">
                  <c:v>17.260769190035852</c:v>
                </c:pt>
                <c:pt idx="5">
                  <c:v>-3.2262264323276724</c:v>
                </c:pt>
                <c:pt idx="6">
                  <c:v>20.937353235735024</c:v>
                </c:pt>
                <c:pt idx="7">
                  <c:v>10.377339773323735</c:v>
                </c:pt>
                <c:pt idx="8">
                  <c:v>-0.19734615041684389</c:v>
                </c:pt>
                <c:pt idx="9">
                  <c:v>34.563067665761629</c:v>
                </c:pt>
                <c:pt idx="10">
                  <c:v>5.4284513725262107</c:v>
                </c:pt>
                <c:pt idx="11">
                  <c:v>16.937665448133753</c:v>
                </c:pt>
                <c:pt idx="12">
                  <c:v>20.650233807642305</c:v>
                </c:pt>
                <c:pt idx="13">
                  <c:v>-1.2116522123832407</c:v>
                </c:pt>
                <c:pt idx="14">
                  <c:v>15.052359953470562</c:v>
                </c:pt>
                <c:pt idx="15">
                  <c:v>-51.532868079613813</c:v>
                </c:pt>
                <c:pt idx="16">
                  <c:v>-61.576142740564507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425856"/>
        <c:axId val="96427392"/>
      </c:lineChart>
      <c:catAx>
        <c:axId val="9641433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96424320"/>
        <c:crosses val="autoZero"/>
        <c:auto val="1"/>
        <c:lblAlgn val="ctr"/>
        <c:lblOffset val="100"/>
        <c:noMultiLvlLbl val="1"/>
      </c:catAx>
      <c:valAx>
        <c:axId val="9642432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96414336"/>
        <c:crosses val="autoZero"/>
        <c:crossBetween val="between"/>
      </c:valAx>
      <c:catAx>
        <c:axId val="96425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6427392"/>
        <c:crosses val="autoZero"/>
        <c:auto val="1"/>
        <c:lblAlgn val="ctr"/>
        <c:lblOffset val="100"/>
        <c:noMultiLvlLbl val="1"/>
      </c:catAx>
      <c:valAx>
        <c:axId val="9642739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9642585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4899450518325496E-2"/>
          <c:y val="0.93886541675896651"/>
          <c:w val="0.88035233815668335"/>
          <c:h val="5.090430249119883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Otros Ingresos: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5420226727E-3"/>
          <c:y val="5.06272858440250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0318448083262949"/>
          <c:w val="0.77181208053691219"/>
          <c:h val="0.656740692147408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873-4D72-80A5-0D2105C90D3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873-4D72-80A5-0D2105C90D30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873-4D72-80A5-0D2105C90D3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873-4D72-80A5-0D2105C90D3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F873-4D72-80A5-0D2105C90D3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873-4D72-80A5-0D2105C90D30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528A-465B-9806-49AAFE8E62E7}"/>
              </c:ext>
            </c:extLst>
          </c:dPt>
          <c:dLbls>
            <c:dLbl>
              <c:idx val="2"/>
              <c:layout>
                <c:manualLayout>
                  <c:x val="0"/>
                  <c:y val="2.3677789132606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73-4D72-80A5-0D2105C90D30}"/>
                </c:ext>
              </c:extLst>
            </c:dLbl>
            <c:dLbl>
              <c:idx val="3"/>
              <c:layout>
                <c:manualLayout>
                  <c:x val="0"/>
                  <c:y val="-0.280786301904893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73-4D72-80A5-0D2105C90D30}"/>
                </c:ext>
              </c:extLst>
            </c:dLbl>
            <c:dLbl>
              <c:idx val="4"/>
              <c:layout>
                <c:manualLayout>
                  <c:x val="-6.50110693175489E-17"/>
                  <c:y val="-5.25721847976322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73-4D72-80A5-0D2105C90D30}"/>
                </c:ext>
              </c:extLst>
            </c:dLbl>
            <c:dLbl>
              <c:idx val="5"/>
              <c:layout>
                <c:manualLayout>
                  <c:x val="3.5460992907801418E-3"/>
                  <c:y val="-9.08630702404674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73-4D72-80A5-0D2105C90D30}"/>
                </c:ext>
              </c:extLst>
            </c:dLbl>
            <c:dLbl>
              <c:idx val="6"/>
              <c:layout>
                <c:manualLayout>
                  <c:x val="0"/>
                  <c:y val="-3.59121856697842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73-4D72-80A5-0D2105C90D30}"/>
                </c:ext>
              </c:extLst>
            </c:dLbl>
            <c:dLbl>
              <c:idx val="7"/>
              <c:layout>
                <c:manualLayout>
                  <c:x val="-6.50110693175489E-17"/>
                  <c:y val="-5.709562009059004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73-4D72-80A5-0D2105C90D30}"/>
                </c:ext>
              </c:extLst>
            </c:dLbl>
            <c:dLbl>
              <c:idx val="8"/>
              <c:layout>
                <c:manualLayout>
                  <c:x val="-6.50110693175489E-17"/>
                  <c:y val="-0.164990681245508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73-4D72-80A5-0D2105C90D30}"/>
                </c:ext>
              </c:extLst>
            </c:dLbl>
            <c:dLbl>
              <c:idx val="9"/>
              <c:layout>
                <c:manualLayout>
                  <c:x val="0"/>
                  <c:y val="-9.37449637962122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873-4D72-80A5-0D2105C90D30}"/>
                </c:ext>
              </c:extLst>
            </c:dLbl>
            <c:dLbl>
              <c:idx val="10"/>
              <c:layout>
                <c:manualLayout>
                  <c:x val="-3.5460992907801418E-3"/>
                  <c:y val="-0.118194417848021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73-4D72-80A5-0D2105C90D30}"/>
                </c:ext>
              </c:extLst>
            </c:dLbl>
            <c:dLbl>
              <c:idx val="11"/>
              <c:layout>
                <c:manualLayout>
                  <c:x val="0"/>
                  <c:y val="-0.168339744914500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73-4D72-80A5-0D2105C90D30}"/>
                </c:ext>
              </c:extLst>
            </c:dLbl>
            <c:dLbl>
              <c:idx val="13"/>
              <c:layout>
                <c:manualLayout>
                  <c:x val="-1.0638297872340425E-2"/>
                  <c:y val="-6.188108017920827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73-4D72-80A5-0D2105C90D30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28A-465B-9806-49AAFE8E62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Hoja1!$B$2:$B$18</c:f>
              <c:numCache>
                <c:formatCode>_ * #,##0_ ;_ * \-#,##0_ ;_ * "-"??_ ;_ @_ </c:formatCode>
                <c:ptCount val="17"/>
                <c:pt idx="0">
                  <c:v>412.28219118818845</c:v>
                </c:pt>
                <c:pt idx="1">
                  <c:v>559.00809624483031</c:v>
                </c:pt>
                <c:pt idx="2">
                  <c:v>427.35566726755178</c:v>
                </c:pt>
                <c:pt idx="3">
                  <c:v>1753.2959422747483</c:v>
                </c:pt>
                <c:pt idx="4">
                  <c:v>955.99035965648704</c:v>
                </c:pt>
                <c:pt idx="5">
                  <c:v>1048.6657849287446</c:v>
                </c:pt>
                <c:pt idx="6">
                  <c:v>941.56218595787675</c:v>
                </c:pt>
                <c:pt idx="7">
                  <c:v>901.62989651757607</c:v>
                </c:pt>
                <c:pt idx="8">
                  <c:v>1060.994763691735</c:v>
                </c:pt>
                <c:pt idx="9">
                  <c:v>1004.6511934457359</c:v>
                </c:pt>
                <c:pt idx="10">
                  <c:v>1132.6822187601826</c:v>
                </c:pt>
                <c:pt idx="11">
                  <c:v>1239.8543257711844</c:v>
                </c:pt>
                <c:pt idx="12">
                  <c:v>514.58498409404456</c:v>
                </c:pt>
                <c:pt idx="13">
                  <c:v>465.09320408573763</c:v>
                </c:pt>
                <c:pt idx="14">
                  <c:v>343.75435370401254</c:v>
                </c:pt>
                <c:pt idx="15">
                  <c:v>758.74514519593436</c:v>
                </c:pt>
                <c:pt idx="16">
                  <c:v>578.84564452365487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873-4D72-80A5-0D2105C90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96304128"/>
        <c:axId val="9869798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867091081699913E-2"/>
                  <c:y val="1.1570044233274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873-4D72-80A5-0D2105C90D30}"/>
                </c:ext>
              </c:extLst>
            </c:dLbl>
            <c:dLbl>
              <c:idx val="1"/>
              <c:layout>
                <c:manualLayout>
                  <c:x val="-5.7757301613894009E-2"/>
                  <c:y val="-3.6587913869302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873-4D72-80A5-0D2105C90D30}"/>
                </c:ext>
              </c:extLst>
            </c:dLbl>
            <c:dLbl>
              <c:idx val="3"/>
              <c:layout>
                <c:manualLayout>
                  <c:x val="-5.7757301613894009E-2"/>
                  <c:y val="-1.7324730628271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873-4D72-80A5-0D2105C90D30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F873-4D72-80A5-0D2105C90D30}"/>
                </c:ext>
              </c:extLst>
            </c:dLbl>
            <c:dLbl>
              <c:idx val="6"/>
              <c:layout>
                <c:manualLayout>
                  <c:x val="-5.4592338191768584E-2"/>
                  <c:y val="-7.0298484541105932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873-4D72-80A5-0D2105C90D3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F873-4D72-80A5-0D2105C90D30}"/>
                </c:ext>
              </c:extLst>
            </c:dLbl>
            <c:dLbl>
              <c:idx val="8"/>
              <c:layout>
                <c:manualLayout>
                  <c:x val="-5.3413190372480039E-2"/>
                  <c:y val="-3.1772118059044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873-4D72-80A5-0D2105C90D30}"/>
                </c:ext>
              </c:extLst>
            </c:dLbl>
            <c:dLbl>
              <c:idx val="12"/>
              <c:layout>
                <c:manualLayout>
                  <c:x val="-6.1303400904674149E-2"/>
                  <c:y val="-2.6956322248787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873-4D72-80A5-0D2105C90D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Hoja1!$C$2:$C$18</c:f>
              <c:numCache>
                <c:formatCode>0.0</c:formatCode>
                <c:ptCount val="17"/>
                <c:pt idx="0">
                  <c:v>9.7718952109620894</c:v>
                </c:pt>
                <c:pt idx="1">
                  <c:v>42.073614576503957</c:v>
                </c:pt>
                <c:pt idx="2">
                  <c:v>-22.547455781026571</c:v>
                </c:pt>
                <c:pt idx="3">
                  <c:v>30.507292770436155</c:v>
                </c:pt>
                <c:pt idx="4">
                  <c:v>-0.59288854314618611</c:v>
                </c:pt>
                <c:pt idx="5">
                  <c:v>7.6912968980379803</c:v>
                </c:pt>
                <c:pt idx="6">
                  <c:v>-1.666024678138367</c:v>
                </c:pt>
                <c:pt idx="7">
                  <c:v>-6.9074013584621285</c:v>
                </c:pt>
                <c:pt idx="8">
                  <c:v>3.965006725834197</c:v>
                </c:pt>
                <c:pt idx="9">
                  <c:v>13.310324903962201</c:v>
                </c:pt>
                <c:pt idx="10">
                  <c:v>14.631263119293303</c:v>
                </c:pt>
                <c:pt idx="11">
                  <c:v>3.007852487805307</c:v>
                </c:pt>
                <c:pt idx="12">
                  <c:v>22.451047077919561</c:v>
                </c:pt>
                <c:pt idx="13">
                  <c:v>-18.354828942146007</c:v>
                </c:pt>
                <c:pt idx="14">
                  <c:v>-21.005993269976841</c:v>
                </c:pt>
                <c:pt idx="15">
                  <c:v>-57.458267011406839</c:v>
                </c:pt>
                <c:pt idx="16">
                  <c:v>-40.510732834138366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8-F873-4D72-80A5-0D2105C90D3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873-4D72-80A5-0D2105C90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699520"/>
        <c:axId val="98701312"/>
      </c:lineChart>
      <c:catAx>
        <c:axId val="9630412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98697984"/>
        <c:crosses val="autoZero"/>
        <c:auto val="1"/>
        <c:lblAlgn val="ctr"/>
        <c:lblOffset val="100"/>
        <c:noMultiLvlLbl val="1"/>
      </c:catAx>
      <c:valAx>
        <c:axId val="9869798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96304128"/>
        <c:crosses val="autoZero"/>
        <c:crossBetween val="between"/>
      </c:valAx>
      <c:catAx>
        <c:axId val="98699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8701312"/>
        <c:crosses val="autoZero"/>
        <c:auto val="1"/>
        <c:lblAlgn val="ctr"/>
        <c:lblOffset val="100"/>
        <c:noMultiLvlLbl val="1"/>
      </c:catAx>
      <c:valAx>
        <c:axId val="9870131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9869952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62191573127827104"/>
          <c:h val="5.090446739140306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17177557602E-3"/>
          <c:y val="5.694607694757076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810-4C21-809F-40B431EADB1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810-4C21-809F-40B431EADB1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810-4C21-809F-40B431EADB1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810-4C21-809F-40B431EADB11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810-4C21-809F-40B431EADB11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810-4C21-809F-40B431EADB11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5FDD-415A-83B1-673BDD39CF96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10-4C21-809F-40B431EADB11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10-4C21-809F-40B431EADB11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10-4C21-809F-40B431EADB11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810-4C21-809F-40B431EADB11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10-4C21-809F-40B431EADB11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810-4C21-809F-40B431EADB11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10-4C21-809F-40B431EADB11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10-4C21-809F-40B431EADB11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FDD-415A-83B1-673BDD39CF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Hoja1!$B$2:$B$18</c:f>
              <c:numCache>
                <c:formatCode>_ * #,##0_ ;_ * \-#,##0_ ;_ * "-"??_ ;_ @_ </c:formatCode>
                <c:ptCount val="17"/>
                <c:pt idx="0">
                  <c:v>1358.7329106499999</c:v>
                </c:pt>
                <c:pt idx="1">
                  <c:v>1403.1535919200001</c:v>
                </c:pt>
                <c:pt idx="2">
                  <c:v>1509.3360644700001</c:v>
                </c:pt>
                <c:pt idx="3">
                  <c:v>1565.88689507</c:v>
                </c:pt>
                <c:pt idx="4">
                  <c:v>1413.4470449800001</c:v>
                </c:pt>
                <c:pt idx="5">
                  <c:v>1477.0511054199999</c:v>
                </c:pt>
                <c:pt idx="6">
                  <c:v>1730.4481928</c:v>
                </c:pt>
                <c:pt idx="7">
                  <c:v>1863.4691493700002</c:v>
                </c:pt>
                <c:pt idx="8">
                  <c:v>1519.9039077499999</c:v>
                </c:pt>
                <c:pt idx="9">
                  <c:v>1476.5799695100002</c:v>
                </c:pt>
                <c:pt idx="10">
                  <c:v>1371.0311308800001</c:v>
                </c:pt>
                <c:pt idx="11">
                  <c:v>1362.0153303100001</c:v>
                </c:pt>
                <c:pt idx="12">
                  <c:v>1346.47012793</c:v>
                </c:pt>
                <c:pt idx="13">
                  <c:v>1510.6560846499999</c:v>
                </c:pt>
                <c:pt idx="14">
                  <c:v>1429.9930229399999</c:v>
                </c:pt>
                <c:pt idx="15">
                  <c:v>1399.0415506300001</c:v>
                </c:pt>
                <c:pt idx="16">
                  <c:v>1057.4114015299999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810-4C21-809F-40B431EAD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16060544"/>
        <c:axId val="11606208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810-4C21-809F-40B431EADB11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810-4C21-809F-40B431EADB11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810-4C21-809F-40B431EADB11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A810-4C21-809F-40B431EADB11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A810-4C21-809F-40B431EADB11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810-4C21-809F-40B431EADB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Hoja1!$C$2:$C$18</c:f>
              <c:numCache>
                <c:formatCode>0.0</c:formatCode>
                <c:ptCount val="17"/>
                <c:pt idx="0">
                  <c:v>-1.7827162427848653</c:v>
                </c:pt>
                <c:pt idx="1">
                  <c:v>-15.182425724440563</c:v>
                </c:pt>
                <c:pt idx="2">
                  <c:v>20.211732548118633</c:v>
                </c:pt>
                <c:pt idx="3">
                  <c:v>9.6512952375093164</c:v>
                </c:pt>
                <c:pt idx="4">
                  <c:v>13.202840022752472</c:v>
                </c:pt>
                <c:pt idx="5">
                  <c:v>9.3951975215185399</c:v>
                </c:pt>
                <c:pt idx="6">
                  <c:v>4.1613941403018773</c:v>
                </c:pt>
                <c:pt idx="7">
                  <c:v>39.390498367663042</c:v>
                </c:pt>
                <c:pt idx="8">
                  <c:v>9.9048747749446164</c:v>
                </c:pt>
                <c:pt idx="9">
                  <c:v>6.1752126874658808</c:v>
                </c:pt>
                <c:pt idx="10">
                  <c:v>2.4091973403896016</c:v>
                </c:pt>
                <c:pt idx="11">
                  <c:v>-9.5233596016923485</c:v>
                </c:pt>
                <c:pt idx="12">
                  <c:v>-2.7784372690184078</c:v>
                </c:pt>
                <c:pt idx="13">
                  <c:v>5.6498778983682607</c:v>
                </c:pt>
                <c:pt idx="14">
                  <c:v>-6.9153676940611035</c:v>
                </c:pt>
                <c:pt idx="15">
                  <c:v>-12.169631818476311</c:v>
                </c:pt>
                <c:pt idx="16">
                  <c:v>-26.498905086769597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3-A810-4C21-809F-40B431EADB11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Hoja1!$A$2:$A$18</c:f>
              <c:strCache>
                <c:ptCount val="17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A810-4C21-809F-40B431EAD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063616"/>
        <c:axId val="123696256"/>
      </c:lineChart>
      <c:catAx>
        <c:axId val="116060544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16062080"/>
        <c:crosses val="autoZero"/>
        <c:auto val="1"/>
        <c:lblAlgn val="ctr"/>
        <c:lblOffset val="100"/>
        <c:noMultiLvlLbl val="1"/>
      </c:catAx>
      <c:valAx>
        <c:axId val="11606208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16060544"/>
        <c:crosses val="autoZero"/>
        <c:crossBetween val="between"/>
      </c:valAx>
      <c:catAx>
        <c:axId val="116063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3696256"/>
        <c:crosses val="autoZero"/>
        <c:auto val="1"/>
        <c:lblAlgn val="ctr"/>
        <c:lblOffset val="100"/>
        <c:noMultiLvlLbl val="1"/>
      </c:catAx>
      <c:valAx>
        <c:axId val="12369625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116063616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59099793377"/>
          <c:y val="0.90915555800158032"/>
          <c:w val="0.6498556430446194"/>
          <c:h val="5.090435213321749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Vecorena Jorge Luis</dc:creator>
  <cp:keywords/>
  <dc:description/>
  <cp:lastModifiedBy>Manzaneda Miranda Gardy Raul</cp:lastModifiedBy>
  <cp:revision>4</cp:revision>
  <dcterms:created xsi:type="dcterms:W3CDTF">2020-06-13T17:56:00Z</dcterms:created>
  <dcterms:modified xsi:type="dcterms:W3CDTF">2020-06-17T16:16:00Z</dcterms:modified>
</cp:coreProperties>
</file>