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3A1" w:rsidRPr="001C73A1" w:rsidRDefault="001C73A1" w:rsidP="001C73A1">
      <w:pPr>
        <w:ind w:left="1134" w:right="474"/>
        <w:jc w:val="right"/>
        <w:rPr>
          <w:rFonts w:eastAsia="Arial Unicode MS" w:cs="Arial"/>
          <w:b/>
          <w:i/>
        </w:rPr>
      </w:pPr>
      <w:r w:rsidRPr="001C73A1">
        <w:rPr>
          <w:rFonts w:eastAsia="Arial Unicode MS" w:cs="Arial"/>
          <w:b/>
          <w:i/>
        </w:rPr>
        <w:t xml:space="preserve">Nota de prensa </w:t>
      </w:r>
      <w:proofErr w:type="spellStart"/>
      <w:r w:rsidRPr="001C73A1">
        <w:rPr>
          <w:rFonts w:eastAsia="Arial Unicode MS" w:cs="Arial"/>
          <w:b/>
          <w:i/>
        </w:rPr>
        <w:t>N°</w:t>
      </w:r>
      <w:proofErr w:type="spellEnd"/>
      <w:r w:rsidRPr="001C73A1">
        <w:rPr>
          <w:rFonts w:eastAsia="Arial Unicode MS" w:cs="Arial"/>
          <w:b/>
          <w:i/>
        </w:rPr>
        <w:t xml:space="preserve"> 056-2020</w:t>
      </w:r>
    </w:p>
    <w:p w:rsidR="008D0CA8" w:rsidRPr="001C73A1" w:rsidRDefault="001444E8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ind w:left="66"/>
        <w:jc w:val="center"/>
        <w:rPr>
          <w:rFonts w:ascii="Arial" w:eastAsia="Arial" w:hAnsi="Arial" w:cs="Arial"/>
          <w:b/>
          <w:sz w:val="32"/>
          <w:szCs w:val="32"/>
        </w:rPr>
      </w:pPr>
      <w:r w:rsidRPr="001C73A1">
        <w:rPr>
          <w:rFonts w:ascii="Arial" w:eastAsia="Arial" w:hAnsi="Arial" w:cs="Arial"/>
          <w:b/>
          <w:sz w:val="32"/>
          <w:szCs w:val="32"/>
        </w:rPr>
        <w:t xml:space="preserve">RECAUDACIÓN DE ABRIL REFLEJA LAS MEDIDAS EN FAVOR DE LOS </w:t>
      </w:r>
      <w:bookmarkStart w:id="0" w:name="_GoBack"/>
      <w:bookmarkEnd w:id="0"/>
      <w:r w:rsidRPr="001C73A1">
        <w:rPr>
          <w:rFonts w:ascii="Arial" w:eastAsia="Arial" w:hAnsi="Arial" w:cs="Arial"/>
          <w:b/>
          <w:sz w:val="32"/>
          <w:szCs w:val="32"/>
        </w:rPr>
        <w:t xml:space="preserve">CONTRIBUYENTES Y LA MENOR ACTIVIDAD ECONÓMICA </w:t>
      </w:r>
    </w:p>
    <w:p w:rsidR="008D0CA8" w:rsidRDefault="008D0CA8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ind w:left="66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</w:p>
    <w:p w:rsidR="008D0CA8" w:rsidRDefault="001444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357"/>
        <w:jc w:val="both"/>
        <w:rPr>
          <w:b/>
          <w:i/>
          <w:strike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>Los ingresos tributarios del cuarto mes del año sumaron S/ 7 761 millones.</w:t>
      </w:r>
    </w:p>
    <w:p w:rsidR="008D0CA8" w:rsidRDefault="001444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720"/>
        <w:jc w:val="both"/>
        <w:rPr>
          <w:rFonts w:ascii="Arial" w:eastAsia="Arial" w:hAnsi="Arial" w:cs="Arial"/>
          <w:b/>
          <w:i/>
          <w:strike/>
          <w:color w:val="000000"/>
        </w:rPr>
      </w:pPr>
      <w:r>
        <w:rPr>
          <w:rFonts w:ascii="Arial" w:eastAsia="Arial" w:hAnsi="Arial" w:cs="Arial"/>
          <w:b/>
          <w:i/>
          <w:strike/>
          <w:color w:val="000000"/>
        </w:rPr>
        <w:t xml:space="preserve"> </w:t>
      </w:r>
    </w:p>
    <w:p w:rsidR="008D0CA8" w:rsidRDefault="001444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357"/>
        <w:jc w:val="both"/>
        <w:rPr>
          <w:b/>
          <w:i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>Cifra no es directamente comparable con el mes de abril de 2019, debido a las medidas excepcionales adoptadas ante la pandemia del coronavirus.</w:t>
      </w:r>
    </w:p>
    <w:p w:rsidR="008D0CA8" w:rsidRDefault="001444E8">
      <w:pPr>
        <w:ind w:left="284" w:hanging="218"/>
        <w:rPr>
          <w:rFonts w:ascii="Arial" w:eastAsia="Arial" w:hAnsi="Arial" w:cs="Arial"/>
          <w:sz w:val="24"/>
          <w:szCs w:val="24"/>
        </w:rPr>
      </w:pPr>
      <w:r>
        <w:pict w14:anchorId="15D4577C">
          <v:rect id="_x0000_i1025" style="width:0;height:1.5pt" o:hralign="center" o:hrstd="t" o:hr="t" fillcolor="#a0a0a0" stroked="f"/>
        </w:pict>
      </w:r>
    </w:p>
    <w:p w:rsidR="008D0CA8" w:rsidRDefault="001444E8">
      <w:pPr>
        <w:ind w:left="284"/>
        <w:rPr>
          <w:rFonts w:ascii="Arial" w:eastAsia="Arial" w:hAnsi="Arial" w:cs="Arial"/>
          <w:b/>
          <w:color w:val="0070C0"/>
          <w:sz w:val="24"/>
          <w:szCs w:val="24"/>
        </w:rPr>
      </w:pPr>
      <w:r>
        <w:rPr>
          <w:rFonts w:ascii="Arial" w:eastAsia="Arial" w:hAnsi="Arial" w:cs="Arial"/>
          <w:b/>
          <w:color w:val="0070C0"/>
          <w:sz w:val="24"/>
          <w:szCs w:val="24"/>
        </w:rPr>
        <w:t>Resultados de la recaudación de abril 2020</w:t>
      </w:r>
    </w:p>
    <w:p w:rsidR="008D0CA8" w:rsidRDefault="001444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18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En abril 2020, se recaudaron S/ 7 761 millones de ingresos tributarios del Gobierno Central (descontando las devoluciones de impuestos). Ver Anexo 1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2397125</wp:posOffset>
            </wp:positionH>
            <wp:positionV relativeFrom="paragraph">
              <wp:posOffset>51075</wp:posOffset>
            </wp:positionV>
            <wp:extent cx="4019550" cy="2981325"/>
            <wp:effectExtent l="0" t="0" r="0" b="0"/>
            <wp:wrapSquare wrapText="bothSides" distT="0" distB="0" distL="114300" distR="11430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2981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D0CA8" w:rsidRDefault="008D0CA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8D0CA8" w:rsidRDefault="001444E8">
      <w:pPr>
        <w:spacing w:after="0" w:line="276" w:lineRule="auto"/>
        <w:ind w:left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Esta cifra refleja el esfuerzo del Ejecutivo realizado a través de las medidas de alivio tributario que </w:t>
      </w:r>
      <w:r>
        <w:rPr>
          <w:rFonts w:ascii="Arial" w:eastAsia="Arial" w:hAnsi="Arial" w:cs="Arial"/>
        </w:rPr>
        <w:t>se adoptaron para amortiguar el impacto de la pandemia por el coronavirus COVID-19, tal como la postergación del pago de impuestos para el 99.5% de las empresas. Ver recaudación en el Anexo 1.</w:t>
      </w:r>
    </w:p>
    <w:p w:rsidR="008D0CA8" w:rsidRDefault="008D0CA8">
      <w:pPr>
        <w:spacing w:after="0" w:line="276" w:lineRule="auto"/>
        <w:ind w:left="284"/>
        <w:jc w:val="both"/>
        <w:rPr>
          <w:rFonts w:ascii="Arial" w:eastAsia="Arial" w:hAnsi="Arial" w:cs="Arial"/>
        </w:rPr>
      </w:pPr>
    </w:p>
    <w:p w:rsidR="008D0CA8" w:rsidRDefault="001444E8">
      <w:pPr>
        <w:spacing w:after="0" w:line="276" w:lineRule="auto"/>
        <w:ind w:left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Dicho importe representa S/ 5 223 millones menos que lo obteni</w:t>
      </w:r>
      <w:r>
        <w:rPr>
          <w:rFonts w:ascii="Arial" w:eastAsia="Arial" w:hAnsi="Arial" w:cs="Arial"/>
        </w:rPr>
        <w:t>do en abril 2019 y una reducción de 41,2% de la recaudación.</w:t>
      </w:r>
    </w:p>
    <w:p w:rsidR="008D0CA8" w:rsidRDefault="008D0CA8">
      <w:pPr>
        <w:spacing w:after="0" w:line="276" w:lineRule="auto"/>
        <w:ind w:left="284"/>
        <w:jc w:val="both"/>
        <w:rPr>
          <w:rFonts w:ascii="Arial" w:eastAsia="Arial" w:hAnsi="Arial" w:cs="Arial"/>
        </w:rPr>
      </w:pPr>
    </w:p>
    <w:p w:rsidR="008D0CA8" w:rsidRDefault="001444E8">
      <w:pPr>
        <w:spacing w:after="0" w:line="276" w:lineRule="auto"/>
        <w:ind w:left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disminución reportada tiene 3 orígenes principales:</w:t>
      </w:r>
    </w:p>
    <w:p w:rsidR="008D0CA8" w:rsidRDefault="008D0CA8">
      <w:pPr>
        <w:spacing w:after="0" w:line="276" w:lineRule="auto"/>
        <w:ind w:left="284"/>
        <w:jc w:val="both"/>
        <w:rPr>
          <w:rFonts w:ascii="Arial" w:eastAsia="Arial" w:hAnsi="Arial" w:cs="Arial"/>
        </w:rPr>
      </w:pPr>
    </w:p>
    <w:p w:rsidR="008D0CA8" w:rsidRDefault="001444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La postergación de las declaraciones y pagos.</w:t>
      </w:r>
    </w:p>
    <w:p w:rsidR="008D0CA8" w:rsidRDefault="001444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La menor actividad económica durante el mes de marzo (mes que se declara y paga en abril) asociada con el inicio de la declaración de inmovilización obligatoria el 16 de marzo de 2020.</w:t>
      </w:r>
    </w:p>
    <w:p w:rsidR="008D0CA8" w:rsidRDefault="001444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Un efecto estadístico en contra dado que en abril de 2019 se obtuvieron más de S/ 1 000 millones en pagos extraordinarios, lo cual incrementa la base de comparación para abril de 2020.</w:t>
      </w:r>
    </w:p>
    <w:p w:rsidR="008D0CA8" w:rsidRDefault="008D0CA8">
      <w:pPr>
        <w:spacing w:after="0"/>
        <w:ind w:left="284"/>
        <w:jc w:val="both"/>
        <w:rPr>
          <w:rFonts w:ascii="Arial" w:eastAsia="Arial" w:hAnsi="Arial" w:cs="Arial"/>
        </w:rPr>
      </w:pPr>
    </w:p>
    <w:p w:rsidR="008D0CA8" w:rsidRDefault="001444E8">
      <w:pPr>
        <w:spacing w:after="0"/>
        <w:ind w:left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Las medidas de alivio tributarias implementadas, como la </w:t>
      </w:r>
      <w:proofErr w:type="spellStart"/>
      <w:r>
        <w:rPr>
          <w:rFonts w:ascii="Arial" w:eastAsia="Arial" w:hAnsi="Arial" w:cs="Arial"/>
        </w:rPr>
        <w:t>postergacion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mencionada para los contribuyentes que durante 2019 obtuvieron ingresos netos que no superaron las 5 000 UIT, </w:t>
      </w:r>
      <w:r>
        <w:rPr>
          <w:rFonts w:ascii="Arial" w:eastAsia="Arial" w:hAnsi="Arial" w:cs="Arial"/>
        </w:rPr>
        <w:lastRenderedPageBreak/>
        <w:t>implican un gran esfuerzo para el Estado en términos de una menor recaudación;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</w:rPr>
        <w:t>razón por la que los ingresos obtenidos este mes no son directament</w:t>
      </w:r>
      <w:r>
        <w:rPr>
          <w:rFonts w:ascii="Arial" w:eastAsia="Arial" w:hAnsi="Arial" w:cs="Arial"/>
        </w:rPr>
        <w:t>e comparables con los periodos anteriores.</w:t>
      </w:r>
    </w:p>
    <w:p w:rsidR="008D0CA8" w:rsidRDefault="008D0CA8">
      <w:pPr>
        <w:spacing w:after="0"/>
        <w:ind w:left="284"/>
        <w:jc w:val="both"/>
        <w:rPr>
          <w:rFonts w:ascii="Arial" w:eastAsia="Arial" w:hAnsi="Arial" w:cs="Arial"/>
        </w:rPr>
      </w:pPr>
    </w:p>
    <w:p w:rsidR="008D0CA8" w:rsidRDefault="001444E8">
      <w:pPr>
        <w:spacing w:after="0"/>
        <w:ind w:left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 abril de 2020 aproximadamente el 90% de la recaudación obtenida fue aportada por los contribuyentes que superaron dicho límite, a cuyos pagos se adicionan aquellos realizados por otros contribuyentes de menor </w:t>
      </w:r>
      <w:r>
        <w:rPr>
          <w:rFonts w:ascii="Arial" w:eastAsia="Arial" w:hAnsi="Arial" w:cs="Arial"/>
        </w:rPr>
        <w:t>tamaño, ya sea porque optaron por no hacer uso de la postergación o porque pagaron obligaciones correspondientes a períodos anteriores.</w:t>
      </w:r>
    </w:p>
    <w:p w:rsidR="008D0CA8" w:rsidRDefault="008D0CA8">
      <w:pPr>
        <w:spacing w:after="0"/>
        <w:ind w:left="284"/>
        <w:jc w:val="both"/>
        <w:rPr>
          <w:rFonts w:ascii="Arial" w:eastAsia="Arial" w:hAnsi="Arial" w:cs="Arial"/>
        </w:rPr>
      </w:pPr>
    </w:p>
    <w:p w:rsidR="008D0CA8" w:rsidRDefault="001444E8">
      <w:pPr>
        <w:spacing w:after="0"/>
        <w:ind w:left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 esta forma, aproximadamente el 96% de los contribuyentes para los que se mantuvo la obligación de declarar y pagar d</w:t>
      </w:r>
      <w:r>
        <w:rPr>
          <w:rFonts w:ascii="Arial" w:eastAsia="Arial" w:hAnsi="Arial" w:cs="Arial"/>
        </w:rPr>
        <w:t>urante el mes de abril, cumplieron oportunamente; en tanto que respecto de aquellos que la aplazaron, la SUNAT viene tomando las acciones necesarias para su regularización.</w:t>
      </w:r>
    </w:p>
    <w:p w:rsidR="008D0CA8" w:rsidRDefault="008D0CA8">
      <w:pPr>
        <w:spacing w:after="0"/>
        <w:ind w:left="284"/>
        <w:jc w:val="both"/>
        <w:rPr>
          <w:rFonts w:ascii="Arial" w:eastAsia="Arial" w:hAnsi="Arial" w:cs="Arial"/>
        </w:rPr>
      </w:pPr>
    </w:p>
    <w:p w:rsidR="008D0CA8" w:rsidRDefault="001444E8">
      <w:pPr>
        <w:spacing w:after="0"/>
        <w:ind w:left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 estima que las medidas de alivio tributario, en lo que va del año (marzo – abri</w:t>
      </w:r>
      <w:r>
        <w:rPr>
          <w:rFonts w:ascii="Arial" w:eastAsia="Arial" w:hAnsi="Arial" w:cs="Arial"/>
        </w:rPr>
        <w:t xml:space="preserve">l) implicaron unos S/ 1 800 millones menos de recaudación, lo que incluyó la postergación del pago de tributos mensual, la ampliación de plazos para el pago de cuotas de fraccionamiento y la suspensión de las medidas de </w:t>
      </w:r>
      <w:proofErr w:type="spellStart"/>
      <w:r>
        <w:rPr>
          <w:rFonts w:ascii="Arial" w:eastAsia="Arial" w:hAnsi="Arial" w:cs="Arial"/>
        </w:rPr>
        <w:t>recuperacion</w:t>
      </w:r>
      <w:proofErr w:type="spellEnd"/>
      <w:r>
        <w:rPr>
          <w:rFonts w:ascii="Arial" w:eastAsia="Arial" w:hAnsi="Arial" w:cs="Arial"/>
        </w:rPr>
        <w:t xml:space="preserve"> de deuda tributaria, en</w:t>
      </w:r>
      <w:r>
        <w:rPr>
          <w:rFonts w:ascii="Arial" w:eastAsia="Arial" w:hAnsi="Arial" w:cs="Arial"/>
        </w:rPr>
        <w:t>tre otras.</w:t>
      </w:r>
    </w:p>
    <w:p w:rsidR="008D0CA8" w:rsidRDefault="008D0CA8">
      <w:pPr>
        <w:spacing w:after="0"/>
        <w:ind w:left="284"/>
        <w:jc w:val="both"/>
        <w:rPr>
          <w:rFonts w:ascii="Arial" w:eastAsia="Arial" w:hAnsi="Arial" w:cs="Arial"/>
        </w:rPr>
      </w:pPr>
    </w:p>
    <w:p w:rsidR="008D0CA8" w:rsidRDefault="001444E8">
      <w:pPr>
        <w:ind w:left="284" w:hanging="218"/>
        <w:rPr>
          <w:rFonts w:ascii="Arial" w:eastAsia="Arial" w:hAnsi="Arial" w:cs="Arial"/>
          <w:b/>
          <w:color w:val="0070C0"/>
        </w:rPr>
      </w:pPr>
      <w:r>
        <w:rPr>
          <w:rFonts w:ascii="Arial" w:eastAsia="Arial" w:hAnsi="Arial" w:cs="Arial"/>
          <w:b/>
          <w:color w:val="0070C0"/>
        </w:rPr>
        <w:t>Principales resultados por tributos</w:t>
      </w:r>
      <w:r>
        <w:rPr>
          <w:color w:val="0070C0"/>
        </w:rPr>
        <w:t xml:space="preserve"> </w:t>
      </w:r>
    </w:p>
    <w:p w:rsidR="008D0CA8" w:rsidRDefault="001444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18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En abril de 2020 se recaudaron S/ 4 618 millones por concepto de Impuesto a la Renta, importe que significó S/ 2 239 millones de menor recaudación con respecto a abril del año 2019.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2470006</wp:posOffset>
            </wp:positionH>
            <wp:positionV relativeFrom="paragraph">
              <wp:posOffset>16629</wp:posOffset>
            </wp:positionV>
            <wp:extent cx="3835400" cy="2857500"/>
            <wp:effectExtent l="0" t="0" r="0" b="0"/>
            <wp:wrapSquare wrapText="bothSides" distT="0" distB="0" distL="114300" distR="114300"/>
            <wp:docPr id="6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35400" cy="285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D0CA8" w:rsidRDefault="008D0CA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720"/>
        <w:jc w:val="both"/>
        <w:rPr>
          <w:rFonts w:ascii="Arial" w:eastAsia="Arial" w:hAnsi="Arial" w:cs="Arial"/>
          <w:color w:val="000000"/>
        </w:rPr>
      </w:pPr>
    </w:p>
    <w:p w:rsidR="008D0CA8" w:rsidRDefault="001444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18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Este resultado se explicó por el ya mencionado diferimiento de obligacio</w:t>
      </w:r>
      <w:r>
        <w:rPr>
          <w:rFonts w:ascii="Arial" w:eastAsia="Arial" w:hAnsi="Arial" w:cs="Arial"/>
          <w:color w:val="000000"/>
        </w:rPr>
        <w:t>nes, la menor actividad económica causada por la cuarentena y los pagos extraordinarios del mismo mes de 2019.</w:t>
      </w:r>
    </w:p>
    <w:p w:rsidR="008D0CA8" w:rsidRDefault="008D0C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8D0CA8" w:rsidRDefault="001444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18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La recaudación del IGV total alcanzó los S/ 3 378 millones que representa S/ 1 766 millones menos con respecto a lo obtenido en abril de 2019. </w:t>
      </w:r>
    </w:p>
    <w:p w:rsidR="008D0CA8" w:rsidRDefault="001444E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2633345</wp:posOffset>
            </wp:positionH>
            <wp:positionV relativeFrom="paragraph">
              <wp:posOffset>201295</wp:posOffset>
            </wp:positionV>
            <wp:extent cx="3670300" cy="2600960"/>
            <wp:effectExtent l="0" t="0" r="0" b="0"/>
            <wp:wrapSquare wrapText="bothSides" distT="0" distB="0" distL="114300" distR="11430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26009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D0CA8" w:rsidRDefault="001444E8">
      <w:pPr>
        <w:spacing w:line="276" w:lineRule="auto"/>
        <w:ind w:left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nivel de componentes, el IGV interno registró una recaudación de S/ 1 870 millones, monto que evidencia una contracción influenciada principalmente por la ya mencionada postergación del pago de obligaciones para las empresas; así como por el menor dese</w:t>
      </w:r>
      <w:r>
        <w:rPr>
          <w:rFonts w:ascii="Arial" w:eastAsia="Arial" w:hAnsi="Arial" w:cs="Arial"/>
        </w:rPr>
        <w:t>mpeño de la demanda interna.</w:t>
      </w:r>
    </w:p>
    <w:p w:rsidR="008D0CA8" w:rsidRDefault="001444E8">
      <w:pPr>
        <w:spacing w:after="0" w:line="276" w:lineRule="auto"/>
        <w:ind w:left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Por su parte, el IGV importaciones recaudó S/ 1 508 millones, lo que representa una contracción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</w:rPr>
        <w:t>asociada a las menores importaciones de abril, tendencia observada desde febrero pasado como consecuencia de la expansión del COVID-19.</w:t>
      </w:r>
    </w:p>
    <w:p w:rsidR="008D0CA8" w:rsidRDefault="001444E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720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1" w:name="_gjdgxs" w:colFirst="0" w:colLast="0"/>
      <w:bookmarkEnd w:id="1"/>
      <w:r>
        <w:rPr>
          <w:noProof/>
        </w:rPr>
        <w:drawing>
          <wp:anchor distT="0" distB="0" distL="114300" distR="114300" simplePos="0" relativeHeight="251661312" behindDoc="0" locked="0" layoutInCell="1" hidden="0" allowOverlap="1">
            <wp:simplePos x="0" y="0"/>
            <wp:positionH relativeFrom="column">
              <wp:posOffset>2712085</wp:posOffset>
            </wp:positionH>
            <wp:positionV relativeFrom="paragraph">
              <wp:posOffset>14605</wp:posOffset>
            </wp:positionV>
            <wp:extent cx="3638550" cy="2532380"/>
            <wp:effectExtent l="0" t="0" r="0" b="0"/>
            <wp:wrapSquare wrapText="bothSides" distT="0" distB="0" distL="114300" distR="11430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25323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D0CA8" w:rsidRDefault="001444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18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La recaudación por el ISC se situó en S/ 334 millones; lo que significó una disminución de S/ 343 millones respecto de abril del 2019.</w:t>
      </w:r>
    </w:p>
    <w:p w:rsidR="008D0CA8" w:rsidRDefault="001444E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:rsidR="008D0CA8" w:rsidRDefault="001444E8">
      <w:pPr>
        <w:spacing w:after="0" w:line="276" w:lineRule="auto"/>
        <w:ind w:left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recaudación del ISC interno ascendió a S/ 180 millones, representando una disminución explicada principalmente por l</w:t>
      </w:r>
      <w:r>
        <w:rPr>
          <w:rFonts w:ascii="Arial" w:eastAsia="Arial" w:hAnsi="Arial" w:cs="Arial"/>
        </w:rPr>
        <w:t>a menor demanda interna y la menor producción del sector cervecero.</w:t>
      </w:r>
    </w:p>
    <w:p w:rsidR="008D0CA8" w:rsidRDefault="008D0CA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720"/>
        <w:jc w:val="both"/>
        <w:rPr>
          <w:rFonts w:ascii="Arial" w:eastAsia="Arial" w:hAnsi="Arial" w:cs="Arial"/>
          <w:color w:val="000000"/>
        </w:rPr>
      </w:pPr>
    </w:p>
    <w:p w:rsidR="008D0CA8" w:rsidRDefault="001444E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Por su parte, la recaudación del ISC importado mostró una disminución de S/ 121 millones, asociada al menor flujo de importaciones gravadas, </w:t>
      </w:r>
      <w:proofErr w:type="spellStart"/>
      <w:r>
        <w:rPr>
          <w:rFonts w:ascii="Arial" w:eastAsia="Arial" w:hAnsi="Arial" w:cs="Arial"/>
          <w:color w:val="000000"/>
        </w:rPr>
        <w:t>sobretodo</w:t>
      </w:r>
      <w:proofErr w:type="spellEnd"/>
      <w:r>
        <w:rPr>
          <w:rFonts w:ascii="Arial" w:eastAsia="Arial" w:hAnsi="Arial" w:cs="Arial"/>
          <w:color w:val="000000"/>
        </w:rPr>
        <w:t xml:space="preserve"> las correspondientes a combustibles.</w:t>
      </w:r>
    </w:p>
    <w:p w:rsidR="008D0CA8" w:rsidRDefault="001444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18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lastRenderedPageBreak/>
        <w:t>El rubro de Otros Ingresos registró una contracción debida principalmente a los menores pagos de fraccionamientos, multas e ITAN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noProof/>
        </w:rPr>
        <w:drawing>
          <wp:anchor distT="0" distB="0" distL="114300" distR="114300" simplePos="0" relativeHeight="251662336" behindDoc="0" locked="0" layoutInCell="1" hidden="0" allowOverlap="1">
            <wp:simplePos x="0" y="0"/>
            <wp:positionH relativeFrom="column">
              <wp:posOffset>2884170</wp:posOffset>
            </wp:positionH>
            <wp:positionV relativeFrom="paragraph">
              <wp:posOffset>227</wp:posOffset>
            </wp:positionV>
            <wp:extent cx="3581400" cy="2637155"/>
            <wp:effectExtent l="0" t="0" r="0" b="0"/>
            <wp:wrapSquare wrapText="bothSides" distT="0" distB="0" distL="114300" distR="114300"/>
            <wp:docPr id="2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26371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D0CA8" w:rsidRDefault="008D0CA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720"/>
        <w:jc w:val="both"/>
        <w:rPr>
          <w:rFonts w:ascii="Arial" w:eastAsia="Arial" w:hAnsi="Arial" w:cs="Arial"/>
          <w:color w:val="000000"/>
        </w:rPr>
      </w:pPr>
    </w:p>
    <w:p w:rsidR="008D0CA8" w:rsidRDefault="001444E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La contracción de los pagos por fraccionamientos se debe a la flexibilización en el pago de cuotas, en aplicación de la Res</w:t>
      </w:r>
      <w:r>
        <w:rPr>
          <w:rFonts w:ascii="Arial" w:eastAsia="Arial" w:hAnsi="Arial" w:cs="Arial"/>
          <w:color w:val="000000"/>
        </w:rPr>
        <w:t xml:space="preserve">olución de Superintendencia </w:t>
      </w:r>
      <w:proofErr w:type="spellStart"/>
      <w:r>
        <w:rPr>
          <w:rFonts w:ascii="Arial" w:eastAsia="Arial" w:hAnsi="Arial" w:cs="Arial"/>
          <w:color w:val="000000"/>
        </w:rPr>
        <w:t>N°</w:t>
      </w:r>
      <w:proofErr w:type="spellEnd"/>
      <w:r>
        <w:rPr>
          <w:rFonts w:ascii="Arial" w:eastAsia="Arial" w:hAnsi="Arial" w:cs="Arial"/>
          <w:color w:val="000000"/>
        </w:rPr>
        <w:t xml:space="preserve"> 065-2020/SUNAT. </w:t>
      </w:r>
    </w:p>
    <w:p w:rsidR="008D0CA8" w:rsidRDefault="008D0CA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720"/>
        <w:jc w:val="both"/>
        <w:rPr>
          <w:rFonts w:ascii="Arial" w:eastAsia="Arial" w:hAnsi="Arial" w:cs="Arial"/>
          <w:color w:val="000000"/>
        </w:rPr>
      </w:pPr>
    </w:p>
    <w:p w:rsidR="008D0CA8" w:rsidRDefault="001444E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Asimismo, en el año anterior se contó con un importante pago extraordinario por parte de las de empresas del grupo Odebrecht.</w:t>
      </w:r>
    </w:p>
    <w:p w:rsidR="008D0CA8" w:rsidRDefault="008D0CA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8D0CA8" w:rsidRDefault="001444E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Por su parte, la menor recaudación proveniente de multas está relacionada con la emisión de la Resolución de Superintendencia </w:t>
      </w:r>
      <w:proofErr w:type="spellStart"/>
      <w:r>
        <w:rPr>
          <w:rFonts w:ascii="Arial" w:eastAsia="Arial" w:hAnsi="Arial" w:cs="Arial"/>
          <w:color w:val="000000"/>
        </w:rPr>
        <w:t>N°</w:t>
      </w:r>
      <w:proofErr w:type="spellEnd"/>
      <w:r>
        <w:rPr>
          <w:rFonts w:ascii="Arial" w:eastAsia="Arial" w:hAnsi="Arial" w:cs="Arial"/>
          <w:color w:val="000000"/>
        </w:rPr>
        <w:t xml:space="preserve"> 008-2020/SUNAT, mediante la cual se ejercen facultades discrecionales respecto de la aplicación de sanciones, como parte del co</w:t>
      </w:r>
      <w:r>
        <w:rPr>
          <w:rFonts w:ascii="Arial" w:eastAsia="Arial" w:hAnsi="Arial" w:cs="Arial"/>
          <w:color w:val="000000"/>
        </w:rPr>
        <w:t>njunto de medidas de alivio a los contribuyentes por parte de la SUNAT.</w:t>
      </w:r>
    </w:p>
    <w:p w:rsidR="008D0CA8" w:rsidRDefault="008D0CA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8D0CA8" w:rsidRDefault="001444E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En el caso del ITAN, la menor recaudación refleja la postergación de esta obligación para un segmento de contribuyentes en el marco de los dispositivos de alivio ya mencionados. </w:t>
      </w:r>
    </w:p>
    <w:p w:rsidR="008D0CA8" w:rsidRDefault="001444E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78" w:hanging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hidden="0" allowOverlap="1">
            <wp:simplePos x="0" y="0"/>
            <wp:positionH relativeFrom="column">
              <wp:posOffset>3017520</wp:posOffset>
            </wp:positionH>
            <wp:positionV relativeFrom="paragraph">
              <wp:posOffset>40640</wp:posOffset>
            </wp:positionV>
            <wp:extent cx="3581400" cy="2543810"/>
            <wp:effectExtent l="0" t="0" r="0" b="0"/>
            <wp:wrapSquare wrapText="bothSides" distT="0" distB="0" distL="114300" distR="11430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25438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D0CA8" w:rsidRDefault="001444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18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Fi</w:t>
      </w:r>
      <w:r>
        <w:rPr>
          <w:rFonts w:ascii="Arial" w:eastAsia="Arial" w:hAnsi="Arial" w:cs="Arial"/>
          <w:color w:val="000000"/>
        </w:rPr>
        <w:t>nalmente, las devoluciones de impuestos ascendieron a S/ 1 399 millones durante abril 2020, importe que representó S/ 167 millones menos que en el 2019.</w:t>
      </w:r>
    </w:p>
    <w:p w:rsidR="008D0CA8" w:rsidRDefault="001444E8">
      <w:pPr>
        <w:spacing w:line="276" w:lineRule="auto"/>
        <w:ind w:left="66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D0CA8" w:rsidRDefault="008D0CA8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8D0CA8" w:rsidRDefault="008D0CA8">
      <w:pPr>
        <w:rPr>
          <w:rFonts w:ascii="Arial" w:eastAsia="Arial" w:hAnsi="Arial" w:cs="Arial"/>
          <w:sz w:val="24"/>
          <w:szCs w:val="24"/>
        </w:rPr>
      </w:pPr>
    </w:p>
    <w:p w:rsidR="008D0CA8" w:rsidRDefault="008D0CA8">
      <w:pPr>
        <w:rPr>
          <w:rFonts w:ascii="Arial" w:eastAsia="Arial" w:hAnsi="Arial" w:cs="Arial"/>
          <w:sz w:val="24"/>
          <w:szCs w:val="24"/>
        </w:rPr>
      </w:pPr>
    </w:p>
    <w:p w:rsidR="008D0CA8" w:rsidRDefault="008D0CA8">
      <w:pPr>
        <w:rPr>
          <w:rFonts w:ascii="Arial" w:eastAsia="Arial" w:hAnsi="Arial" w:cs="Arial"/>
          <w:sz w:val="24"/>
          <w:szCs w:val="24"/>
        </w:rPr>
      </w:pPr>
    </w:p>
    <w:p w:rsidR="008D0CA8" w:rsidRDefault="008D0CA8">
      <w:pPr>
        <w:rPr>
          <w:rFonts w:ascii="Arial" w:eastAsia="Arial" w:hAnsi="Arial" w:cs="Arial"/>
          <w:sz w:val="24"/>
          <w:szCs w:val="24"/>
        </w:rPr>
      </w:pPr>
    </w:p>
    <w:p w:rsidR="008D0CA8" w:rsidRDefault="008D0CA8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8D0CA8" w:rsidRDefault="008D0CA8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8D0CA8" w:rsidRDefault="008D0CA8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8D0CA8" w:rsidRDefault="008D0CA8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8D0CA8" w:rsidRDefault="008D0CA8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8D0CA8" w:rsidRDefault="001444E8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1</w:t>
      </w:r>
    </w:p>
    <w:p w:rsidR="008D0CA8" w:rsidRDefault="001444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97" w:right="-57"/>
        <w:jc w:val="center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lastRenderedPageBreak/>
        <w:t xml:space="preserve">                 Recaudación por Tributo</w:t>
      </w:r>
    </w:p>
    <w:p w:rsidR="008D0CA8" w:rsidRDefault="001444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97" w:right="-57"/>
        <w:jc w:val="center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                 (En millones de soles variación% real)</w:t>
      </w:r>
    </w:p>
    <w:p w:rsidR="008D0CA8" w:rsidRDefault="008D0C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97" w:right="-57"/>
        <w:jc w:val="center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:rsidR="008D0CA8" w:rsidRDefault="001444E8">
      <w:pPr>
        <w:spacing w:line="276" w:lineRule="auto"/>
        <w:jc w:val="center"/>
        <w:rPr>
          <w:rFonts w:ascii="Arial" w:eastAsia="Arial" w:hAnsi="Arial" w:cs="Arial"/>
          <w:b/>
        </w:rPr>
      </w:pPr>
      <w:r>
        <w:rPr>
          <w:noProof/>
        </w:rPr>
        <w:drawing>
          <wp:inline distT="0" distB="0" distL="0" distR="0">
            <wp:extent cx="6189254" cy="4251949"/>
            <wp:effectExtent l="0" t="0" r="0" b="0"/>
            <wp:docPr id="8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9254" cy="42519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D0CA8" w:rsidRDefault="008D0CA8">
      <w:pPr>
        <w:spacing w:after="0" w:line="276" w:lineRule="auto"/>
        <w:rPr>
          <w:rFonts w:ascii="Arial" w:eastAsia="Arial" w:hAnsi="Arial" w:cs="Arial"/>
          <w:b/>
        </w:rPr>
      </w:pPr>
    </w:p>
    <w:p w:rsidR="008D0CA8" w:rsidRDefault="001444E8">
      <w:pPr>
        <w:spacing w:after="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Gerencia de Comunicaciones e Imagen Institucional</w:t>
      </w:r>
    </w:p>
    <w:p w:rsidR="008D0CA8" w:rsidRDefault="001444E8">
      <w:pPr>
        <w:spacing w:after="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Lima, domingo 24 de mayo de 2020.</w:t>
      </w:r>
    </w:p>
    <w:sectPr w:rsidR="008D0CA8">
      <w:headerReference w:type="default" r:id="rId14"/>
      <w:footerReference w:type="default" r:id="rId15"/>
      <w:pgSz w:w="11906" w:h="16838"/>
      <w:pgMar w:top="1440" w:right="1080" w:bottom="1702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4E8" w:rsidRDefault="001444E8">
      <w:pPr>
        <w:spacing w:after="0" w:line="240" w:lineRule="auto"/>
      </w:pPr>
      <w:r>
        <w:separator/>
      </w:r>
    </w:p>
  </w:endnote>
  <w:endnote w:type="continuationSeparator" w:id="0">
    <w:p w:rsidR="001444E8" w:rsidRDefault="00144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tique Olive Roman">
    <w:altName w:val="Corbe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CA8" w:rsidRDefault="001444E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rFonts w:ascii="Antique Olive Roman" w:eastAsia="Antique Olive Roman" w:hAnsi="Antique Olive Roman" w:cs="Antique Olive Roman"/>
        <w:b/>
        <w:noProof/>
        <w:color w:val="000000"/>
      </w:rPr>
      <w:drawing>
        <wp:inline distT="0" distB="0" distL="0" distR="0">
          <wp:extent cx="289560" cy="289560"/>
          <wp:effectExtent l="0" t="0" r="0" b="0"/>
          <wp:docPr id="9" name="image5.png" descr="Descripción: Descripción: logotwitt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Descripción: Descripción: logotwitte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560" cy="289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ntique Olive Roman" w:eastAsia="Antique Olive Roman" w:hAnsi="Antique Olive Roman" w:cs="Antique Olive Roman"/>
        <w:b/>
        <w:color w:val="000000"/>
      </w:rPr>
      <w:t xml:space="preserve">  @</w:t>
    </w:r>
    <w:proofErr w:type="spellStart"/>
    <w:r>
      <w:rPr>
        <w:rFonts w:ascii="Antique Olive Roman" w:eastAsia="Antique Olive Roman" w:hAnsi="Antique Olive Roman" w:cs="Antique Olive Roman"/>
        <w:b/>
        <w:color w:val="000000"/>
      </w:rPr>
      <w:t>SUNATPrensa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4E8" w:rsidRDefault="001444E8">
      <w:pPr>
        <w:spacing w:after="0" w:line="240" w:lineRule="auto"/>
      </w:pPr>
      <w:r>
        <w:separator/>
      </w:r>
    </w:p>
  </w:footnote>
  <w:footnote w:type="continuationSeparator" w:id="0">
    <w:p w:rsidR="001444E8" w:rsidRDefault="00144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CA8" w:rsidRDefault="001444E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2072640" cy="678968"/>
          <wp:effectExtent l="0" t="0" r="0" b="0"/>
          <wp:docPr id="10" name="image7.jpg" descr="Descripción: Descripción: logoofici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 descr="Descripción: Descripción: logooficia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2640" cy="6789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4318000</wp:posOffset>
              </wp:positionH>
              <wp:positionV relativeFrom="paragraph">
                <wp:posOffset>50800</wp:posOffset>
              </wp:positionV>
              <wp:extent cx="2047875" cy="553085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26825" y="3508220"/>
                        <a:ext cx="2038350" cy="543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8D0CA8" w:rsidRDefault="001444E8">
                          <w:pPr>
                            <w:spacing w:after="0" w:line="240" w:lineRule="auto"/>
                            <w:ind w:left="141" w:firstLine="141"/>
                            <w:jc w:val="right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000000"/>
                              <w:sz w:val="16"/>
                            </w:rPr>
                            <w:t>Gerencia de Comunicaciones</w:t>
                          </w:r>
                        </w:p>
                        <w:p w:rsidR="008D0CA8" w:rsidRDefault="001444E8">
                          <w:pPr>
                            <w:spacing w:after="0" w:line="240" w:lineRule="auto"/>
                            <w:ind w:left="141" w:firstLine="141"/>
                            <w:jc w:val="right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000000"/>
                              <w:sz w:val="16"/>
                            </w:rPr>
                            <w:t xml:space="preserve">Central: 634-3300 </w:t>
                          </w:r>
                        </w:p>
                        <w:p w:rsidR="008D0CA8" w:rsidRDefault="001444E8">
                          <w:pPr>
                            <w:spacing w:after="0" w:line="240" w:lineRule="auto"/>
                            <w:ind w:left="141" w:firstLine="141"/>
                            <w:jc w:val="right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000000"/>
                              <w:sz w:val="16"/>
                            </w:rPr>
                            <w:t xml:space="preserve"> Anexos: 50308/50309/50361</w:t>
                          </w:r>
                        </w:p>
                        <w:p w:rsidR="008D0CA8" w:rsidRDefault="008D0CA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1" o:spid="_x0000_s1026" style="position:absolute;margin-left:340pt;margin-top:4pt;width:161.25pt;height:43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" stroked="f">
              <v:textbox inset="2.53958mm,1.2694mm,2.53958mm,1.2694mm">
                <w:txbxContent>
                  <w:p w:rsidR="008D0CA8" w:rsidRDefault="001444E8">
                    <w:pPr>
                      <w:spacing w:after="0" w:line="240" w:lineRule="auto"/>
                      <w:ind w:left="141" w:firstLine="141"/>
                      <w:jc w:val="right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b/>
                        <w:color w:val="000000"/>
                        <w:sz w:val="16"/>
                      </w:rPr>
                      <w:t>Gerencia de Comunicaciones</w:t>
                    </w:r>
                  </w:p>
                  <w:p w:rsidR="008D0CA8" w:rsidRDefault="001444E8">
                    <w:pPr>
                      <w:spacing w:after="0" w:line="240" w:lineRule="auto"/>
                      <w:ind w:left="141" w:firstLine="141"/>
                      <w:jc w:val="right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b/>
                        <w:color w:val="000000"/>
                        <w:sz w:val="16"/>
                      </w:rPr>
                      <w:t xml:space="preserve">Central: 634-3300 </w:t>
                    </w:r>
                  </w:p>
                  <w:p w:rsidR="008D0CA8" w:rsidRDefault="001444E8">
                    <w:pPr>
                      <w:spacing w:after="0" w:line="240" w:lineRule="auto"/>
                      <w:ind w:left="141" w:firstLine="141"/>
                      <w:jc w:val="right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b/>
                        <w:color w:val="000000"/>
                        <w:sz w:val="16"/>
                      </w:rPr>
                      <w:t xml:space="preserve"> Anexos: 50308/50309/50361</w:t>
                    </w:r>
                  </w:p>
                  <w:p w:rsidR="008D0CA8" w:rsidRDefault="008D0CA8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C71FF"/>
    <w:multiLevelType w:val="multilevel"/>
    <w:tmpl w:val="1BC011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7D62DB8"/>
    <w:multiLevelType w:val="multilevel"/>
    <w:tmpl w:val="51F6AD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CA8"/>
    <w:rsid w:val="001444E8"/>
    <w:rsid w:val="001C73A1"/>
    <w:rsid w:val="008D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E7605FB-6033-4495-B412-82DF4EFA8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875</Words>
  <Characters>4815</Characters>
  <Application>Microsoft Office Word</Application>
  <DocSecurity>0</DocSecurity>
  <Lines>40</Lines>
  <Paragraphs>11</Paragraphs>
  <ScaleCrop>false</ScaleCrop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Manzaneda Miranda Gardy Raul</cp:lastModifiedBy>
  <cp:revision>2</cp:revision>
  <dcterms:created xsi:type="dcterms:W3CDTF">2020-05-26T01:56:00Z</dcterms:created>
  <dcterms:modified xsi:type="dcterms:W3CDTF">2020-05-26T01:57:00Z</dcterms:modified>
</cp:coreProperties>
</file>