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5BF33D" w14:textId="77777777" w:rsidR="009E29BC" w:rsidRPr="009E29BC" w:rsidRDefault="009E29BC" w:rsidP="009E29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8"/>
        <w:jc w:val="right"/>
        <w:rPr>
          <w:rFonts w:ascii="Arial" w:eastAsia="Arial" w:hAnsi="Arial" w:cs="Arial"/>
          <w:b/>
          <w:sz w:val="24"/>
          <w:szCs w:val="24"/>
        </w:rPr>
      </w:pPr>
      <w:r w:rsidRPr="009E29BC">
        <w:rPr>
          <w:rFonts w:ascii="Arial" w:eastAsia="Arial" w:hAnsi="Arial" w:cs="Arial"/>
          <w:b/>
          <w:sz w:val="24"/>
          <w:szCs w:val="24"/>
        </w:rPr>
        <w:t xml:space="preserve">Nota de prensa </w:t>
      </w:r>
      <w:proofErr w:type="spellStart"/>
      <w:r w:rsidRPr="009E29BC">
        <w:rPr>
          <w:rFonts w:ascii="Arial" w:eastAsia="Arial" w:hAnsi="Arial" w:cs="Arial"/>
          <w:b/>
          <w:sz w:val="24"/>
          <w:szCs w:val="24"/>
        </w:rPr>
        <w:t>N°</w:t>
      </w:r>
      <w:proofErr w:type="spellEnd"/>
      <w:r w:rsidRPr="009E29BC">
        <w:rPr>
          <w:rFonts w:ascii="Arial" w:eastAsia="Arial" w:hAnsi="Arial" w:cs="Arial"/>
          <w:b/>
          <w:sz w:val="24"/>
          <w:szCs w:val="24"/>
        </w:rPr>
        <w:t xml:space="preserve"> 083</w:t>
      </w:r>
    </w:p>
    <w:p w14:paraId="661D1DD3" w14:textId="77777777" w:rsidR="009E29BC" w:rsidRDefault="009E29BC" w:rsidP="00097B4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8"/>
        <w:jc w:val="center"/>
        <w:rPr>
          <w:rFonts w:ascii="Arial" w:eastAsia="Arial" w:hAnsi="Arial" w:cs="Arial"/>
          <w:b/>
          <w:sz w:val="36"/>
          <w:szCs w:val="36"/>
        </w:rPr>
      </w:pPr>
    </w:p>
    <w:p w14:paraId="0B433114" w14:textId="553179DE" w:rsidR="0011247F" w:rsidRPr="00540E63" w:rsidRDefault="009D0FE3" w:rsidP="00097B4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8"/>
        <w:jc w:val="center"/>
        <w:rPr>
          <w:rFonts w:ascii="Arial" w:eastAsia="Arial" w:hAnsi="Arial" w:cs="Arial"/>
          <w:b/>
          <w:sz w:val="36"/>
          <w:szCs w:val="36"/>
        </w:rPr>
      </w:pPr>
      <w:r w:rsidRPr="00540E63">
        <w:rPr>
          <w:rFonts w:ascii="Arial" w:eastAsia="Arial" w:hAnsi="Arial" w:cs="Arial"/>
          <w:b/>
          <w:sz w:val="36"/>
          <w:szCs w:val="36"/>
        </w:rPr>
        <w:t xml:space="preserve">RECAUDACIÓN DE </w:t>
      </w:r>
      <w:r w:rsidR="00973B2A" w:rsidRPr="00540E63">
        <w:rPr>
          <w:rFonts w:ascii="Arial" w:eastAsia="Arial" w:hAnsi="Arial" w:cs="Arial"/>
          <w:b/>
          <w:sz w:val="36"/>
          <w:szCs w:val="36"/>
        </w:rPr>
        <w:t>OCTUBRE</w:t>
      </w:r>
      <w:r w:rsidRPr="00540E63">
        <w:rPr>
          <w:rFonts w:ascii="Arial" w:eastAsia="Arial" w:hAnsi="Arial" w:cs="Arial"/>
          <w:b/>
          <w:sz w:val="36"/>
          <w:szCs w:val="36"/>
        </w:rPr>
        <w:t xml:space="preserve"> REGISTRA </w:t>
      </w:r>
    </w:p>
    <w:p w14:paraId="5F4434D6" w14:textId="243A8F2D" w:rsidR="009D0FE3" w:rsidRPr="00443144" w:rsidRDefault="009D0FE3" w:rsidP="00097B4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8"/>
        <w:jc w:val="center"/>
        <w:rPr>
          <w:rFonts w:ascii="Arial" w:eastAsia="Arial" w:hAnsi="Arial" w:cs="Arial"/>
          <w:b/>
          <w:sz w:val="28"/>
          <w:szCs w:val="28"/>
          <w:u w:val="single"/>
        </w:rPr>
      </w:pPr>
      <w:r w:rsidRPr="00540E63">
        <w:rPr>
          <w:rFonts w:ascii="Arial" w:eastAsia="Arial" w:hAnsi="Arial" w:cs="Arial"/>
          <w:b/>
          <w:sz w:val="36"/>
          <w:szCs w:val="36"/>
        </w:rPr>
        <w:t xml:space="preserve">CRECIMIENTO DE </w:t>
      </w:r>
      <w:r w:rsidR="00973B2A" w:rsidRPr="00540E63">
        <w:rPr>
          <w:rFonts w:ascii="Arial" w:eastAsia="Arial" w:hAnsi="Arial" w:cs="Arial"/>
          <w:b/>
          <w:sz w:val="36"/>
          <w:szCs w:val="36"/>
        </w:rPr>
        <w:t>31,</w:t>
      </w:r>
      <w:r w:rsidR="00630170" w:rsidRPr="00540E63">
        <w:rPr>
          <w:rFonts w:ascii="Arial" w:eastAsia="Arial" w:hAnsi="Arial" w:cs="Arial"/>
          <w:b/>
          <w:sz w:val="36"/>
          <w:szCs w:val="36"/>
        </w:rPr>
        <w:t>5</w:t>
      </w:r>
      <w:r w:rsidRPr="00540E63">
        <w:rPr>
          <w:rFonts w:ascii="Arial" w:eastAsia="Arial" w:hAnsi="Arial" w:cs="Arial"/>
          <w:b/>
          <w:sz w:val="36"/>
          <w:szCs w:val="36"/>
        </w:rPr>
        <w:t>%</w:t>
      </w:r>
    </w:p>
    <w:p w14:paraId="5751E3EA" w14:textId="77777777" w:rsidR="00BE3F39" w:rsidRPr="00E762C7" w:rsidRDefault="00BE3F39" w:rsidP="00097B44">
      <w:pPr>
        <w:spacing w:after="0" w:line="240" w:lineRule="auto"/>
        <w:rPr>
          <w:rFonts w:ascii="Arial" w:hAnsi="Arial" w:cs="Arial"/>
          <w:b/>
        </w:rPr>
      </w:pPr>
    </w:p>
    <w:p w14:paraId="13A8569E" w14:textId="38545656" w:rsidR="00973B2A" w:rsidRDefault="00973B2A" w:rsidP="00BE3F39">
      <w:pPr>
        <w:pStyle w:val="Prrafodelista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i/>
          <w:color w:val="000000" w:themeColor="text1"/>
        </w:rPr>
      </w:pPr>
      <w:r w:rsidRPr="00540E63">
        <w:rPr>
          <w:rFonts w:ascii="Arial" w:eastAsia="Arial" w:hAnsi="Arial" w:cs="Arial"/>
          <w:b/>
          <w:i/>
          <w:color w:val="000000" w:themeColor="text1"/>
        </w:rPr>
        <w:t xml:space="preserve">El Impuesto a la Renta Empresarial y el IGV siguen sosteniendo </w:t>
      </w:r>
      <w:r w:rsidR="00443144" w:rsidRPr="00540E63">
        <w:rPr>
          <w:rFonts w:ascii="Arial" w:eastAsia="Arial" w:hAnsi="Arial" w:cs="Arial"/>
          <w:b/>
          <w:i/>
          <w:color w:val="000000" w:themeColor="text1"/>
        </w:rPr>
        <w:t>el</w:t>
      </w:r>
      <w:r w:rsidRPr="00540E63">
        <w:rPr>
          <w:rFonts w:ascii="Arial" w:eastAsia="Arial" w:hAnsi="Arial" w:cs="Arial"/>
          <w:b/>
          <w:i/>
          <w:color w:val="000000" w:themeColor="text1"/>
        </w:rPr>
        <w:t xml:space="preserve"> fuerte crecimiento de la recaudación.</w:t>
      </w:r>
    </w:p>
    <w:p w14:paraId="1680FC6F" w14:textId="77777777" w:rsidR="00113454" w:rsidRPr="00113454" w:rsidRDefault="00113454" w:rsidP="00113454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i/>
          <w:color w:val="000000" w:themeColor="text1"/>
          <w:sz w:val="8"/>
          <w:szCs w:val="8"/>
        </w:rPr>
      </w:pPr>
    </w:p>
    <w:p w14:paraId="711B9DBF" w14:textId="7852DB08" w:rsidR="00A10AC1" w:rsidRPr="00540E63" w:rsidRDefault="00E762C7" w:rsidP="00BE3F39">
      <w:pPr>
        <w:pStyle w:val="Prrafodelista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i/>
          <w:color w:val="000000" w:themeColor="text1"/>
        </w:rPr>
      </w:pPr>
      <w:r w:rsidRPr="00540E63">
        <w:rPr>
          <w:rFonts w:ascii="Arial" w:eastAsia="Arial" w:hAnsi="Arial" w:cs="Arial"/>
          <w:b/>
          <w:i/>
          <w:color w:val="000000" w:themeColor="text1"/>
        </w:rPr>
        <w:t>La recaudación acumulada enero-octubre supera en 16,9</w:t>
      </w:r>
      <w:r w:rsidR="00FC736D">
        <w:rPr>
          <w:rFonts w:ascii="Arial" w:eastAsia="Arial" w:hAnsi="Arial" w:cs="Arial"/>
          <w:b/>
          <w:i/>
          <w:color w:val="000000" w:themeColor="text1"/>
        </w:rPr>
        <w:t>%</w:t>
      </w:r>
      <w:r w:rsidRPr="00540E63">
        <w:rPr>
          <w:rFonts w:ascii="Arial" w:eastAsia="Arial" w:hAnsi="Arial" w:cs="Arial"/>
          <w:b/>
          <w:i/>
          <w:color w:val="000000" w:themeColor="text1"/>
        </w:rPr>
        <w:t xml:space="preserve"> lo recaudado el año previo a la pandemia</w:t>
      </w:r>
      <w:r w:rsidR="00540E63">
        <w:rPr>
          <w:rFonts w:ascii="Arial" w:eastAsia="Arial" w:hAnsi="Arial" w:cs="Arial"/>
          <w:b/>
          <w:i/>
          <w:color w:val="000000" w:themeColor="text1"/>
        </w:rPr>
        <w:t>.</w:t>
      </w:r>
    </w:p>
    <w:p w14:paraId="0F232C80" w14:textId="77777777" w:rsidR="00BE3F39" w:rsidRPr="00443144" w:rsidRDefault="00BE3F39" w:rsidP="00097B44">
      <w:pPr>
        <w:spacing w:after="0" w:line="240" w:lineRule="auto"/>
        <w:rPr>
          <w:rFonts w:ascii="Arial" w:hAnsi="Arial" w:cs="Arial"/>
        </w:rPr>
      </w:pPr>
    </w:p>
    <w:p w14:paraId="400670BE" w14:textId="06E4CB1B" w:rsidR="00BE3F39" w:rsidRDefault="00BE3F39" w:rsidP="00671060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</w:t>
      </w:r>
      <w:r w:rsidR="00671060" w:rsidRPr="00443144">
        <w:rPr>
          <w:rFonts w:ascii="Arial" w:eastAsia="Arial" w:hAnsi="Arial" w:cs="Arial"/>
        </w:rPr>
        <w:t xml:space="preserve">n octubre de 2021, la </w:t>
      </w:r>
      <w:r w:rsidRPr="00BE3F39">
        <w:rPr>
          <w:rFonts w:ascii="Arial" w:eastAsia="Arial" w:hAnsi="Arial" w:cs="Arial"/>
        </w:rPr>
        <w:t xml:space="preserve">Superintendencia Nacional de Aduanas y de Administración Tributaria (SUNAT) </w:t>
      </w:r>
      <w:r w:rsidR="00671060" w:rsidRPr="00FC736D">
        <w:rPr>
          <w:rFonts w:ascii="Arial" w:eastAsia="Arial" w:hAnsi="Arial" w:cs="Arial"/>
        </w:rPr>
        <w:t>recaud</w:t>
      </w:r>
      <w:r w:rsidRPr="00FC736D">
        <w:rPr>
          <w:rFonts w:ascii="Arial" w:eastAsia="Arial" w:hAnsi="Arial" w:cs="Arial"/>
        </w:rPr>
        <w:t>ó</w:t>
      </w:r>
      <w:r w:rsidR="00671060" w:rsidRPr="00FC736D">
        <w:rPr>
          <w:rFonts w:ascii="Arial" w:eastAsia="Arial" w:hAnsi="Arial" w:cs="Arial"/>
        </w:rPr>
        <w:t xml:space="preserve"> S/ 11 </w:t>
      </w:r>
      <w:r w:rsidR="00630170" w:rsidRPr="00FC736D">
        <w:rPr>
          <w:rFonts w:ascii="Arial" w:eastAsia="Arial" w:hAnsi="Arial" w:cs="Arial"/>
        </w:rPr>
        <w:t>214</w:t>
      </w:r>
      <w:r w:rsidR="00671060" w:rsidRPr="00FC736D">
        <w:rPr>
          <w:rFonts w:ascii="Arial" w:eastAsia="Arial" w:hAnsi="Arial" w:cs="Arial"/>
        </w:rPr>
        <w:t xml:space="preserve"> millones</w:t>
      </w:r>
      <w:r w:rsidR="00671060" w:rsidRPr="00443144">
        <w:rPr>
          <w:rFonts w:ascii="Arial" w:eastAsia="Arial" w:hAnsi="Arial" w:cs="Arial"/>
        </w:rPr>
        <w:t xml:space="preserve"> de ingresos tributarios del Gobierno Central </w:t>
      </w:r>
      <w:r>
        <w:rPr>
          <w:rFonts w:ascii="Arial" w:eastAsia="Arial" w:hAnsi="Arial" w:cs="Arial"/>
        </w:rPr>
        <w:t>n</w:t>
      </w:r>
      <w:r w:rsidR="006A447A">
        <w:rPr>
          <w:rFonts w:ascii="Arial" w:eastAsia="Arial" w:hAnsi="Arial" w:cs="Arial"/>
        </w:rPr>
        <w:t xml:space="preserve">etos </w:t>
      </w:r>
      <w:r w:rsidR="00671060" w:rsidRPr="00443144">
        <w:rPr>
          <w:rFonts w:ascii="Arial" w:eastAsia="Arial" w:hAnsi="Arial" w:cs="Arial"/>
        </w:rPr>
        <w:t>(</w:t>
      </w:r>
      <w:r w:rsidR="00671060" w:rsidRPr="00FC736D">
        <w:rPr>
          <w:rFonts w:ascii="Arial" w:eastAsia="Arial" w:hAnsi="Arial" w:cs="Arial"/>
        </w:rPr>
        <w:t>descontando las devoluciones de impuestos)</w:t>
      </w:r>
      <w:r w:rsidRPr="00FC736D">
        <w:rPr>
          <w:rFonts w:ascii="Arial" w:eastAsia="Arial" w:hAnsi="Arial" w:cs="Arial"/>
        </w:rPr>
        <w:t>, lo que representa un</w:t>
      </w:r>
      <w:r w:rsidR="00671060" w:rsidRPr="00FC736D">
        <w:rPr>
          <w:rFonts w:ascii="Arial" w:eastAsia="Arial" w:hAnsi="Arial" w:cs="Arial"/>
        </w:rPr>
        <w:t xml:space="preserve"> incremento </w:t>
      </w:r>
      <w:r w:rsidRPr="00FC736D">
        <w:rPr>
          <w:rFonts w:ascii="Arial" w:eastAsia="Arial" w:hAnsi="Arial" w:cs="Arial"/>
        </w:rPr>
        <w:t>del</w:t>
      </w:r>
      <w:r w:rsidR="00671060" w:rsidRPr="00FC736D">
        <w:rPr>
          <w:rFonts w:ascii="Arial" w:eastAsia="Arial" w:hAnsi="Arial" w:cs="Arial"/>
        </w:rPr>
        <w:t xml:space="preserve"> 31,</w:t>
      </w:r>
      <w:r w:rsidR="00630170" w:rsidRPr="00FC736D">
        <w:rPr>
          <w:rFonts w:ascii="Arial" w:eastAsia="Arial" w:hAnsi="Arial" w:cs="Arial"/>
        </w:rPr>
        <w:t>5</w:t>
      </w:r>
      <w:r w:rsidR="00671060" w:rsidRPr="00FC736D">
        <w:rPr>
          <w:rFonts w:ascii="Arial" w:eastAsia="Arial" w:hAnsi="Arial" w:cs="Arial"/>
        </w:rPr>
        <w:t>% y</w:t>
      </w:r>
      <w:r w:rsidR="00671060" w:rsidRPr="00443144">
        <w:rPr>
          <w:rFonts w:ascii="Arial" w:eastAsia="Arial" w:hAnsi="Arial" w:cs="Arial"/>
        </w:rPr>
        <w:t xml:space="preserve"> de 14,</w:t>
      </w:r>
      <w:r w:rsidR="000624F2">
        <w:rPr>
          <w:rFonts w:ascii="Arial" w:eastAsia="Arial" w:hAnsi="Arial" w:cs="Arial"/>
        </w:rPr>
        <w:t>5</w:t>
      </w:r>
      <w:r w:rsidR="00671060" w:rsidRPr="00443144">
        <w:rPr>
          <w:rFonts w:ascii="Arial" w:eastAsia="Arial" w:hAnsi="Arial" w:cs="Arial"/>
        </w:rPr>
        <w:t xml:space="preserve">% </w:t>
      </w:r>
      <w:r>
        <w:rPr>
          <w:rFonts w:ascii="Arial" w:eastAsia="Arial" w:hAnsi="Arial" w:cs="Arial"/>
        </w:rPr>
        <w:t>sobre lo recaudado ese mismo mes en el 2020 y 2019, respectivamente.</w:t>
      </w:r>
    </w:p>
    <w:p w14:paraId="2F2C4034" w14:textId="77777777" w:rsidR="00BE3F39" w:rsidRDefault="00BE3F39" w:rsidP="00671060">
      <w:pPr>
        <w:spacing w:after="0" w:line="240" w:lineRule="auto"/>
        <w:jc w:val="both"/>
        <w:rPr>
          <w:rFonts w:ascii="Arial" w:eastAsia="Arial" w:hAnsi="Arial" w:cs="Arial"/>
        </w:rPr>
      </w:pPr>
    </w:p>
    <w:p w14:paraId="5FB84D86" w14:textId="031DD4C7" w:rsidR="00021229" w:rsidRDefault="00671060" w:rsidP="00671060">
      <w:pPr>
        <w:spacing w:after="0" w:line="240" w:lineRule="auto"/>
        <w:jc w:val="both"/>
        <w:rPr>
          <w:rFonts w:ascii="Arial" w:eastAsia="Arial" w:hAnsi="Arial" w:cs="Arial"/>
        </w:rPr>
      </w:pPr>
      <w:r w:rsidRPr="00443144">
        <w:rPr>
          <w:rFonts w:ascii="Arial" w:eastAsia="Arial" w:hAnsi="Arial" w:cs="Arial"/>
        </w:rPr>
        <w:t xml:space="preserve">En términos acumulados, entre enero y octubre </w:t>
      </w:r>
      <w:r w:rsidR="00443144">
        <w:rPr>
          <w:rFonts w:ascii="Arial" w:eastAsia="Arial" w:hAnsi="Arial" w:cs="Arial"/>
        </w:rPr>
        <w:t xml:space="preserve">de </w:t>
      </w:r>
      <w:r w:rsidR="006D6B0D" w:rsidRPr="00443144">
        <w:rPr>
          <w:rFonts w:ascii="Arial" w:eastAsia="Arial" w:hAnsi="Arial" w:cs="Arial"/>
        </w:rPr>
        <w:t xml:space="preserve">2021 </w:t>
      </w:r>
      <w:r w:rsidRPr="00443144">
        <w:rPr>
          <w:rFonts w:ascii="Arial" w:eastAsia="Arial" w:hAnsi="Arial" w:cs="Arial"/>
        </w:rPr>
        <w:t xml:space="preserve">se han recaudado S/ 113 </w:t>
      </w:r>
      <w:r w:rsidR="000624F2">
        <w:rPr>
          <w:rFonts w:ascii="Arial" w:eastAsia="Arial" w:hAnsi="Arial" w:cs="Arial"/>
        </w:rPr>
        <w:t>210</w:t>
      </w:r>
      <w:r w:rsidRPr="00443144">
        <w:rPr>
          <w:rFonts w:ascii="Arial" w:eastAsia="Arial" w:hAnsi="Arial" w:cs="Arial"/>
        </w:rPr>
        <w:t xml:space="preserve"> millones, monto </w:t>
      </w:r>
      <w:r w:rsidR="00BE3F39">
        <w:rPr>
          <w:rFonts w:ascii="Arial" w:eastAsia="Arial" w:hAnsi="Arial" w:cs="Arial"/>
        </w:rPr>
        <w:t>que equivale</w:t>
      </w:r>
      <w:r w:rsidRPr="00443144">
        <w:rPr>
          <w:rFonts w:ascii="Arial" w:eastAsia="Arial" w:hAnsi="Arial" w:cs="Arial"/>
        </w:rPr>
        <w:t xml:space="preserve"> a un crecimiento de 45,</w:t>
      </w:r>
      <w:r w:rsidR="00D21A23">
        <w:rPr>
          <w:rFonts w:ascii="Arial" w:eastAsia="Arial" w:hAnsi="Arial" w:cs="Arial"/>
        </w:rPr>
        <w:t>5</w:t>
      </w:r>
      <w:r w:rsidRPr="00443144">
        <w:rPr>
          <w:rFonts w:ascii="Arial" w:eastAsia="Arial" w:hAnsi="Arial" w:cs="Arial"/>
        </w:rPr>
        <w:t>% respecto de similar período de 2020</w:t>
      </w:r>
      <w:r w:rsidR="006A447A">
        <w:rPr>
          <w:rFonts w:ascii="Arial" w:eastAsia="Arial" w:hAnsi="Arial" w:cs="Arial"/>
        </w:rPr>
        <w:t xml:space="preserve">, y de </w:t>
      </w:r>
      <w:r w:rsidRPr="00443144">
        <w:rPr>
          <w:rFonts w:ascii="Arial" w:eastAsia="Arial" w:hAnsi="Arial" w:cs="Arial"/>
        </w:rPr>
        <w:t>1</w:t>
      </w:r>
      <w:r w:rsidR="006D6B0D" w:rsidRPr="00443144">
        <w:rPr>
          <w:rFonts w:ascii="Arial" w:eastAsia="Arial" w:hAnsi="Arial" w:cs="Arial"/>
        </w:rPr>
        <w:t>6,9</w:t>
      </w:r>
      <w:r w:rsidRPr="00443144">
        <w:rPr>
          <w:rFonts w:ascii="Arial" w:eastAsia="Arial" w:hAnsi="Arial" w:cs="Arial"/>
        </w:rPr>
        <w:t>% respecto de 2019</w:t>
      </w:r>
      <w:r w:rsidR="00BE3F39">
        <w:rPr>
          <w:rFonts w:ascii="Arial" w:eastAsia="Arial" w:hAnsi="Arial" w:cs="Arial"/>
        </w:rPr>
        <w:t>, informó el Superintendente Nacional, Luis Enrique Vera.</w:t>
      </w:r>
    </w:p>
    <w:p w14:paraId="2A789469" w14:textId="77777777" w:rsidR="003B3522" w:rsidRPr="00443144" w:rsidRDefault="003B3522" w:rsidP="00671060">
      <w:pPr>
        <w:spacing w:after="0" w:line="240" w:lineRule="auto"/>
        <w:jc w:val="both"/>
        <w:rPr>
          <w:rFonts w:ascii="Arial" w:eastAsia="Arial" w:hAnsi="Arial" w:cs="Arial"/>
        </w:rPr>
      </w:pPr>
    </w:p>
    <w:p w14:paraId="052C68AA" w14:textId="3538404D" w:rsidR="009D0FE3" w:rsidRPr="00443144" w:rsidRDefault="00113454" w:rsidP="00113454">
      <w:pPr>
        <w:spacing w:after="0" w:line="240" w:lineRule="auto"/>
        <w:ind w:left="-142" w:hanging="142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4BF7C1D0" wp14:editId="36374DF5">
            <wp:extent cx="5762462" cy="2323967"/>
            <wp:effectExtent l="0" t="0" r="0" b="63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6789" cy="23337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3B7F756" w14:textId="77777777" w:rsidR="00097B44" w:rsidRPr="00443144" w:rsidRDefault="00097B44" w:rsidP="00097B44">
      <w:pPr>
        <w:spacing w:after="0" w:line="240" w:lineRule="auto"/>
        <w:jc w:val="both"/>
        <w:rPr>
          <w:rFonts w:ascii="Arial" w:eastAsia="Arial" w:hAnsi="Arial" w:cs="Arial"/>
          <w:b/>
        </w:rPr>
      </w:pPr>
    </w:p>
    <w:p w14:paraId="13984CDA" w14:textId="77777777" w:rsidR="009D0FE3" w:rsidRPr="00443144" w:rsidRDefault="005021C7" w:rsidP="00097B44">
      <w:pPr>
        <w:spacing w:after="0" w:line="240" w:lineRule="auto"/>
        <w:jc w:val="both"/>
        <w:rPr>
          <w:rFonts w:ascii="Arial" w:eastAsia="Arial" w:hAnsi="Arial" w:cs="Arial"/>
          <w:b/>
        </w:rPr>
      </w:pPr>
      <w:r w:rsidRPr="00443144">
        <w:rPr>
          <w:rFonts w:ascii="Arial" w:eastAsia="Arial" w:hAnsi="Arial" w:cs="Arial"/>
          <w:b/>
        </w:rPr>
        <w:t>F</w:t>
      </w:r>
      <w:r w:rsidR="009D0FE3" w:rsidRPr="00443144">
        <w:rPr>
          <w:rFonts w:ascii="Arial" w:eastAsia="Arial" w:hAnsi="Arial" w:cs="Arial"/>
          <w:b/>
        </w:rPr>
        <w:t>actores</w:t>
      </w:r>
      <w:r w:rsidRPr="00443144">
        <w:rPr>
          <w:rFonts w:ascii="Arial" w:eastAsia="Arial" w:hAnsi="Arial" w:cs="Arial"/>
          <w:b/>
        </w:rPr>
        <w:t xml:space="preserve"> que incidieron en la recaudación</w:t>
      </w:r>
    </w:p>
    <w:p w14:paraId="54C8F9EC" w14:textId="77777777" w:rsidR="00097B44" w:rsidRPr="00443144" w:rsidRDefault="00097B44" w:rsidP="00097B44">
      <w:pPr>
        <w:spacing w:after="0" w:line="240" w:lineRule="auto"/>
        <w:jc w:val="both"/>
        <w:rPr>
          <w:rFonts w:ascii="Arial" w:eastAsia="Arial" w:hAnsi="Arial" w:cs="Arial"/>
          <w:b/>
        </w:rPr>
      </w:pPr>
    </w:p>
    <w:p w14:paraId="6F1CB4B8" w14:textId="17C42DB2" w:rsidR="00671060" w:rsidRPr="00443144" w:rsidRDefault="00671060" w:rsidP="0011247F">
      <w:pPr>
        <w:pStyle w:val="Prrafodelista"/>
        <w:numPr>
          <w:ilvl w:val="0"/>
          <w:numId w:val="4"/>
        </w:numPr>
        <w:spacing w:after="0" w:line="240" w:lineRule="auto"/>
        <w:ind w:left="426"/>
        <w:jc w:val="both"/>
        <w:rPr>
          <w:rFonts w:ascii="Arial" w:eastAsia="Arial" w:hAnsi="Arial" w:cs="Arial"/>
        </w:rPr>
      </w:pPr>
      <w:r w:rsidRPr="00443144">
        <w:rPr>
          <w:rFonts w:ascii="Arial" w:eastAsia="Arial" w:hAnsi="Arial" w:cs="Arial"/>
        </w:rPr>
        <w:t xml:space="preserve">La recuperación de la actividad económica nacional, con crecimientos importantes del PBI y la Demanda Interna que se habrían registrado en el mes de </w:t>
      </w:r>
      <w:r w:rsidR="006D6B0D" w:rsidRPr="00443144">
        <w:rPr>
          <w:rFonts w:ascii="Arial" w:eastAsia="Arial" w:hAnsi="Arial" w:cs="Arial"/>
        </w:rPr>
        <w:t>setiembre</w:t>
      </w:r>
      <w:r w:rsidRPr="00443144">
        <w:rPr>
          <w:rFonts w:ascii="Arial" w:eastAsia="Arial" w:hAnsi="Arial" w:cs="Arial"/>
        </w:rPr>
        <w:t xml:space="preserve">, </w:t>
      </w:r>
      <w:r w:rsidR="006D6B0D" w:rsidRPr="00443144">
        <w:rPr>
          <w:rFonts w:ascii="Arial" w:eastAsia="Arial" w:hAnsi="Arial" w:cs="Arial"/>
        </w:rPr>
        <w:t xml:space="preserve">superando las expectativas y </w:t>
      </w:r>
      <w:r w:rsidRPr="00443144">
        <w:rPr>
          <w:rFonts w:ascii="Arial" w:eastAsia="Arial" w:hAnsi="Arial" w:cs="Arial"/>
        </w:rPr>
        <w:t xml:space="preserve">contrastando con las reducciones registradas </w:t>
      </w:r>
      <w:r w:rsidR="00443144">
        <w:rPr>
          <w:rFonts w:ascii="Arial" w:eastAsia="Arial" w:hAnsi="Arial" w:cs="Arial"/>
        </w:rPr>
        <w:t xml:space="preserve">durante </w:t>
      </w:r>
      <w:r w:rsidRPr="00443144">
        <w:rPr>
          <w:rFonts w:ascii="Arial" w:eastAsia="Arial" w:hAnsi="Arial" w:cs="Arial"/>
        </w:rPr>
        <w:t>el año anterior.</w:t>
      </w:r>
    </w:p>
    <w:p w14:paraId="069CD9E6" w14:textId="77777777" w:rsidR="00671060" w:rsidRPr="00443144" w:rsidRDefault="00671060" w:rsidP="0011247F">
      <w:pPr>
        <w:pStyle w:val="Prrafodelista"/>
        <w:spacing w:after="0" w:line="240" w:lineRule="auto"/>
        <w:ind w:left="426"/>
        <w:jc w:val="both"/>
        <w:rPr>
          <w:rFonts w:ascii="Arial" w:eastAsia="Arial" w:hAnsi="Arial" w:cs="Arial"/>
        </w:rPr>
      </w:pPr>
    </w:p>
    <w:p w14:paraId="3B4DF22D" w14:textId="7C36D03A" w:rsidR="00671060" w:rsidRPr="00443144" w:rsidRDefault="00671060" w:rsidP="0011247F">
      <w:pPr>
        <w:pStyle w:val="Prrafodelista"/>
        <w:numPr>
          <w:ilvl w:val="0"/>
          <w:numId w:val="4"/>
        </w:numPr>
        <w:spacing w:after="0" w:line="240" w:lineRule="auto"/>
        <w:ind w:left="426"/>
        <w:jc w:val="both"/>
        <w:rPr>
          <w:rFonts w:ascii="Arial" w:eastAsia="Arial" w:hAnsi="Arial" w:cs="Arial"/>
        </w:rPr>
      </w:pPr>
      <w:r w:rsidRPr="00443144">
        <w:rPr>
          <w:rFonts w:ascii="Arial" w:eastAsia="Arial" w:hAnsi="Arial" w:cs="Arial"/>
        </w:rPr>
        <w:t xml:space="preserve">Los mayores pagos por concepto de Impuesto a la Renta de tercera categoría- especialmente por parte de las empresas del sector minería, debido a los mayores precios internacionales de los metales, </w:t>
      </w:r>
      <w:r w:rsidR="006A447A">
        <w:rPr>
          <w:rFonts w:ascii="Arial" w:eastAsia="Arial" w:hAnsi="Arial" w:cs="Arial"/>
        </w:rPr>
        <w:t>en particular d</w:t>
      </w:r>
      <w:r w:rsidRPr="00443144">
        <w:rPr>
          <w:rFonts w:ascii="Arial" w:eastAsia="Arial" w:hAnsi="Arial" w:cs="Arial"/>
        </w:rPr>
        <w:t>el cobre</w:t>
      </w:r>
      <w:r w:rsidR="006A447A">
        <w:rPr>
          <w:rFonts w:ascii="Arial" w:eastAsia="Arial" w:hAnsi="Arial" w:cs="Arial"/>
        </w:rPr>
        <w:t>,</w:t>
      </w:r>
      <w:r w:rsidR="006D6B0D" w:rsidRPr="00443144">
        <w:rPr>
          <w:rFonts w:ascii="Arial" w:eastAsia="Arial" w:hAnsi="Arial" w:cs="Arial"/>
        </w:rPr>
        <w:t xml:space="preserve"> y </w:t>
      </w:r>
      <w:r w:rsidR="006A447A">
        <w:rPr>
          <w:rFonts w:ascii="Arial" w:eastAsia="Arial" w:hAnsi="Arial" w:cs="Arial"/>
        </w:rPr>
        <w:t xml:space="preserve">el </w:t>
      </w:r>
      <w:r w:rsidR="00443144">
        <w:rPr>
          <w:rFonts w:ascii="Arial" w:eastAsia="Arial" w:hAnsi="Arial" w:cs="Arial"/>
        </w:rPr>
        <w:t>mayor</w:t>
      </w:r>
      <w:r w:rsidR="006D6B0D" w:rsidRPr="00443144">
        <w:rPr>
          <w:rFonts w:ascii="Arial" w:eastAsia="Arial" w:hAnsi="Arial" w:cs="Arial"/>
        </w:rPr>
        <w:t xml:space="preserve"> </w:t>
      </w:r>
      <w:r w:rsidR="00443144">
        <w:rPr>
          <w:rFonts w:ascii="Arial" w:eastAsia="Arial" w:hAnsi="Arial" w:cs="Arial"/>
        </w:rPr>
        <w:t>t</w:t>
      </w:r>
      <w:r w:rsidR="006D6B0D" w:rsidRPr="00443144">
        <w:rPr>
          <w:rFonts w:ascii="Arial" w:eastAsia="Arial" w:hAnsi="Arial" w:cs="Arial"/>
        </w:rPr>
        <w:t>ipo de Cambio,</w:t>
      </w:r>
    </w:p>
    <w:p w14:paraId="50AEEE4E" w14:textId="77777777" w:rsidR="00671060" w:rsidRPr="00443144" w:rsidRDefault="00671060" w:rsidP="0011247F">
      <w:pPr>
        <w:pStyle w:val="Prrafodelista"/>
        <w:ind w:left="426"/>
        <w:rPr>
          <w:rFonts w:ascii="Arial" w:eastAsia="Arial" w:hAnsi="Arial" w:cs="Arial"/>
        </w:rPr>
      </w:pPr>
    </w:p>
    <w:p w14:paraId="38508197" w14:textId="5DDF3C67" w:rsidR="00671060" w:rsidRPr="00443144" w:rsidRDefault="00671060" w:rsidP="0011247F">
      <w:pPr>
        <w:pStyle w:val="Prrafodelista"/>
        <w:numPr>
          <w:ilvl w:val="0"/>
          <w:numId w:val="4"/>
        </w:numPr>
        <w:spacing w:after="0" w:line="240" w:lineRule="auto"/>
        <w:ind w:left="426"/>
        <w:jc w:val="both"/>
        <w:rPr>
          <w:rFonts w:ascii="Arial" w:eastAsia="Arial" w:hAnsi="Arial" w:cs="Arial"/>
        </w:rPr>
      </w:pPr>
      <w:r w:rsidRPr="00443144">
        <w:rPr>
          <w:rFonts w:ascii="Arial" w:eastAsia="Arial" w:hAnsi="Arial" w:cs="Arial"/>
        </w:rPr>
        <w:t xml:space="preserve">El incremento de las importaciones, que en el mes de octubre habrían registrado un crecimiento de </w:t>
      </w:r>
      <w:r w:rsidR="006D6B0D" w:rsidRPr="00443144">
        <w:rPr>
          <w:rFonts w:ascii="Arial" w:eastAsia="Arial" w:hAnsi="Arial" w:cs="Arial"/>
        </w:rPr>
        <w:t>alrededor de 30</w:t>
      </w:r>
      <w:r w:rsidRPr="00443144">
        <w:rPr>
          <w:rFonts w:ascii="Arial" w:eastAsia="Arial" w:hAnsi="Arial" w:cs="Arial"/>
        </w:rPr>
        <w:t>%, así como el incremento del tipo de cambio (1</w:t>
      </w:r>
      <w:r w:rsidR="006D6B0D" w:rsidRPr="00443144">
        <w:rPr>
          <w:rFonts w:ascii="Arial" w:eastAsia="Arial" w:hAnsi="Arial" w:cs="Arial"/>
        </w:rPr>
        <w:t>2</w:t>
      </w:r>
      <w:r w:rsidRPr="00443144">
        <w:rPr>
          <w:rFonts w:ascii="Arial" w:eastAsia="Arial" w:hAnsi="Arial" w:cs="Arial"/>
        </w:rPr>
        <w:t xml:space="preserve">%), </w:t>
      </w:r>
      <w:r w:rsidRPr="00443144">
        <w:rPr>
          <w:rFonts w:ascii="Arial" w:eastAsia="Arial" w:hAnsi="Arial" w:cs="Arial"/>
        </w:rPr>
        <w:lastRenderedPageBreak/>
        <w:t>traducido en una mayor recaudación de tributos aduaneros</w:t>
      </w:r>
      <w:r w:rsidR="006D6B0D" w:rsidRPr="00443144">
        <w:rPr>
          <w:rFonts w:ascii="Arial" w:eastAsia="Arial" w:hAnsi="Arial" w:cs="Arial"/>
        </w:rPr>
        <w:t>, especialmente</w:t>
      </w:r>
      <w:r w:rsidR="0011247F">
        <w:rPr>
          <w:rFonts w:ascii="Arial" w:eastAsia="Arial" w:hAnsi="Arial" w:cs="Arial"/>
        </w:rPr>
        <w:t xml:space="preserve"> por concepto del</w:t>
      </w:r>
      <w:r w:rsidR="006D6B0D" w:rsidRPr="00443144">
        <w:rPr>
          <w:rFonts w:ascii="Arial" w:eastAsia="Arial" w:hAnsi="Arial" w:cs="Arial"/>
        </w:rPr>
        <w:t xml:space="preserve"> IGV importaciones.</w:t>
      </w:r>
    </w:p>
    <w:p w14:paraId="65CE8FD0" w14:textId="77777777" w:rsidR="00671060" w:rsidRPr="00443144" w:rsidRDefault="00671060" w:rsidP="0011247F">
      <w:pPr>
        <w:pStyle w:val="Prrafodelista"/>
        <w:ind w:left="426"/>
        <w:rPr>
          <w:rFonts w:ascii="Arial" w:eastAsia="Arial" w:hAnsi="Arial" w:cs="Arial"/>
        </w:rPr>
      </w:pPr>
    </w:p>
    <w:p w14:paraId="472B1049" w14:textId="71F47E18" w:rsidR="00021229" w:rsidRPr="00443144" w:rsidRDefault="00671060" w:rsidP="0011247F">
      <w:pPr>
        <w:pStyle w:val="Prrafodelista"/>
        <w:numPr>
          <w:ilvl w:val="0"/>
          <w:numId w:val="4"/>
        </w:numPr>
        <w:spacing w:after="0" w:line="240" w:lineRule="auto"/>
        <w:ind w:left="426"/>
        <w:jc w:val="both"/>
        <w:rPr>
          <w:rFonts w:ascii="Arial" w:eastAsia="Arial" w:hAnsi="Arial" w:cs="Arial"/>
        </w:rPr>
      </w:pPr>
      <w:r w:rsidRPr="00443144">
        <w:rPr>
          <w:rFonts w:ascii="Arial" w:eastAsia="Arial" w:hAnsi="Arial" w:cs="Arial"/>
        </w:rPr>
        <w:t xml:space="preserve">Los pagos extraordinarios </w:t>
      </w:r>
      <w:r w:rsidR="006D6B0D" w:rsidRPr="00443144">
        <w:rPr>
          <w:rFonts w:ascii="Arial" w:eastAsia="Arial" w:hAnsi="Arial" w:cs="Arial"/>
        </w:rPr>
        <w:t xml:space="preserve">de más de S/ 600 millones </w:t>
      </w:r>
      <w:r w:rsidRPr="00443144">
        <w:rPr>
          <w:rFonts w:ascii="Arial" w:eastAsia="Arial" w:hAnsi="Arial" w:cs="Arial"/>
        </w:rPr>
        <w:t>registrados en el rubro de Impuesto a la Renta</w:t>
      </w:r>
      <w:r w:rsidR="006D6B0D" w:rsidRPr="00443144">
        <w:rPr>
          <w:rFonts w:ascii="Arial" w:eastAsia="Arial" w:hAnsi="Arial" w:cs="Arial"/>
        </w:rPr>
        <w:t xml:space="preserve"> y en M</w:t>
      </w:r>
      <w:r w:rsidRPr="00443144">
        <w:rPr>
          <w:rFonts w:ascii="Arial" w:eastAsia="Arial" w:hAnsi="Arial" w:cs="Arial"/>
        </w:rPr>
        <w:t>ultas</w:t>
      </w:r>
      <w:r w:rsidR="006A447A">
        <w:rPr>
          <w:rFonts w:ascii="Arial" w:eastAsia="Arial" w:hAnsi="Arial" w:cs="Arial"/>
        </w:rPr>
        <w:t xml:space="preserve">, producto de las </w:t>
      </w:r>
      <w:r w:rsidR="006D6B0D" w:rsidRPr="00443144">
        <w:rPr>
          <w:rFonts w:ascii="Arial" w:eastAsia="Arial" w:hAnsi="Arial" w:cs="Arial"/>
        </w:rPr>
        <w:t>acciones de control y cobranza de SUNAT</w:t>
      </w:r>
      <w:r w:rsidR="00021229" w:rsidRPr="00443144">
        <w:rPr>
          <w:rFonts w:ascii="Arial" w:eastAsia="Arial" w:hAnsi="Arial" w:cs="Arial"/>
        </w:rPr>
        <w:t>.</w:t>
      </w:r>
    </w:p>
    <w:p w14:paraId="5A1C909E" w14:textId="676A755C" w:rsidR="005021C7" w:rsidRPr="00443144" w:rsidRDefault="005021C7" w:rsidP="00097B44">
      <w:pPr>
        <w:spacing w:after="0" w:line="240" w:lineRule="auto"/>
        <w:rPr>
          <w:rFonts w:ascii="Arial" w:hAnsi="Arial" w:cs="Arial"/>
          <w:b/>
        </w:rPr>
      </w:pPr>
    </w:p>
    <w:p w14:paraId="14E4DDE9" w14:textId="1C990C3B" w:rsidR="00021229" w:rsidRPr="00443144" w:rsidRDefault="00021229" w:rsidP="00097B44">
      <w:pPr>
        <w:spacing w:after="0" w:line="240" w:lineRule="auto"/>
        <w:rPr>
          <w:rFonts w:ascii="Arial" w:hAnsi="Arial" w:cs="Arial"/>
          <w:b/>
          <w:color w:val="FF0000"/>
        </w:rPr>
      </w:pPr>
      <w:r w:rsidRPr="00443144">
        <w:rPr>
          <w:rFonts w:ascii="Arial" w:hAnsi="Arial" w:cs="Arial"/>
          <w:b/>
        </w:rPr>
        <w:t>Resultados por tributos</w:t>
      </w:r>
      <w:r w:rsidR="00FC3EF3" w:rsidRPr="00443144">
        <w:rPr>
          <w:rFonts w:ascii="Arial" w:hAnsi="Arial" w:cs="Arial"/>
          <w:b/>
        </w:rPr>
        <w:t xml:space="preserve"> </w:t>
      </w:r>
    </w:p>
    <w:p w14:paraId="2B21E553" w14:textId="77777777" w:rsidR="009D0FE3" w:rsidRPr="00443144" w:rsidRDefault="009D0FE3" w:rsidP="00097B44">
      <w:pPr>
        <w:spacing w:after="0" w:line="240" w:lineRule="auto"/>
        <w:rPr>
          <w:rFonts w:ascii="Arial" w:hAnsi="Arial" w:cs="Arial"/>
        </w:rPr>
      </w:pPr>
    </w:p>
    <w:p w14:paraId="4E676509" w14:textId="62321C32" w:rsidR="005021C7" w:rsidRPr="00443144" w:rsidRDefault="005021C7" w:rsidP="0011247F">
      <w:pPr>
        <w:pStyle w:val="Prrafodelista"/>
        <w:numPr>
          <w:ilvl w:val="0"/>
          <w:numId w:val="5"/>
        </w:numPr>
        <w:spacing w:after="0" w:line="240" w:lineRule="auto"/>
        <w:ind w:left="426"/>
        <w:jc w:val="both"/>
        <w:rPr>
          <w:rFonts w:ascii="Arial" w:hAnsi="Arial" w:cs="Arial"/>
        </w:rPr>
      </w:pPr>
      <w:r w:rsidRPr="00FC736D">
        <w:rPr>
          <w:rFonts w:ascii="Arial" w:hAnsi="Arial" w:cs="Arial"/>
          <w:b/>
        </w:rPr>
        <w:t>Impuesto a la Renta</w:t>
      </w:r>
      <w:r w:rsidRPr="00FC736D">
        <w:rPr>
          <w:rFonts w:ascii="Arial" w:hAnsi="Arial" w:cs="Arial"/>
        </w:rPr>
        <w:t xml:space="preserve">: </w:t>
      </w:r>
      <w:r w:rsidR="002F48B0" w:rsidRPr="00FC736D">
        <w:rPr>
          <w:rFonts w:ascii="Arial" w:hAnsi="Arial" w:cs="Arial"/>
        </w:rPr>
        <w:t xml:space="preserve">En </w:t>
      </w:r>
      <w:r w:rsidR="002E10AA" w:rsidRPr="00FC736D">
        <w:rPr>
          <w:rFonts w:ascii="Arial" w:hAnsi="Arial" w:cs="Arial"/>
        </w:rPr>
        <w:t>octubre</w:t>
      </w:r>
      <w:r w:rsidRPr="00FC736D">
        <w:rPr>
          <w:rFonts w:ascii="Arial" w:hAnsi="Arial" w:cs="Arial"/>
        </w:rPr>
        <w:t xml:space="preserve"> se recaudó S/ </w:t>
      </w:r>
      <w:r w:rsidR="002E10AA" w:rsidRPr="00FC736D">
        <w:rPr>
          <w:rFonts w:ascii="Arial" w:hAnsi="Arial" w:cs="Arial"/>
        </w:rPr>
        <w:t>4 317</w:t>
      </w:r>
      <w:r w:rsidRPr="00FC736D">
        <w:rPr>
          <w:rFonts w:ascii="Arial" w:hAnsi="Arial" w:cs="Arial"/>
        </w:rPr>
        <w:t xml:space="preserve"> millones, un </w:t>
      </w:r>
      <w:r w:rsidR="002E10AA" w:rsidRPr="00FC736D">
        <w:rPr>
          <w:rFonts w:ascii="Arial" w:hAnsi="Arial" w:cs="Arial"/>
        </w:rPr>
        <w:t>3</w:t>
      </w:r>
      <w:r w:rsidR="000624F2" w:rsidRPr="00FC736D">
        <w:rPr>
          <w:rFonts w:ascii="Arial" w:hAnsi="Arial" w:cs="Arial"/>
        </w:rPr>
        <w:t>6,9</w:t>
      </w:r>
      <w:r w:rsidRPr="00FC736D">
        <w:rPr>
          <w:rFonts w:ascii="Arial" w:hAnsi="Arial" w:cs="Arial"/>
        </w:rPr>
        <w:t>%</w:t>
      </w:r>
      <w:r w:rsidRPr="00443144">
        <w:rPr>
          <w:rFonts w:ascii="Arial" w:hAnsi="Arial" w:cs="Arial"/>
        </w:rPr>
        <w:t xml:space="preserve"> más que en el 2020. Este resultado refleja los mayores pagos a cuenta del Impuesto a la Renta de Tercera Categoría del Régimen General (RG) y del Régimen Mype Tributario (RMT) que se incrementaron en </w:t>
      </w:r>
      <w:r w:rsidR="002E10AA" w:rsidRPr="00443144">
        <w:rPr>
          <w:rFonts w:ascii="Arial" w:hAnsi="Arial" w:cs="Arial"/>
        </w:rPr>
        <w:t>39,</w:t>
      </w:r>
      <w:r w:rsidR="000624F2">
        <w:rPr>
          <w:rFonts w:ascii="Arial" w:hAnsi="Arial" w:cs="Arial"/>
        </w:rPr>
        <w:t>3</w:t>
      </w:r>
      <w:r w:rsidRPr="00443144">
        <w:rPr>
          <w:rFonts w:ascii="Arial" w:hAnsi="Arial" w:cs="Arial"/>
        </w:rPr>
        <w:t>%.</w:t>
      </w:r>
      <w:r w:rsidR="002E10AA" w:rsidRPr="00443144">
        <w:rPr>
          <w:rFonts w:ascii="Arial" w:hAnsi="Arial" w:cs="Arial"/>
        </w:rPr>
        <w:t xml:space="preserve"> </w:t>
      </w:r>
    </w:p>
    <w:p w14:paraId="0CC793F1" w14:textId="58D4D7EC" w:rsidR="002E10AA" w:rsidRPr="00443144" w:rsidRDefault="002E10AA" w:rsidP="0011247F">
      <w:pPr>
        <w:spacing w:after="0" w:line="240" w:lineRule="auto"/>
        <w:ind w:left="426"/>
        <w:jc w:val="both"/>
        <w:rPr>
          <w:rFonts w:ascii="Arial" w:hAnsi="Arial" w:cs="Arial"/>
        </w:rPr>
      </w:pPr>
    </w:p>
    <w:p w14:paraId="374B4727" w14:textId="2D759CC8" w:rsidR="00097B44" w:rsidRPr="00443144" w:rsidRDefault="0011247F" w:rsidP="0011247F">
      <w:pPr>
        <w:spacing w:after="0" w:line="240" w:lineRule="auto"/>
        <w:ind w:left="426"/>
        <w:jc w:val="both"/>
        <w:rPr>
          <w:rFonts w:ascii="Arial" w:hAnsi="Arial" w:cs="Arial"/>
        </w:rPr>
      </w:pPr>
      <w:bookmarkStart w:id="0" w:name="_Hlk86448197"/>
      <w:r>
        <w:rPr>
          <w:rFonts w:ascii="Arial" w:hAnsi="Arial" w:cs="Arial"/>
        </w:rPr>
        <w:t>También d</w:t>
      </w:r>
      <w:r w:rsidR="006D6B0D" w:rsidRPr="00443144">
        <w:rPr>
          <w:rFonts w:ascii="Arial" w:hAnsi="Arial" w:cs="Arial"/>
        </w:rPr>
        <w:t>estacaron los mayores pagos por concepto de regularización con un crecimiento de 33</w:t>
      </w:r>
      <w:r w:rsidR="000624F2">
        <w:rPr>
          <w:rFonts w:ascii="Arial" w:hAnsi="Arial" w:cs="Arial"/>
        </w:rPr>
        <w:t>0,1</w:t>
      </w:r>
      <w:r w:rsidR="006D6B0D" w:rsidRPr="00443144">
        <w:rPr>
          <w:rFonts w:ascii="Arial" w:hAnsi="Arial" w:cs="Arial"/>
        </w:rPr>
        <w:t xml:space="preserve">%, explicado por pagos extraordinarios recibidos por acciones de SUNAT del orden de más de S/ 150 millones; seguido de los mayores pagos de </w:t>
      </w:r>
      <w:r w:rsidR="00113454">
        <w:rPr>
          <w:rFonts w:ascii="Arial" w:hAnsi="Arial" w:cs="Arial"/>
        </w:rPr>
        <w:t>R</w:t>
      </w:r>
      <w:r w:rsidR="006D6B0D" w:rsidRPr="00443144">
        <w:rPr>
          <w:rFonts w:ascii="Arial" w:hAnsi="Arial" w:cs="Arial"/>
        </w:rPr>
        <w:t xml:space="preserve">entas de </w:t>
      </w:r>
      <w:r w:rsidR="00113454">
        <w:rPr>
          <w:rFonts w:ascii="Arial" w:hAnsi="Arial" w:cs="Arial"/>
        </w:rPr>
        <w:t>S</w:t>
      </w:r>
      <w:r w:rsidR="006D6B0D" w:rsidRPr="00443144">
        <w:rPr>
          <w:rFonts w:ascii="Arial" w:hAnsi="Arial" w:cs="Arial"/>
        </w:rPr>
        <w:t xml:space="preserve">egunda </w:t>
      </w:r>
      <w:r w:rsidR="00113454">
        <w:rPr>
          <w:rFonts w:ascii="Arial" w:hAnsi="Arial" w:cs="Arial"/>
        </w:rPr>
        <w:t>C</w:t>
      </w:r>
      <w:r w:rsidR="006D6B0D" w:rsidRPr="00443144">
        <w:rPr>
          <w:rFonts w:ascii="Arial" w:hAnsi="Arial" w:cs="Arial"/>
        </w:rPr>
        <w:t>ategoría (26</w:t>
      </w:r>
      <w:r w:rsidR="000624F2">
        <w:rPr>
          <w:rFonts w:ascii="Arial" w:hAnsi="Arial" w:cs="Arial"/>
        </w:rPr>
        <w:t>5,9</w:t>
      </w:r>
      <w:r w:rsidR="006D6B0D" w:rsidRPr="00443144">
        <w:rPr>
          <w:rFonts w:ascii="Arial" w:hAnsi="Arial" w:cs="Arial"/>
        </w:rPr>
        <w:t xml:space="preserve">%) donde también destacaron pagos extraordinarios por distribución de dividendos de importantes empresas del orden de S/ 350 millones; y la </w:t>
      </w:r>
      <w:r w:rsidR="00113454">
        <w:rPr>
          <w:rFonts w:ascii="Arial" w:hAnsi="Arial" w:cs="Arial"/>
        </w:rPr>
        <w:t>R</w:t>
      </w:r>
      <w:r w:rsidR="006D6B0D" w:rsidRPr="00443144">
        <w:rPr>
          <w:rFonts w:ascii="Arial" w:hAnsi="Arial" w:cs="Arial"/>
        </w:rPr>
        <w:t xml:space="preserve">enta de Quinta Categoría que registró un crecimiento de </w:t>
      </w:r>
      <w:r w:rsidR="000624F2">
        <w:rPr>
          <w:rFonts w:ascii="Arial" w:hAnsi="Arial" w:cs="Arial"/>
        </w:rPr>
        <w:t>5,8</w:t>
      </w:r>
      <w:r w:rsidR="006D6B0D" w:rsidRPr="00443144">
        <w:rPr>
          <w:rFonts w:ascii="Arial" w:hAnsi="Arial" w:cs="Arial"/>
        </w:rPr>
        <w:t>%</w:t>
      </w:r>
      <w:bookmarkEnd w:id="0"/>
      <w:r w:rsidR="006D6B0D" w:rsidRPr="00443144">
        <w:rPr>
          <w:rFonts w:ascii="Arial" w:hAnsi="Arial" w:cs="Arial"/>
        </w:rPr>
        <w:t xml:space="preserve"> reflejando recuperación </w:t>
      </w:r>
      <w:r>
        <w:rPr>
          <w:rFonts w:ascii="Arial" w:hAnsi="Arial" w:cs="Arial"/>
        </w:rPr>
        <w:t>luego de la</w:t>
      </w:r>
      <w:r w:rsidR="006D6B0D" w:rsidRPr="00443144">
        <w:rPr>
          <w:rFonts w:ascii="Arial" w:hAnsi="Arial" w:cs="Arial"/>
        </w:rPr>
        <w:t xml:space="preserve"> contracción </w:t>
      </w:r>
      <w:r>
        <w:rPr>
          <w:rFonts w:ascii="Arial" w:hAnsi="Arial" w:cs="Arial"/>
        </w:rPr>
        <w:t xml:space="preserve">observada </w:t>
      </w:r>
      <w:r w:rsidR="006D6B0D" w:rsidRPr="00443144">
        <w:rPr>
          <w:rFonts w:ascii="Arial" w:hAnsi="Arial" w:cs="Arial"/>
        </w:rPr>
        <w:t xml:space="preserve">en 2020 . </w:t>
      </w:r>
    </w:p>
    <w:p w14:paraId="29A22C8F" w14:textId="77777777" w:rsidR="006D6B0D" w:rsidRPr="00443144" w:rsidRDefault="006D6B0D" w:rsidP="0011247F">
      <w:pPr>
        <w:spacing w:after="0" w:line="240" w:lineRule="auto"/>
        <w:ind w:left="426"/>
        <w:jc w:val="both"/>
        <w:rPr>
          <w:rFonts w:ascii="Arial" w:hAnsi="Arial" w:cs="Arial"/>
        </w:rPr>
      </w:pPr>
    </w:p>
    <w:p w14:paraId="05B91E16" w14:textId="3916A365" w:rsidR="002E10AA" w:rsidRPr="00FC736D" w:rsidRDefault="00140D58" w:rsidP="0011247F">
      <w:pPr>
        <w:pStyle w:val="Prrafodelista"/>
        <w:numPr>
          <w:ilvl w:val="0"/>
          <w:numId w:val="5"/>
        </w:numPr>
        <w:spacing w:after="0" w:line="240" w:lineRule="auto"/>
        <w:ind w:left="426"/>
        <w:jc w:val="both"/>
        <w:rPr>
          <w:rFonts w:ascii="Arial" w:hAnsi="Arial" w:cs="Arial"/>
        </w:rPr>
      </w:pPr>
      <w:r w:rsidRPr="00443144">
        <w:rPr>
          <w:rFonts w:ascii="Arial" w:hAnsi="Arial" w:cs="Arial"/>
          <w:b/>
        </w:rPr>
        <w:t xml:space="preserve">Impuesto </w:t>
      </w:r>
      <w:r w:rsidR="00540E63">
        <w:rPr>
          <w:rFonts w:ascii="Arial" w:hAnsi="Arial" w:cs="Arial"/>
          <w:b/>
        </w:rPr>
        <w:t>G</w:t>
      </w:r>
      <w:r w:rsidRPr="00443144">
        <w:rPr>
          <w:rFonts w:ascii="Arial" w:hAnsi="Arial" w:cs="Arial"/>
          <w:b/>
        </w:rPr>
        <w:t xml:space="preserve">eneral a las </w:t>
      </w:r>
      <w:r w:rsidR="00113454">
        <w:rPr>
          <w:rFonts w:ascii="Arial" w:hAnsi="Arial" w:cs="Arial"/>
          <w:b/>
        </w:rPr>
        <w:t>V</w:t>
      </w:r>
      <w:r w:rsidRPr="00443144">
        <w:rPr>
          <w:rFonts w:ascii="Arial" w:hAnsi="Arial" w:cs="Arial"/>
          <w:b/>
        </w:rPr>
        <w:t xml:space="preserve">entas:  </w:t>
      </w:r>
      <w:r w:rsidRPr="00443144">
        <w:rPr>
          <w:rFonts w:ascii="Arial" w:hAnsi="Arial" w:cs="Arial"/>
        </w:rPr>
        <w:t xml:space="preserve">Su </w:t>
      </w:r>
      <w:r w:rsidR="005021C7" w:rsidRPr="00443144">
        <w:rPr>
          <w:rFonts w:ascii="Arial" w:hAnsi="Arial" w:cs="Arial"/>
        </w:rPr>
        <w:t xml:space="preserve">recaudación ascendió a </w:t>
      </w:r>
      <w:r w:rsidR="002E10AA" w:rsidRPr="00443144">
        <w:rPr>
          <w:rFonts w:ascii="Arial" w:hAnsi="Arial" w:cs="Arial"/>
        </w:rPr>
        <w:t>S/ 6 5</w:t>
      </w:r>
      <w:r w:rsidR="000624F2">
        <w:rPr>
          <w:rFonts w:ascii="Arial" w:hAnsi="Arial" w:cs="Arial"/>
        </w:rPr>
        <w:t>66</w:t>
      </w:r>
      <w:r w:rsidR="002E10AA" w:rsidRPr="00443144">
        <w:rPr>
          <w:rFonts w:ascii="Arial" w:hAnsi="Arial" w:cs="Arial"/>
        </w:rPr>
        <w:t xml:space="preserve"> millones, monto que representa un incremento de S/ 1 3</w:t>
      </w:r>
      <w:r w:rsidR="000624F2">
        <w:rPr>
          <w:rFonts w:ascii="Arial" w:hAnsi="Arial" w:cs="Arial"/>
        </w:rPr>
        <w:t>65</w:t>
      </w:r>
      <w:r w:rsidR="002E10AA" w:rsidRPr="00443144">
        <w:rPr>
          <w:rFonts w:ascii="Arial" w:hAnsi="Arial" w:cs="Arial"/>
        </w:rPr>
        <w:t xml:space="preserve"> millones con respecto a lo registrado en octubre de 2020 y de </w:t>
      </w:r>
      <w:r w:rsidR="002E10AA" w:rsidRPr="00FC736D">
        <w:rPr>
          <w:rFonts w:ascii="Arial" w:hAnsi="Arial" w:cs="Arial"/>
        </w:rPr>
        <w:t>19,</w:t>
      </w:r>
      <w:r w:rsidR="000624F2" w:rsidRPr="00FC736D">
        <w:rPr>
          <w:rFonts w:ascii="Arial" w:hAnsi="Arial" w:cs="Arial"/>
        </w:rPr>
        <w:t>3</w:t>
      </w:r>
      <w:r w:rsidR="002E10AA" w:rsidRPr="00FC736D">
        <w:rPr>
          <w:rFonts w:ascii="Arial" w:hAnsi="Arial" w:cs="Arial"/>
        </w:rPr>
        <w:t>%</w:t>
      </w:r>
      <w:r w:rsidR="00D13F0C" w:rsidRPr="00FC736D">
        <w:rPr>
          <w:rFonts w:ascii="Arial" w:hAnsi="Arial" w:cs="Arial"/>
        </w:rPr>
        <w:t xml:space="preserve"> en términos porcentuales</w:t>
      </w:r>
      <w:r w:rsidR="005021C7" w:rsidRPr="00FC736D">
        <w:rPr>
          <w:rFonts w:ascii="Arial" w:hAnsi="Arial" w:cs="Arial"/>
        </w:rPr>
        <w:t xml:space="preserve">. </w:t>
      </w:r>
    </w:p>
    <w:p w14:paraId="5D6EE56F" w14:textId="77777777" w:rsidR="002E10AA" w:rsidRPr="00FC736D" w:rsidRDefault="002E10AA" w:rsidP="0011247F">
      <w:pPr>
        <w:pStyle w:val="Prrafodelista"/>
        <w:spacing w:after="0" w:line="240" w:lineRule="auto"/>
        <w:ind w:left="426"/>
        <w:jc w:val="both"/>
        <w:rPr>
          <w:rFonts w:ascii="Arial" w:hAnsi="Arial" w:cs="Arial"/>
          <w:b/>
        </w:rPr>
      </w:pPr>
    </w:p>
    <w:p w14:paraId="79E4B7F4" w14:textId="66E19786" w:rsidR="005021C7" w:rsidRPr="00FC736D" w:rsidRDefault="002E10AA" w:rsidP="0011247F">
      <w:pPr>
        <w:pStyle w:val="Prrafodelista"/>
        <w:spacing w:after="0" w:line="240" w:lineRule="auto"/>
        <w:ind w:left="426"/>
        <w:jc w:val="both"/>
        <w:rPr>
          <w:rFonts w:ascii="Arial" w:hAnsi="Arial" w:cs="Arial"/>
        </w:rPr>
      </w:pPr>
      <w:r w:rsidRPr="00FC736D">
        <w:rPr>
          <w:rFonts w:ascii="Arial" w:hAnsi="Arial" w:cs="Arial"/>
        </w:rPr>
        <w:t xml:space="preserve">El IGV Interno se incrementó en </w:t>
      </w:r>
      <w:r w:rsidR="000624F2" w:rsidRPr="00FC736D">
        <w:rPr>
          <w:rFonts w:ascii="Arial" w:hAnsi="Arial" w:cs="Arial"/>
        </w:rPr>
        <w:t>5,5</w:t>
      </w:r>
      <w:r w:rsidRPr="00FC736D">
        <w:rPr>
          <w:rFonts w:ascii="Arial" w:hAnsi="Arial" w:cs="Arial"/>
        </w:rPr>
        <w:t>% y recaudó S/ 3 5</w:t>
      </w:r>
      <w:r w:rsidR="000624F2" w:rsidRPr="00FC736D">
        <w:rPr>
          <w:rFonts w:ascii="Arial" w:hAnsi="Arial" w:cs="Arial"/>
        </w:rPr>
        <w:t>26</w:t>
      </w:r>
      <w:r w:rsidRPr="00FC736D">
        <w:rPr>
          <w:rFonts w:ascii="Arial" w:hAnsi="Arial" w:cs="Arial"/>
        </w:rPr>
        <w:t xml:space="preserve"> millones, importe que superó en S/ 3</w:t>
      </w:r>
      <w:r w:rsidR="000624F2" w:rsidRPr="00FC736D">
        <w:rPr>
          <w:rFonts w:ascii="Arial" w:hAnsi="Arial" w:cs="Arial"/>
        </w:rPr>
        <w:t>68</w:t>
      </w:r>
      <w:r w:rsidRPr="00FC736D">
        <w:rPr>
          <w:rFonts w:ascii="Arial" w:hAnsi="Arial" w:cs="Arial"/>
        </w:rPr>
        <w:t xml:space="preserve"> millones a lo recaudado en octubre de 2020. Por su parte el </w:t>
      </w:r>
      <w:r w:rsidR="005021C7" w:rsidRPr="00FC736D">
        <w:rPr>
          <w:rFonts w:ascii="Arial" w:hAnsi="Arial" w:cs="Arial"/>
        </w:rPr>
        <w:t xml:space="preserve">IGV </w:t>
      </w:r>
      <w:r w:rsidR="002F48B0" w:rsidRPr="00FC736D">
        <w:rPr>
          <w:rFonts w:ascii="Arial" w:hAnsi="Arial" w:cs="Arial"/>
        </w:rPr>
        <w:t>de</w:t>
      </w:r>
      <w:r w:rsidR="005021C7" w:rsidRPr="00FC736D">
        <w:rPr>
          <w:rFonts w:ascii="Arial" w:hAnsi="Arial" w:cs="Arial"/>
        </w:rPr>
        <w:t xml:space="preserve"> las </w:t>
      </w:r>
      <w:r w:rsidR="002F48B0" w:rsidRPr="00FC736D">
        <w:rPr>
          <w:rFonts w:ascii="Arial" w:hAnsi="Arial" w:cs="Arial"/>
        </w:rPr>
        <w:t>i</w:t>
      </w:r>
      <w:r w:rsidR="005021C7" w:rsidRPr="00FC736D">
        <w:rPr>
          <w:rFonts w:ascii="Arial" w:hAnsi="Arial" w:cs="Arial"/>
        </w:rPr>
        <w:t xml:space="preserve">mportaciones </w:t>
      </w:r>
      <w:r w:rsidRPr="00FC736D">
        <w:rPr>
          <w:rFonts w:ascii="Arial" w:hAnsi="Arial" w:cs="Arial"/>
        </w:rPr>
        <w:t>ascendió a S/ 3 0</w:t>
      </w:r>
      <w:r w:rsidR="000624F2" w:rsidRPr="00FC736D">
        <w:rPr>
          <w:rFonts w:ascii="Arial" w:hAnsi="Arial" w:cs="Arial"/>
        </w:rPr>
        <w:t>40</w:t>
      </w:r>
      <w:r w:rsidRPr="00FC736D">
        <w:rPr>
          <w:rFonts w:ascii="Arial" w:hAnsi="Arial" w:cs="Arial"/>
        </w:rPr>
        <w:t xml:space="preserve"> millones</w:t>
      </w:r>
      <w:r w:rsidR="0065649D" w:rsidRPr="00FC736D">
        <w:rPr>
          <w:rFonts w:ascii="Arial" w:hAnsi="Arial" w:cs="Arial"/>
        </w:rPr>
        <w:t xml:space="preserve"> y registró un crecimiento de</w:t>
      </w:r>
      <w:r w:rsidRPr="00FC736D">
        <w:rPr>
          <w:rFonts w:ascii="Arial" w:hAnsi="Arial" w:cs="Arial"/>
        </w:rPr>
        <w:t xml:space="preserve"> 40,</w:t>
      </w:r>
      <w:r w:rsidR="000624F2" w:rsidRPr="00FC736D">
        <w:rPr>
          <w:rFonts w:ascii="Arial" w:hAnsi="Arial" w:cs="Arial"/>
        </w:rPr>
        <w:t>6</w:t>
      </w:r>
      <w:r w:rsidRPr="00FC736D">
        <w:rPr>
          <w:rFonts w:ascii="Arial" w:hAnsi="Arial" w:cs="Arial"/>
        </w:rPr>
        <w:t>%</w:t>
      </w:r>
      <w:r w:rsidR="005021C7" w:rsidRPr="00FC736D">
        <w:rPr>
          <w:rFonts w:ascii="Arial" w:hAnsi="Arial" w:cs="Arial"/>
        </w:rPr>
        <w:t>.</w:t>
      </w:r>
    </w:p>
    <w:p w14:paraId="56721608" w14:textId="77777777" w:rsidR="002F48B0" w:rsidRPr="00FC736D" w:rsidRDefault="002F48B0" w:rsidP="0011247F">
      <w:pPr>
        <w:pStyle w:val="Prrafodelista"/>
        <w:spacing w:after="0" w:line="240" w:lineRule="auto"/>
        <w:ind w:left="426"/>
        <w:jc w:val="both"/>
        <w:rPr>
          <w:rFonts w:ascii="Arial" w:hAnsi="Arial" w:cs="Arial"/>
        </w:rPr>
      </w:pPr>
    </w:p>
    <w:p w14:paraId="0BB17279" w14:textId="4A8CC74B" w:rsidR="002F48B0" w:rsidRPr="00443144" w:rsidRDefault="002F48B0" w:rsidP="0011247F">
      <w:pPr>
        <w:pStyle w:val="Prrafodelista"/>
        <w:numPr>
          <w:ilvl w:val="0"/>
          <w:numId w:val="5"/>
        </w:numPr>
        <w:spacing w:after="0" w:line="240" w:lineRule="auto"/>
        <w:ind w:left="426"/>
        <w:jc w:val="both"/>
        <w:rPr>
          <w:rFonts w:ascii="Arial" w:hAnsi="Arial" w:cs="Arial"/>
        </w:rPr>
      </w:pPr>
      <w:r w:rsidRPr="00FC736D">
        <w:rPr>
          <w:rFonts w:ascii="Arial" w:hAnsi="Arial" w:cs="Arial"/>
          <w:b/>
        </w:rPr>
        <w:t xml:space="preserve">Impuesto Selectivo al Consumo: </w:t>
      </w:r>
      <w:r w:rsidRPr="00FC736D">
        <w:rPr>
          <w:rFonts w:ascii="Arial" w:hAnsi="Arial" w:cs="Arial"/>
        </w:rPr>
        <w:t xml:space="preserve">Registró un crecimiento del </w:t>
      </w:r>
      <w:r w:rsidR="008D1F40" w:rsidRPr="00FC736D">
        <w:rPr>
          <w:rFonts w:ascii="Arial" w:hAnsi="Arial" w:cs="Arial"/>
        </w:rPr>
        <w:t>2</w:t>
      </w:r>
      <w:r w:rsidR="000624F2" w:rsidRPr="00FC736D">
        <w:rPr>
          <w:rFonts w:ascii="Arial" w:hAnsi="Arial" w:cs="Arial"/>
        </w:rPr>
        <w:t>8,8</w:t>
      </w:r>
      <w:r w:rsidRPr="00FC736D">
        <w:rPr>
          <w:rFonts w:ascii="Arial" w:hAnsi="Arial" w:cs="Arial"/>
        </w:rPr>
        <w:t>%,</w:t>
      </w:r>
      <w:r w:rsidRPr="00443144">
        <w:rPr>
          <w:rFonts w:ascii="Arial" w:hAnsi="Arial" w:cs="Arial"/>
        </w:rPr>
        <w:t xml:space="preserve"> con S/ </w:t>
      </w:r>
      <w:r w:rsidR="008D1F40" w:rsidRPr="00443144">
        <w:rPr>
          <w:rFonts w:ascii="Arial" w:hAnsi="Arial" w:cs="Arial"/>
        </w:rPr>
        <w:t>80</w:t>
      </w:r>
      <w:r w:rsidR="000624F2">
        <w:rPr>
          <w:rFonts w:ascii="Arial" w:hAnsi="Arial" w:cs="Arial"/>
        </w:rPr>
        <w:t>2</w:t>
      </w:r>
      <w:r w:rsidRPr="00443144">
        <w:rPr>
          <w:rFonts w:ascii="Arial" w:hAnsi="Arial" w:cs="Arial"/>
        </w:rPr>
        <w:t xml:space="preserve"> millones de recaudación. E</w:t>
      </w:r>
      <w:r w:rsidR="005021C7" w:rsidRPr="00443144">
        <w:rPr>
          <w:rFonts w:ascii="Arial" w:hAnsi="Arial" w:cs="Arial"/>
        </w:rPr>
        <w:t>ste resultado se explicó tanto por el mayor ISC Interno</w:t>
      </w:r>
      <w:r w:rsidR="0065649D" w:rsidRPr="00443144">
        <w:rPr>
          <w:rFonts w:ascii="Arial" w:hAnsi="Arial" w:cs="Arial"/>
        </w:rPr>
        <w:t xml:space="preserve"> que creció </w:t>
      </w:r>
      <w:r w:rsidR="008D1F40" w:rsidRPr="00443144">
        <w:rPr>
          <w:rFonts w:ascii="Arial" w:hAnsi="Arial" w:cs="Arial"/>
        </w:rPr>
        <w:t>34,</w:t>
      </w:r>
      <w:r w:rsidR="000624F2">
        <w:rPr>
          <w:rFonts w:ascii="Arial" w:hAnsi="Arial" w:cs="Arial"/>
        </w:rPr>
        <w:t>0</w:t>
      </w:r>
      <w:r w:rsidR="005021C7" w:rsidRPr="00443144">
        <w:rPr>
          <w:rFonts w:ascii="Arial" w:hAnsi="Arial" w:cs="Arial"/>
        </w:rPr>
        <w:t xml:space="preserve">% como el ISC pagado en las Importaciones </w:t>
      </w:r>
      <w:r w:rsidR="0065649D" w:rsidRPr="00443144">
        <w:rPr>
          <w:rFonts w:ascii="Arial" w:hAnsi="Arial" w:cs="Arial"/>
        </w:rPr>
        <w:t>que creció 2</w:t>
      </w:r>
      <w:r w:rsidR="000624F2">
        <w:rPr>
          <w:rFonts w:ascii="Arial" w:hAnsi="Arial" w:cs="Arial"/>
        </w:rPr>
        <w:t>2,3</w:t>
      </w:r>
      <w:r w:rsidR="005021C7" w:rsidRPr="00443144">
        <w:rPr>
          <w:rFonts w:ascii="Arial" w:hAnsi="Arial" w:cs="Arial"/>
        </w:rPr>
        <w:t>%</w:t>
      </w:r>
      <w:r w:rsidR="0065649D" w:rsidRPr="00443144">
        <w:rPr>
          <w:rFonts w:ascii="Arial" w:hAnsi="Arial" w:cs="Arial"/>
        </w:rPr>
        <w:t xml:space="preserve">. </w:t>
      </w:r>
    </w:p>
    <w:p w14:paraId="5A10AEFD" w14:textId="77777777" w:rsidR="0065649D" w:rsidRPr="00443144" w:rsidRDefault="0065649D" w:rsidP="0011247F">
      <w:pPr>
        <w:pStyle w:val="Prrafodelista"/>
        <w:spacing w:after="0" w:line="240" w:lineRule="auto"/>
        <w:ind w:left="426"/>
        <w:jc w:val="both"/>
        <w:rPr>
          <w:rFonts w:ascii="Arial" w:hAnsi="Arial" w:cs="Arial"/>
        </w:rPr>
      </w:pPr>
    </w:p>
    <w:p w14:paraId="45F85C2B" w14:textId="4A3A5BB8" w:rsidR="008B7786" w:rsidRPr="00443144" w:rsidRDefault="002F48B0" w:rsidP="0011247F">
      <w:pPr>
        <w:pStyle w:val="Prrafodelista"/>
        <w:numPr>
          <w:ilvl w:val="0"/>
          <w:numId w:val="5"/>
        </w:numPr>
        <w:spacing w:after="0" w:line="240" w:lineRule="auto"/>
        <w:ind w:left="426"/>
        <w:jc w:val="both"/>
        <w:rPr>
          <w:rFonts w:ascii="Arial" w:hAnsi="Arial" w:cs="Arial"/>
        </w:rPr>
      </w:pPr>
      <w:r w:rsidRPr="00443144">
        <w:rPr>
          <w:rFonts w:ascii="Arial" w:hAnsi="Arial" w:cs="Arial"/>
          <w:b/>
        </w:rPr>
        <w:t xml:space="preserve">Otros ingresos: </w:t>
      </w:r>
      <w:r w:rsidRPr="00443144">
        <w:rPr>
          <w:rFonts w:ascii="Arial" w:hAnsi="Arial" w:cs="Arial"/>
        </w:rPr>
        <w:t xml:space="preserve">La </w:t>
      </w:r>
      <w:r w:rsidR="008D1F40" w:rsidRPr="00443144">
        <w:rPr>
          <w:rFonts w:ascii="Arial" w:hAnsi="Arial" w:cs="Arial"/>
        </w:rPr>
        <w:t xml:space="preserve">recaudación ascendió a S/ 1 </w:t>
      </w:r>
      <w:r w:rsidR="000624F2">
        <w:rPr>
          <w:rFonts w:ascii="Arial" w:hAnsi="Arial" w:cs="Arial"/>
        </w:rPr>
        <w:t>110</w:t>
      </w:r>
      <w:r w:rsidR="008D1F40" w:rsidRPr="00443144">
        <w:rPr>
          <w:rFonts w:ascii="Arial" w:hAnsi="Arial" w:cs="Arial"/>
        </w:rPr>
        <w:t xml:space="preserve"> millones, monto que representa un crecimiento de 3</w:t>
      </w:r>
      <w:r w:rsidR="00A877C5">
        <w:rPr>
          <w:rFonts w:ascii="Arial" w:hAnsi="Arial" w:cs="Arial"/>
        </w:rPr>
        <w:t>1</w:t>
      </w:r>
      <w:r w:rsidR="008D1F40" w:rsidRPr="00443144">
        <w:rPr>
          <w:rFonts w:ascii="Arial" w:hAnsi="Arial" w:cs="Arial"/>
        </w:rPr>
        <w:t xml:space="preserve">,7%. Este resultado se explicó </w:t>
      </w:r>
      <w:r w:rsidR="0065649D" w:rsidRPr="00443144">
        <w:rPr>
          <w:rFonts w:ascii="Arial" w:hAnsi="Arial" w:cs="Arial"/>
        </w:rPr>
        <w:t xml:space="preserve">principalmente </w:t>
      </w:r>
      <w:r w:rsidR="008D1F40" w:rsidRPr="00443144">
        <w:rPr>
          <w:rFonts w:ascii="Arial" w:hAnsi="Arial" w:cs="Arial"/>
        </w:rPr>
        <w:t>por los mayores pagos de multas (3</w:t>
      </w:r>
      <w:r w:rsidR="00A877C5">
        <w:rPr>
          <w:rFonts w:ascii="Arial" w:hAnsi="Arial" w:cs="Arial"/>
        </w:rPr>
        <w:t>54,7</w:t>
      </w:r>
      <w:r w:rsidR="008D1F40" w:rsidRPr="00443144">
        <w:rPr>
          <w:rFonts w:ascii="Arial" w:hAnsi="Arial" w:cs="Arial"/>
        </w:rPr>
        <w:t>%)</w:t>
      </w:r>
      <w:r w:rsidR="0065649D" w:rsidRPr="00443144">
        <w:rPr>
          <w:rFonts w:ascii="Arial" w:hAnsi="Arial" w:cs="Arial"/>
        </w:rPr>
        <w:t>,</w:t>
      </w:r>
      <w:r w:rsidR="008D1F40" w:rsidRPr="00443144">
        <w:rPr>
          <w:rFonts w:ascii="Arial" w:hAnsi="Arial" w:cs="Arial"/>
        </w:rPr>
        <w:t xml:space="preserve"> Fraccionamientos (4</w:t>
      </w:r>
      <w:r w:rsidR="00A877C5">
        <w:rPr>
          <w:rFonts w:ascii="Arial" w:hAnsi="Arial" w:cs="Arial"/>
        </w:rPr>
        <w:t>3,6</w:t>
      </w:r>
      <w:r w:rsidR="008D1F40" w:rsidRPr="00443144">
        <w:rPr>
          <w:rFonts w:ascii="Arial" w:hAnsi="Arial" w:cs="Arial"/>
        </w:rPr>
        <w:t>%)</w:t>
      </w:r>
      <w:r w:rsidR="0065649D" w:rsidRPr="00443144">
        <w:rPr>
          <w:rFonts w:ascii="Arial" w:hAnsi="Arial" w:cs="Arial"/>
        </w:rPr>
        <w:t xml:space="preserve"> e Impuesto Temporal a los Activos Netos</w:t>
      </w:r>
      <w:r w:rsidR="0011247F">
        <w:rPr>
          <w:rFonts w:ascii="Arial" w:hAnsi="Arial" w:cs="Arial"/>
        </w:rPr>
        <w:t xml:space="preserve"> </w:t>
      </w:r>
      <w:r w:rsidR="0065649D" w:rsidRPr="00443144">
        <w:rPr>
          <w:rFonts w:ascii="Arial" w:hAnsi="Arial" w:cs="Arial"/>
        </w:rPr>
        <w:t>-</w:t>
      </w:r>
      <w:r w:rsidR="0011247F">
        <w:rPr>
          <w:rFonts w:ascii="Arial" w:hAnsi="Arial" w:cs="Arial"/>
        </w:rPr>
        <w:t xml:space="preserve"> </w:t>
      </w:r>
      <w:r w:rsidR="0065649D" w:rsidRPr="00443144">
        <w:rPr>
          <w:rFonts w:ascii="Arial" w:hAnsi="Arial" w:cs="Arial"/>
        </w:rPr>
        <w:t>ITAN (</w:t>
      </w:r>
      <w:r w:rsidR="00A877C5">
        <w:rPr>
          <w:rFonts w:ascii="Arial" w:hAnsi="Arial" w:cs="Arial"/>
        </w:rPr>
        <w:t>3,7</w:t>
      </w:r>
      <w:r w:rsidR="0065649D" w:rsidRPr="00443144">
        <w:rPr>
          <w:rFonts w:ascii="Arial" w:hAnsi="Arial" w:cs="Arial"/>
        </w:rPr>
        <w:t>%)</w:t>
      </w:r>
      <w:r w:rsidR="008D1F40" w:rsidRPr="00443144">
        <w:rPr>
          <w:rFonts w:ascii="Arial" w:hAnsi="Arial" w:cs="Arial"/>
        </w:rPr>
        <w:t xml:space="preserve">. </w:t>
      </w:r>
    </w:p>
    <w:p w14:paraId="149F9BD5" w14:textId="77777777" w:rsidR="0065649D" w:rsidRPr="00443144" w:rsidRDefault="0065649D" w:rsidP="0011247F">
      <w:pPr>
        <w:pStyle w:val="Prrafodelista"/>
        <w:ind w:left="426"/>
        <w:rPr>
          <w:rFonts w:ascii="Arial" w:hAnsi="Arial" w:cs="Arial"/>
        </w:rPr>
      </w:pPr>
    </w:p>
    <w:p w14:paraId="63F4C266" w14:textId="6680671B" w:rsidR="009D0FE3" w:rsidRPr="00FC736D" w:rsidRDefault="008B7786" w:rsidP="0011247F">
      <w:pPr>
        <w:pStyle w:val="Prrafodelista"/>
        <w:numPr>
          <w:ilvl w:val="0"/>
          <w:numId w:val="5"/>
        </w:numPr>
        <w:spacing w:after="0" w:line="240" w:lineRule="auto"/>
        <w:ind w:left="426"/>
        <w:jc w:val="both"/>
        <w:rPr>
          <w:rFonts w:ascii="Arial" w:hAnsi="Arial" w:cs="Arial"/>
        </w:rPr>
      </w:pPr>
      <w:r w:rsidRPr="00443144">
        <w:rPr>
          <w:rFonts w:ascii="Arial" w:hAnsi="Arial" w:cs="Arial"/>
          <w:b/>
        </w:rPr>
        <w:t>Devoluciones:</w:t>
      </w:r>
      <w:r w:rsidRPr="00443144">
        <w:rPr>
          <w:rFonts w:ascii="Arial" w:hAnsi="Arial" w:cs="Arial"/>
        </w:rPr>
        <w:t xml:space="preserve"> En </w:t>
      </w:r>
      <w:r w:rsidR="008D1F40" w:rsidRPr="00443144">
        <w:rPr>
          <w:rFonts w:ascii="Arial" w:hAnsi="Arial" w:cs="Arial"/>
        </w:rPr>
        <w:t>octubre</w:t>
      </w:r>
      <w:r w:rsidRPr="00443144">
        <w:rPr>
          <w:rFonts w:ascii="Arial" w:hAnsi="Arial" w:cs="Arial"/>
        </w:rPr>
        <w:t xml:space="preserve"> </w:t>
      </w:r>
      <w:r w:rsidR="008D1F40" w:rsidRPr="00443144">
        <w:rPr>
          <w:rFonts w:ascii="Arial" w:hAnsi="Arial" w:cs="Arial"/>
        </w:rPr>
        <w:t xml:space="preserve">las devoluciones de impuestos </w:t>
      </w:r>
      <w:r w:rsidR="0065649D" w:rsidRPr="00443144">
        <w:rPr>
          <w:rFonts w:ascii="Arial" w:hAnsi="Arial" w:cs="Arial"/>
        </w:rPr>
        <w:t>realizadas as</w:t>
      </w:r>
      <w:r w:rsidR="008D1F40" w:rsidRPr="00443144">
        <w:rPr>
          <w:rFonts w:ascii="Arial" w:hAnsi="Arial" w:cs="Arial"/>
        </w:rPr>
        <w:t>cendieron a S/ 1 7</w:t>
      </w:r>
      <w:r w:rsidR="00A877C5">
        <w:rPr>
          <w:rFonts w:ascii="Arial" w:hAnsi="Arial" w:cs="Arial"/>
        </w:rPr>
        <w:t>21</w:t>
      </w:r>
      <w:r w:rsidR="008D1F40" w:rsidRPr="00443144">
        <w:rPr>
          <w:rFonts w:ascii="Arial" w:hAnsi="Arial" w:cs="Arial"/>
        </w:rPr>
        <w:t xml:space="preserve"> millones, monto que representó un incremento de </w:t>
      </w:r>
      <w:r w:rsidR="00A877C5" w:rsidRPr="00FC736D">
        <w:rPr>
          <w:rFonts w:ascii="Arial" w:hAnsi="Arial" w:cs="Arial"/>
        </w:rPr>
        <w:t>0,7</w:t>
      </w:r>
      <w:r w:rsidR="008D1F40" w:rsidRPr="00FC736D">
        <w:rPr>
          <w:rFonts w:ascii="Arial" w:hAnsi="Arial" w:cs="Arial"/>
        </w:rPr>
        <w:t xml:space="preserve">% con respecto de octubre 2020. </w:t>
      </w:r>
      <w:r w:rsidR="0065649D" w:rsidRPr="00FC736D">
        <w:rPr>
          <w:rFonts w:ascii="Arial" w:hAnsi="Arial" w:cs="Arial"/>
        </w:rPr>
        <w:t xml:space="preserve">En el resultado </w:t>
      </w:r>
      <w:r w:rsidR="008D1F40" w:rsidRPr="00FC736D">
        <w:rPr>
          <w:rFonts w:ascii="Arial" w:hAnsi="Arial" w:cs="Arial"/>
        </w:rPr>
        <w:t xml:space="preserve">destacaron las mayores devoluciones por concepto de exportadores reflejando </w:t>
      </w:r>
      <w:r w:rsidR="0065649D" w:rsidRPr="00FC736D">
        <w:rPr>
          <w:rFonts w:ascii="Arial" w:hAnsi="Arial" w:cs="Arial"/>
        </w:rPr>
        <w:t xml:space="preserve">el mejor desempeño de </w:t>
      </w:r>
      <w:r w:rsidR="008D1F40" w:rsidRPr="00FC736D">
        <w:rPr>
          <w:rFonts w:ascii="Arial" w:hAnsi="Arial" w:cs="Arial"/>
        </w:rPr>
        <w:t>la actividad económica</w:t>
      </w:r>
    </w:p>
    <w:p w14:paraId="3FD2A8A8" w14:textId="0D4A8187" w:rsidR="00097B44" w:rsidRPr="00443144" w:rsidRDefault="00097B44" w:rsidP="00097B44">
      <w:pPr>
        <w:pStyle w:val="Prrafodelista"/>
        <w:rPr>
          <w:rFonts w:ascii="Arial" w:hAnsi="Arial" w:cs="Arial"/>
        </w:rPr>
      </w:pPr>
    </w:p>
    <w:p w14:paraId="0F9D1A90" w14:textId="0434B8C6" w:rsidR="009D0FE3" w:rsidRDefault="008B7786" w:rsidP="00097B44">
      <w:pPr>
        <w:spacing w:after="0" w:line="240" w:lineRule="auto"/>
        <w:rPr>
          <w:rFonts w:ascii="Arial" w:hAnsi="Arial" w:cs="Arial"/>
          <w:b/>
        </w:rPr>
      </w:pPr>
      <w:r w:rsidRPr="00443144">
        <w:rPr>
          <w:rFonts w:ascii="Arial" w:hAnsi="Arial" w:cs="Arial"/>
          <w:b/>
        </w:rPr>
        <w:t>Gerencia de Comunicaciones e Imagen Institucional</w:t>
      </w:r>
    </w:p>
    <w:p w14:paraId="75A030E8" w14:textId="66428CE4" w:rsidR="00427A0D" w:rsidRPr="00443144" w:rsidRDefault="00540E63" w:rsidP="00AB0E36">
      <w:pPr>
        <w:spacing w:after="0" w:line="240" w:lineRule="auto"/>
        <w:rPr>
          <w:rFonts w:ascii="Arial" w:hAnsi="Arial" w:cs="Arial"/>
          <w:b/>
        </w:rPr>
      </w:pPr>
      <w:r w:rsidRPr="00540E63">
        <w:rPr>
          <w:rFonts w:ascii="Arial" w:hAnsi="Arial" w:cs="Arial"/>
          <w:bCs/>
        </w:rPr>
        <w:t>Lima, miércoles 3 de noviembre de 2021.</w:t>
      </w:r>
    </w:p>
    <w:p w14:paraId="052110CA" w14:textId="608DBC58" w:rsidR="00973B2A" w:rsidRPr="00443144" w:rsidRDefault="00973B2A" w:rsidP="00097B44">
      <w:pPr>
        <w:spacing w:after="0" w:line="240" w:lineRule="auto"/>
        <w:jc w:val="center"/>
        <w:rPr>
          <w:rFonts w:ascii="Arial" w:hAnsi="Arial" w:cs="Arial"/>
          <w:b/>
        </w:rPr>
      </w:pPr>
    </w:p>
    <w:p w14:paraId="387F6731" w14:textId="0AA699DF" w:rsidR="00973B2A" w:rsidRPr="00443144" w:rsidRDefault="00973B2A" w:rsidP="00097B44">
      <w:pPr>
        <w:spacing w:after="0" w:line="240" w:lineRule="auto"/>
        <w:jc w:val="center"/>
        <w:rPr>
          <w:rFonts w:ascii="Arial" w:hAnsi="Arial" w:cs="Arial"/>
          <w:b/>
        </w:rPr>
      </w:pPr>
    </w:p>
    <w:p w14:paraId="3469B609" w14:textId="152BCF95" w:rsidR="0011247F" w:rsidRDefault="0011247F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326963E9" w14:textId="0B7204AC" w:rsidR="009D0FE3" w:rsidRPr="00443144" w:rsidRDefault="009D0FE3" w:rsidP="00097B44">
      <w:pPr>
        <w:spacing w:after="0" w:line="240" w:lineRule="auto"/>
        <w:jc w:val="center"/>
        <w:rPr>
          <w:rFonts w:ascii="Arial" w:hAnsi="Arial" w:cs="Arial"/>
          <w:b/>
        </w:rPr>
      </w:pPr>
      <w:r w:rsidRPr="00443144">
        <w:rPr>
          <w:rFonts w:ascii="Arial" w:hAnsi="Arial" w:cs="Arial"/>
          <w:b/>
        </w:rPr>
        <w:lastRenderedPageBreak/>
        <w:t>ANEXOS</w:t>
      </w:r>
    </w:p>
    <w:p w14:paraId="739ECCC7" w14:textId="3D89AFE1" w:rsidR="00973B2A" w:rsidRPr="00443144" w:rsidRDefault="00973B2A" w:rsidP="00097B44">
      <w:pPr>
        <w:spacing w:after="0" w:line="240" w:lineRule="auto"/>
        <w:jc w:val="center"/>
        <w:rPr>
          <w:rFonts w:ascii="Arial" w:hAnsi="Arial" w:cs="Arial"/>
          <w:b/>
        </w:rPr>
      </w:pPr>
      <w:r w:rsidRPr="00443144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7456" behindDoc="0" locked="0" layoutInCell="1" allowOverlap="1" wp14:anchorId="0631A4BA" wp14:editId="14AD4F93">
            <wp:simplePos x="0" y="0"/>
            <wp:positionH relativeFrom="margin">
              <wp:posOffset>299720</wp:posOffset>
            </wp:positionH>
            <wp:positionV relativeFrom="paragraph">
              <wp:posOffset>139964</wp:posOffset>
            </wp:positionV>
            <wp:extent cx="4813300" cy="1871345"/>
            <wp:effectExtent l="0" t="0" r="6350" b="0"/>
            <wp:wrapNone/>
            <wp:docPr id="11" name="Gráfico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76E0ED" w14:textId="39744BB8" w:rsidR="00973B2A" w:rsidRPr="00443144" w:rsidRDefault="00973B2A" w:rsidP="00097B44">
      <w:pPr>
        <w:spacing w:after="0" w:line="240" w:lineRule="auto"/>
        <w:jc w:val="center"/>
        <w:rPr>
          <w:rFonts w:ascii="Arial" w:hAnsi="Arial" w:cs="Arial"/>
          <w:b/>
        </w:rPr>
      </w:pPr>
    </w:p>
    <w:p w14:paraId="102A9D97" w14:textId="0BE1C78E" w:rsidR="008B7786" w:rsidRPr="00443144" w:rsidRDefault="008B7786" w:rsidP="00097B44">
      <w:pPr>
        <w:spacing w:after="0" w:line="240" w:lineRule="auto"/>
        <w:jc w:val="center"/>
        <w:rPr>
          <w:rFonts w:ascii="Arial" w:hAnsi="Arial" w:cs="Arial"/>
          <w:b/>
        </w:rPr>
      </w:pPr>
    </w:p>
    <w:p w14:paraId="4DEC6952" w14:textId="1BAB0A5D" w:rsidR="008B7786" w:rsidRPr="00443144" w:rsidRDefault="008B7786" w:rsidP="00097B44">
      <w:pPr>
        <w:spacing w:after="0" w:line="240" w:lineRule="auto"/>
        <w:jc w:val="center"/>
        <w:rPr>
          <w:rFonts w:ascii="Arial" w:hAnsi="Arial" w:cs="Arial"/>
          <w:b/>
        </w:rPr>
      </w:pPr>
    </w:p>
    <w:p w14:paraId="019142DD" w14:textId="77777777" w:rsidR="008B7786" w:rsidRPr="00443144" w:rsidRDefault="008B7786" w:rsidP="00097B44">
      <w:pPr>
        <w:spacing w:after="0" w:line="240" w:lineRule="auto"/>
        <w:jc w:val="center"/>
        <w:rPr>
          <w:rFonts w:ascii="Arial" w:hAnsi="Arial" w:cs="Arial"/>
          <w:b/>
        </w:rPr>
      </w:pPr>
    </w:p>
    <w:p w14:paraId="3CBEC41E" w14:textId="77777777" w:rsidR="008B7786" w:rsidRPr="00443144" w:rsidRDefault="008B7786" w:rsidP="00097B44">
      <w:pPr>
        <w:spacing w:after="0" w:line="240" w:lineRule="auto"/>
        <w:jc w:val="center"/>
        <w:rPr>
          <w:rFonts w:ascii="Arial" w:hAnsi="Arial" w:cs="Arial"/>
          <w:b/>
        </w:rPr>
      </w:pPr>
    </w:p>
    <w:p w14:paraId="7D7696B3" w14:textId="77777777" w:rsidR="008B7786" w:rsidRPr="00443144" w:rsidRDefault="008B7786" w:rsidP="00097B44">
      <w:pPr>
        <w:spacing w:after="0" w:line="240" w:lineRule="auto"/>
        <w:jc w:val="center"/>
        <w:rPr>
          <w:rFonts w:ascii="Arial" w:hAnsi="Arial" w:cs="Arial"/>
          <w:b/>
        </w:rPr>
      </w:pPr>
    </w:p>
    <w:p w14:paraId="49805A98" w14:textId="77777777" w:rsidR="008B7786" w:rsidRPr="00443144" w:rsidRDefault="008B7786" w:rsidP="00097B44">
      <w:pPr>
        <w:spacing w:after="0" w:line="240" w:lineRule="auto"/>
        <w:jc w:val="center"/>
        <w:rPr>
          <w:rFonts w:ascii="Arial" w:hAnsi="Arial" w:cs="Arial"/>
          <w:b/>
        </w:rPr>
      </w:pPr>
    </w:p>
    <w:p w14:paraId="5C2065F0" w14:textId="06D8AD89" w:rsidR="008B7786" w:rsidRPr="00443144" w:rsidRDefault="008B7786" w:rsidP="00097B44">
      <w:pPr>
        <w:spacing w:after="0" w:line="240" w:lineRule="auto"/>
        <w:jc w:val="center"/>
        <w:rPr>
          <w:rFonts w:ascii="Arial" w:hAnsi="Arial" w:cs="Arial"/>
          <w:b/>
        </w:rPr>
      </w:pPr>
    </w:p>
    <w:p w14:paraId="61F39787" w14:textId="6FB15BDD" w:rsidR="008B7786" w:rsidRPr="00443144" w:rsidRDefault="008B7786" w:rsidP="00097B44">
      <w:pPr>
        <w:spacing w:after="0" w:line="240" w:lineRule="auto"/>
        <w:jc w:val="center"/>
        <w:rPr>
          <w:rFonts w:ascii="Arial" w:hAnsi="Arial" w:cs="Arial"/>
          <w:noProof/>
        </w:rPr>
      </w:pPr>
    </w:p>
    <w:p w14:paraId="59091319" w14:textId="77777777" w:rsidR="008B7786" w:rsidRPr="00443144" w:rsidRDefault="008B7786" w:rsidP="00097B44">
      <w:pPr>
        <w:spacing w:after="0" w:line="240" w:lineRule="auto"/>
        <w:jc w:val="center"/>
        <w:rPr>
          <w:rFonts w:ascii="Arial" w:hAnsi="Arial" w:cs="Arial"/>
          <w:noProof/>
        </w:rPr>
      </w:pPr>
    </w:p>
    <w:p w14:paraId="4C2E85FD" w14:textId="7802CF50" w:rsidR="008B7786" w:rsidRPr="00443144" w:rsidRDefault="008B7786" w:rsidP="00097B44">
      <w:pPr>
        <w:spacing w:after="0" w:line="240" w:lineRule="auto"/>
        <w:jc w:val="center"/>
        <w:rPr>
          <w:rFonts w:ascii="Arial" w:hAnsi="Arial" w:cs="Arial"/>
          <w:noProof/>
        </w:rPr>
      </w:pPr>
    </w:p>
    <w:p w14:paraId="2FD727EF" w14:textId="1ED82C4C" w:rsidR="008B7786" w:rsidRPr="00443144" w:rsidRDefault="00973B2A" w:rsidP="00097B44">
      <w:pPr>
        <w:spacing w:after="0" w:line="240" w:lineRule="auto"/>
        <w:jc w:val="center"/>
        <w:rPr>
          <w:rFonts w:ascii="Arial" w:hAnsi="Arial" w:cs="Arial"/>
          <w:noProof/>
        </w:rPr>
      </w:pPr>
      <w:r w:rsidRPr="00443144">
        <w:rPr>
          <w:rFonts w:ascii="Arial" w:hAnsi="Arial" w:cs="Arial"/>
          <w:bCs/>
          <w:noProof/>
          <w:sz w:val="20"/>
          <w:szCs w:val="20"/>
        </w:rPr>
        <w:drawing>
          <wp:anchor distT="0" distB="0" distL="114300" distR="114300" simplePos="0" relativeHeight="251669504" behindDoc="0" locked="0" layoutInCell="1" allowOverlap="1" wp14:anchorId="3EBFDE95" wp14:editId="2E5893EC">
            <wp:simplePos x="0" y="0"/>
            <wp:positionH relativeFrom="margin">
              <wp:posOffset>205201</wp:posOffset>
            </wp:positionH>
            <wp:positionV relativeFrom="paragraph">
              <wp:posOffset>66568</wp:posOffset>
            </wp:positionV>
            <wp:extent cx="4959350" cy="1871932"/>
            <wp:effectExtent l="0" t="0" r="0" b="0"/>
            <wp:wrapNone/>
            <wp:docPr id="16" name="Gráfico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23BA50" w14:textId="63CB3144" w:rsidR="008B7786" w:rsidRPr="00443144" w:rsidRDefault="008B7786" w:rsidP="00097B44">
      <w:pPr>
        <w:spacing w:after="0" w:line="240" w:lineRule="auto"/>
        <w:jc w:val="center"/>
        <w:rPr>
          <w:rFonts w:ascii="Arial" w:hAnsi="Arial" w:cs="Arial"/>
          <w:noProof/>
        </w:rPr>
      </w:pPr>
    </w:p>
    <w:p w14:paraId="31AF7BA3" w14:textId="496FDFF4" w:rsidR="008B7786" w:rsidRPr="00443144" w:rsidRDefault="008B7786" w:rsidP="00097B44">
      <w:pPr>
        <w:spacing w:after="0" w:line="240" w:lineRule="auto"/>
        <w:jc w:val="center"/>
        <w:rPr>
          <w:rFonts w:ascii="Arial" w:hAnsi="Arial" w:cs="Arial"/>
          <w:noProof/>
        </w:rPr>
      </w:pPr>
    </w:p>
    <w:p w14:paraId="3426D756" w14:textId="021E1FDB" w:rsidR="008B7786" w:rsidRPr="00443144" w:rsidRDefault="008B7786" w:rsidP="00097B44">
      <w:pPr>
        <w:spacing w:after="0" w:line="240" w:lineRule="auto"/>
        <w:jc w:val="center"/>
        <w:rPr>
          <w:rFonts w:ascii="Arial" w:hAnsi="Arial" w:cs="Arial"/>
          <w:noProof/>
        </w:rPr>
      </w:pPr>
    </w:p>
    <w:p w14:paraId="58B8BDB1" w14:textId="7108208E" w:rsidR="00973B2A" w:rsidRPr="00443144" w:rsidRDefault="00973B2A" w:rsidP="00097B44">
      <w:pPr>
        <w:spacing w:after="0" w:line="240" w:lineRule="auto"/>
        <w:jc w:val="center"/>
        <w:rPr>
          <w:rFonts w:ascii="Arial" w:hAnsi="Arial" w:cs="Arial"/>
          <w:noProof/>
        </w:rPr>
      </w:pPr>
    </w:p>
    <w:p w14:paraId="5FD5DE7F" w14:textId="2AC5922B" w:rsidR="00973B2A" w:rsidRPr="00443144" w:rsidRDefault="00973B2A" w:rsidP="00097B44">
      <w:pPr>
        <w:spacing w:after="0" w:line="240" w:lineRule="auto"/>
        <w:jc w:val="center"/>
        <w:rPr>
          <w:rFonts w:ascii="Arial" w:hAnsi="Arial" w:cs="Arial"/>
          <w:noProof/>
        </w:rPr>
      </w:pPr>
    </w:p>
    <w:p w14:paraId="788541E7" w14:textId="2B3E234B" w:rsidR="00973B2A" w:rsidRPr="00443144" w:rsidRDefault="00973B2A" w:rsidP="00097B44">
      <w:pPr>
        <w:spacing w:after="0" w:line="240" w:lineRule="auto"/>
        <w:jc w:val="center"/>
        <w:rPr>
          <w:rFonts w:ascii="Arial" w:hAnsi="Arial" w:cs="Arial"/>
          <w:noProof/>
        </w:rPr>
      </w:pPr>
    </w:p>
    <w:p w14:paraId="09DCCF23" w14:textId="770331DA" w:rsidR="00973B2A" w:rsidRPr="00443144" w:rsidRDefault="00973B2A" w:rsidP="00097B44">
      <w:pPr>
        <w:spacing w:after="0" w:line="240" w:lineRule="auto"/>
        <w:jc w:val="center"/>
        <w:rPr>
          <w:rFonts w:ascii="Arial" w:hAnsi="Arial" w:cs="Arial"/>
          <w:noProof/>
        </w:rPr>
      </w:pPr>
    </w:p>
    <w:p w14:paraId="509C649E" w14:textId="1ACCD4F2" w:rsidR="00973B2A" w:rsidRPr="00443144" w:rsidRDefault="00973B2A" w:rsidP="00097B44">
      <w:pPr>
        <w:spacing w:after="0" w:line="240" w:lineRule="auto"/>
        <w:jc w:val="center"/>
        <w:rPr>
          <w:rFonts w:ascii="Arial" w:hAnsi="Arial" w:cs="Arial"/>
          <w:noProof/>
        </w:rPr>
      </w:pPr>
    </w:p>
    <w:p w14:paraId="3F120FB2" w14:textId="32F0F9F4" w:rsidR="00973B2A" w:rsidRPr="00443144" w:rsidRDefault="00973B2A" w:rsidP="00097B44">
      <w:pPr>
        <w:spacing w:after="0" w:line="240" w:lineRule="auto"/>
        <w:jc w:val="center"/>
        <w:rPr>
          <w:rFonts w:ascii="Arial" w:hAnsi="Arial" w:cs="Arial"/>
          <w:noProof/>
        </w:rPr>
      </w:pPr>
    </w:p>
    <w:p w14:paraId="61B1DAC2" w14:textId="7F222B80" w:rsidR="00973B2A" w:rsidRPr="00443144" w:rsidRDefault="00973B2A" w:rsidP="00097B44">
      <w:pPr>
        <w:spacing w:after="0" w:line="240" w:lineRule="auto"/>
        <w:jc w:val="center"/>
        <w:rPr>
          <w:rFonts w:ascii="Arial" w:hAnsi="Arial" w:cs="Arial"/>
          <w:noProof/>
        </w:rPr>
      </w:pPr>
    </w:p>
    <w:p w14:paraId="5CEBC456" w14:textId="3BEF732D" w:rsidR="00973B2A" w:rsidRPr="00443144" w:rsidRDefault="00973B2A" w:rsidP="00097B44">
      <w:pPr>
        <w:spacing w:after="0" w:line="240" w:lineRule="auto"/>
        <w:jc w:val="center"/>
        <w:rPr>
          <w:rFonts w:ascii="Arial" w:hAnsi="Arial" w:cs="Arial"/>
          <w:noProof/>
        </w:rPr>
      </w:pPr>
      <w:r w:rsidRPr="00443144">
        <w:rPr>
          <w:rFonts w:ascii="Arial" w:hAnsi="Arial" w:cs="Arial"/>
          <w:noProof/>
          <w:kern w:val="24"/>
          <w:lang w:val="es-ES"/>
        </w:rPr>
        <w:drawing>
          <wp:anchor distT="0" distB="0" distL="114300" distR="114300" simplePos="0" relativeHeight="251671552" behindDoc="0" locked="0" layoutInCell="1" allowOverlap="1" wp14:anchorId="0E02EE2C" wp14:editId="2A8DF22A">
            <wp:simplePos x="0" y="0"/>
            <wp:positionH relativeFrom="margin">
              <wp:posOffset>213827</wp:posOffset>
            </wp:positionH>
            <wp:positionV relativeFrom="paragraph">
              <wp:posOffset>97215</wp:posOffset>
            </wp:positionV>
            <wp:extent cx="4908203" cy="2018030"/>
            <wp:effectExtent l="0" t="0" r="6985" b="1270"/>
            <wp:wrapNone/>
            <wp:docPr id="20" name="Gráfico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C6FE9D" w14:textId="1B228A8E" w:rsidR="00973B2A" w:rsidRPr="00443144" w:rsidRDefault="00973B2A" w:rsidP="00097B44">
      <w:pPr>
        <w:spacing w:after="0" w:line="240" w:lineRule="auto"/>
        <w:jc w:val="center"/>
        <w:rPr>
          <w:rFonts w:ascii="Arial" w:hAnsi="Arial" w:cs="Arial"/>
          <w:noProof/>
        </w:rPr>
      </w:pPr>
    </w:p>
    <w:p w14:paraId="172A21EF" w14:textId="1AA9A2F2" w:rsidR="00973B2A" w:rsidRPr="00443144" w:rsidRDefault="00973B2A" w:rsidP="00097B44">
      <w:pPr>
        <w:spacing w:after="0" w:line="240" w:lineRule="auto"/>
        <w:jc w:val="center"/>
        <w:rPr>
          <w:rFonts w:ascii="Arial" w:hAnsi="Arial" w:cs="Arial"/>
          <w:noProof/>
        </w:rPr>
      </w:pPr>
    </w:p>
    <w:p w14:paraId="1C2B1155" w14:textId="7A62D0C1" w:rsidR="00973B2A" w:rsidRPr="00443144" w:rsidRDefault="00973B2A" w:rsidP="00097B44">
      <w:pPr>
        <w:spacing w:after="0" w:line="240" w:lineRule="auto"/>
        <w:jc w:val="center"/>
        <w:rPr>
          <w:rFonts w:ascii="Arial" w:hAnsi="Arial" w:cs="Arial"/>
          <w:noProof/>
        </w:rPr>
      </w:pPr>
    </w:p>
    <w:p w14:paraId="543E27BE" w14:textId="6F8799BC" w:rsidR="00973B2A" w:rsidRPr="00443144" w:rsidRDefault="00973B2A" w:rsidP="00097B44">
      <w:pPr>
        <w:spacing w:after="0" w:line="240" w:lineRule="auto"/>
        <w:jc w:val="center"/>
        <w:rPr>
          <w:rFonts w:ascii="Arial" w:hAnsi="Arial" w:cs="Arial"/>
          <w:noProof/>
        </w:rPr>
      </w:pPr>
    </w:p>
    <w:p w14:paraId="4021A8D9" w14:textId="665767DE" w:rsidR="00973B2A" w:rsidRPr="00443144" w:rsidRDefault="00973B2A" w:rsidP="00097B44">
      <w:pPr>
        <w:spacing w:after="0" w:line="240" w:lineRule="auto"/>
        <w:jc w:val="center"/>
        <w:rPr>
          <w:rFonts w:ascii="Arial" w:hAnsi="Arial" w:cs="Arial"/>
          <w:noProof/>
        </w:rPr>
      </w:pPr>
    </w:p>
    <w:p w14:paraId="4238A416" w14:textId="11FBC42D" w:rsidR="00973B2A" w:rsidRPr="00443144" w:rsidRDefault="00973B2A" w:rsidP="00097B44">
      <w:pPr>
        <w:spacing w:after="0" w:line="240" w:lineRule="auto"/>
        <w:jc w:val="center"/>
        <w:rPr>
          <w:rFonts w:ascii="Arial" w:hAnsi="Arial" w:cs="Arial"/>
          <w:noProof/>
        </w:rPr>
      </w:pPr>
    </w:p>
    <w:p w14:paraId="02A1A035" w14:textId="0D8BCB07" w:rsidR="00973B2A" w:rsidRPr="00443144" w:rsidRDefault="00973B2A" w:rsidP="00097B44">
      <w:pPr>
        <w:spacing w:after="0" w:line="240" w:lineRule="auto"/>
        <w:jc w:val="center"/>
        <w:rPr>
          <w:rFonts w:ascii="Arial" w:hAnsi="Arial" w:cs="Arial"/>
          <w:noProof/>
        </w:rPr>
      </w:pPr>
    </w:p>
    <w:p w14:paraId="46F880BF" w14:textId="466FE884" w:rsidR="00973B2A" w:rsidRPr="00443144" w:rsidRDefault="00973B2A" w:rsidP="00097B44">
      <w:pPr>
        <w:spacing w:after="0" w:line="240" w:lineRule="auto"/>
        <w:jc w:val="center"/>
        <w:rPr>
          <w:rFonts w:ascii="Arial" w:hAnsi="Arial" w:cs="Arial"/>
          <w:noProof/>
        </w:rPr>
      </w:pPr>
    </w:p>
    <w:p w14:paraId="4E37F495" w14:textId="53AECFCB" w:rsidR="00973B2A" w:rsidRPr="00443144" w:rsidRDefault="00973B2A" w:rsidP="00097B44">
      <w:pPr>
        <w:spacing w:after="0" w:line="240" w:lineRule="auto"/>
        <w:jc w:val="center"/>
        <w:rPr>
          <w:rFonts w:ascii="Arial" w:hAnsi="Arial" w:cs="Arial"/>
          <w:noProof/>
        </w:rPr>
      </w:pPr>
    </w:p>
    <w:p w14:paraId="74668C83" w14:textId="1D2981C4" w:rsidR="00973B2A" w:rsidRPr="00443144" w:rsidRDefault="00973B2A" w:rsidP="00097B44">
      <w:pPr>
        <w:spacing w:after="0" w:line="240" w:lineRule="auto"/>
        <w:jc w:val="center"/>
        <w:rPr>
          <w:rFonts w:ascii="Arial" w:hAnsi="Arial" w:cs="Arial"/>
          <w:noProof/>
        </w:rPr>
      </w:pPr>
    </w:p>
    <w:p w14:paraId="5C63FF90" w14:textId="03501C78" w:rsidR="00973B2A" w:rsidRPr="00443144" w:rsidRDefault="00973B2A" w:rsidP="00097B44">
      <w:pPr>
        <w:spacing w:after="0" w:line="240" w:lineRule="auto"/>
        <w:jc w:val="center"/>
        <w:rPr>
          <w:rFonts w:ascii="Arial" w:hAnsi="Arial" w:cs="Arial"/>
          <w:noProof/>
        </w:rPr>
      </w:pPr>
    </w:p>
    <w:p w14:paraId="3360E350" w14:textId="5BEB6996" w:rsidR="00973B2A" w:rsidRPr="00443144" w:rsidRDefault="00973B2A" w:rsidP="00097B44">
      <w:pPr>
        <w:spacing w:after="0" w:line="240" w:lineRule="auto"/>
        <w:jc w:val="center"/>
        <w:rPr>
          <w:rFonts w:ascii="Arial" w:hAnsi="Arial" w:cs="Arial"/>
          <w:noProof/>
        </w:rPr>
      </w:pPr>
    </w:p>
    <w:p w14:paraId="5D4C6EFB" w14:textId="713E7F79" w:rsidR="00973B2A" w:rsidRPr="00443144" w:rsidRDefault="00973B2A" w:rsidP="00097B44">
      <w:pPr>
        <w:spacing w:after="0" w:line="240" w:lineRule="auto"/>
        <w:jc w:val="center"/>
        <w:rPr>
          <w:rFonts w:ascii="Arial" w:hAnsi="Arial" w:cs="Arial"/>
          <w:noProof/>
        </w:rPr>
      </w:pPr>
      <w:r w:rsidRPr="00443144">
        <w:rPr>
          <w:rFonts w:ascii="Arial" w:eastAsia="Times New Roman" w:hAnsi="Arial" w:cs="Arial"/>
          <w:noProof/>
        </w:rPr>
        <w:drawing>
          <wp:anchor distT="0" distB="0" distL="114300" distR="114300" simplePos="0" relativeHeight="251673600" behindDoc="0" locked="0" layoutInCell="1" allowOverlap="1" wp14:anchorId="1400327B" wp14:editId="22900163">
            <wp:simplePos x="0" y="0"/>
            <wp:positionH relativeFrom="margin">
              <wp:posOffset>213360</wp:posOffset>
            </wp:positionH>
            <wp:positionV relativeFrom="paragraph">
              <wp:posOffset>25136</wp:posOffset>
            </wp:positionV>
            <wp:extent cx="4925060" cy="2078355"/>
            <wp:effectExtent l="0" t="0" r="8890" b="0"/>
            <wp:wrapNone/>
            <wp:docPr id="12" name="Gráfico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D58ED6B" w14:textId="33D6B733" w:rsidR="00973B2A" w:rsidRPr="00443144" w:rsidRDefault="00973B2A" w:rsidP="00097B44">
      <w:pPr>
        <w:spacing w:after="0" w:line="240" w:lineRule="auto"/>
        <w:jc w:val="center"/>
        <w:rPr>
          <w:rFonts w:ascii="Arial" w:hAnsi="Arial" w:cs="Arial"/>
          <w:noProof/>
        </w:rPr>
      </w:pPr>
    </w:p>
    <w:p w14:paraId="511FBDC8" w14:textId="77777777" w:rsidR="008B7786" w:rsidRPr="00443144" w:rsidRDefault="008B7786" w:rsidP="00097B44">
      <w:pPr>
        <w:spacing w:after="0" w:line="240" w:lineRule="auto"/>
        <w:jc w:val="center"/>
        <w:rPr>
          <w:rFonts w:ascii="Arial" w:hAnsi="Arial" w:cs="Arial"/>
          <w:noProof/>
        </w:rPr>
      </w:pPr>
    </w:p>
    <w:p w14:paraId="49C07CB2" w14:textId="77777777" w:rsidR="008B7786" w:rsidRPr="00443144" w:rsidRDefault="008B7786" w:rsidP="00097B44">
      <w:pPr>
        <w:spacing w:after="0" w:line="240" w:lineRule="auto"/>
        <w:jc w:val="center"/>
        <w:rPr>
          <w:rFonts w:ascii="Arial" w:hAnsi="Arial" w:cs="Arial"/>
          <w:noProof/>
        </w:rPr>
      </w:pPr>
    </w:p>
    <w:p w14:paraId="787C86BC" w14:textId="03323D1B" w:rsidR="008B7786" w:rsidRPr="00443144" w:rsidRDefault="008B7786" w:rsidP="00097B44">
      <w:pPr>
        <w:spacing w:after="0" w:line="240" w:lineRule="auto"/>
        <w:jc w:val="center"/>
        <w:rPr>
          <w:rFonts w:ascii="Arial" w:hAnsi="Arial" w:cs="Arial"/>
          <w:noProof/>
        </w:rPr>
      </w:pPr>
    </w:p>
    <w:p w14:paraId="395ED939" w14:textId="06C04431" w:rsidR="0065649D" w:rsidRPr="00443144" w:rsidRDefault="0065649D" w:rsidP="00097B44">
      <w:pPr>
        <w:spacing w:after="0" w:line="240" w:lineRule="auto"/>
        <w:jc w:val="center"/>
        <w:rPr>
          <w:rFonts w:ascii="Arial" w:hAnsi="Arial" w:cs="Arial"/>
          <w:noProof/>
        </w:rPr>
      </w:pPr>
    </w:p>
    <w:p w14:paraId="1904C62C" w14:textId="67334C91" w:rsidR="0065649D" w:rsidRPr="00443144" w:rsidRDefault="0065649D" w:rsidP="00097B44">
      <w:pPr>
        <w:spacing w:after="0" w:line="240" w:lineRule="auto"/>
        <w:jc w:val="center"/>
        <w:rPr>
          <w:rFonts w:ascii="Arial" w:hAnsi="Arial" w:cs="Arial"/>
          <w:noProof/>
        </w:rPr>
      </w:pPr>
    </w:p>
    <w:p w14:paraId="360D3490" w14:textId="33A642A4" w:rsidR="0065649D" w:rsidRPr="00443144" w:rsidRDefault="0065649D" w:rsidP="00097B44">
      <w:pPr>
        <w:spacing w:after="0" w:line="240" w:lineRule="auto"/>
        <w:jc w:val="center"/>
        <w:rPr>
          <w:rFonts w:ascii="Arial" w:hAnsi="Arial" w:cs="Arial"/>
          <w:noProof/>
        </w:rPr>
      </w:pPr>
    </w:p>
    <w:p w14:paraId="0C576E9D" w14:textId="113B3921" w:rsidR="0065649D" w:rsidRPr="00443144" w:rsidRDefault="0065649D" w:rsidP="00097B44">
      <w:pPr>
        <w:spacing w:after="0" w:line="240" w:lineRule="auto"/>
        <w:jc w:val="center"/>
        <w:rPr>
          <w:rFonts w:ascii="Arial" w:hAnsi="Arial" w:cs="Arial"/>
          <w:noProof/>
        </w:rPr>
      </w:pPr>
    </w:p>
    <w:p w14:paraId="280B7464" w14:textId="5A7CEC27" w:rsidR="0065649D" w:rsidRPr="00443144" w:rsidRDefault="0065649D" w:rsidP="00097B44">
      <w:pPr>
        <w:spacing w:after="0" w:line="240" w:lineRule="auto"/>
        <w:jc w:val="center"/>
        <w:rPr>
          <w:rFonts w:ascii="Arial" w:hAnsi="Arial" w:cs="Arial"/>
          <w:noProof/>
        </w:rPr>
      </w:pPr>
    </w:p>
    <w:p w14:paraId="057C8D7B" w14:textId="164C5E16" w:rsidR="0065649D" w:rsidRPr="00443144" w:rsidRDefault="0065649D" w:rsidP="00097B44">
      <w:pPr>
        <w:spacing w:after="0" w:line="240" w:lineRule="auto"/>
        <w:jc w:val="center"/>
        <w:rPr>
          <w:rFonts w:ascii="Arial" w:hAnsi="Arial" w:cs="Arial"/>
          <w:noProof/>
        </w:rPr>
      </w:pPr>
    </w:p>
    <w:p w14:paraId="0AC22087" w14:textId="546686CD" w:rsidR="0065649D" w:rsidRPr="00443144" w:rsidRDefault="0065649D" w:rsidP="00097B44">
      <w:pPr>
        <w:spacing w:after="0" w:line="240" w:lineRule="auto"/>
        <w:jc w:val="center"/>
        <w:rPr>
          <w:rFonts w:ascii="Arial" w:hAnsi="Arial" w:cs="Arial"/>
          <w:noProof/>
        </w:rPr>
      </w:pPr>
    </w:p>
    <w:p w14:paraId="7C4E434E" w14:textId="6179098F" w:rsidR="0065649D" w:rsidRPr="00443144" w:rsidRDefault="0065649D" w:rsidP="00097B44">
      <w:pPr>
        <w:spacing w:after="0" w:line="240" w:lineRule="auto"/>
        <w:jc w:val="center"/>
        <w:rPr>
          <w:rFonts w:ascii="Arial" w:hAnsi="Arial" w:cs="Arial"/>
          <w:noProof/>
        </w:rPr>
      </w:pPr>
    </w:p>
    <w:p w14:paraId="7B70A776" w14:textId="2BD54504" w:rsidR="0065649D" w:rsidRPr="00443144" w:rsidRDefault="0065649D" w:rsidP="00097B44">
      <w:pPr>
        <w:spacing w:after="0" w:line="240" w:lineRule="auto"/>
        <w:jc w:val="center"/>
        <w:rPr>
          <w:rFonts w:ascii="Arial" w:hAnsi="Arial" w:cs="Arial"/>
          <w:noProof/>
        </w:rPr>
      </w:pPr>
    </w:p>
    <w:p w14:paraId="2FC57AB4" w14:textId="46011379" w:rsidR="0065649D" w:rsidRPr="00443144" w:rsidRDefault="0065649D" w:rsidP="00097B44">
      <w:pPr>
        <w:spacing w:after="0" w:line="240" w:lineRule="auto"/>
        <w:jc w:val="center"/>
        <w:rPr>
          <w:rFonts w:ascii="Arial" w:hAnsi="Arial" w:cs="Arial"/>
          <w:noProof/>
        </w:rPr>
      </w:pPr>
    </w:p>
    <w:p w14:paraId="189E2BCB" w14:textId="77777777" w:rsidR="0011247F" w:rsidRDefault="0065649D" w:rsidP="006564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597" w:right="-57"/>
        <w:jc w:val="center"/>
        <w:rPr>
          <w:rFonts w:ascii="Arial" w:eastAsia="Arial Narrow" w:hAnsi="Arial" w:cs="Arial"/>
          <w:b/>
          <w:sz w:val="24"/>
          <w:szCs w:val="24"/>
        </w:rPr>
      </w:pPr>
      <w:r w:rsidRPr="00443144">
        <w:rPr>
          <w:rFonts w:ascii="Arial" w:eastAsia="Arial Narrow" w:hAnsi="Arial" w:cs="Arial"/>
          <w:b/>
          <w:sz w:val="24"/>
          <w:szCs w:val="24"/>
        </w:rPr>
        <w:t xml:space="preserve">            </w:t>
      </w:r>
    </w:p>
    <w:p w14:paraId="7C0C4F1C" w14:textId="0702D83A" w:rsidR="0065649D" w:rsidRPr="00443144" w:rsidRDefault="0065649D" w:rsidP="006564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597" w:right="-57"/>
        <w:jc w:val="center"/>
        <w:rPr>
          <w:rFonts w:ascii="Arial" w:eastAsia="Arial Narrow" w:hAnsi="Arial" w:cs="Arial"/>
          <w:b/>
          <w:sz w:val="24"/>
          <w:szCs w:val="24"/>
        </w:rPr>
      </w:pPr>
      <w:r w:rsidRPr="00443144">
        <w:rPr>
          <w:rFonts w:ascii="Arial" w:eastAsia="Arial Narrow" w:hAnsi="Arial" w:cs="Arial"/>
          <w:b/>
          <w:sz w:val="24"/>
          <w:szCs w:val="24"/>
        </w:rPr>
        <w:lastRenderedPageBreak/>
        <w:t xml:space="preserve"> Recaudación por Tributo</w:t>
      </w:r>
    </w:p>
    <w:p w14:paraId="7F43CDB1" w14:textId="77777777" w:rsidR="0065649D" w:rsidRPr="00443144" w:rsidRDefault="0065649D" w:rsidP="006564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597" w:right="-57"/>
        <w:jc w:val="center"/>
        <w:rPr>
          <w:rFonts w:ascii="Arial" w:eastAsia="Arial Narrow" w:hAnsi="Arial" w:cs="Arial"/>
          <w:b/>
          <w:sz w:val="24"/>
          <w:szCs w:val="24"/>
        </w:rPr>
      </w:pPr>
      <w:r w:rsidRPr="00443144">
        <w:rPr>
          <w:rFonts w:ascii="Arial" w:eastAsia="Arial Narrow" w:hAnsi="Arial" w:cs="Arial"/>
          <w:b/>
          <w:sz w:val="24"/>
          <w:szCs w:val="24"/>
        </w:rPr>
        <w:t xml:space="preserve">                  (en millones de soles variación% real)</w:t>
      </w:r>
    </w:p>
    <w:p w14:paraId="3254D8C2" w14:textId="77777777" w:rsidR="0065649D" w:rsidRPr="00443144" w:rsidRDefault="0065649D" w:rsidP="00097B44">
      <w:pPr>
        <w:spacing w:after="0" w:line="240" w:lineRule="auto"/>
        <w:jc w:val="center"/>
        <w:rPr>
          <w:rFonts w:ascii="Arial" w:hAnsi="Arial" w:cs="Arial"/>
          <w:noProof/>
        </w:rPr>
      </w:pPr>
    </w:p>
    <w:p w14:paraId="5C49E4D6" w14:textId="29445E80" w:rsidR="008B7786" w:rsidRPr="00443144" w:rsidRDefault="00630170" w:rsidP="00097B44">
      <w:pPr>
        <w:spacing w:after="0" w:line="240" w:lineRule="auto"/>
        <w:jc w:val="center"/>
        <w:rPr>
          <w:rFonts w:ascii="Arial" w:hAnsi="Arial" w:cs="Arial"/>
          <w:noProof/>
        </w:rPr>
      </w:pPr>
      <w:r w:rsidRPr="00630170">
        <w:rPr>
          <w:noProof/>
        </w:rPr>
        <w:drawing>
          <wp:inline distT="0" distB="0" distL="0" distR="0" wp14:anchorId="43BAE30D" wp14:editId="3F40DAFE">
            <wp:extent cx="5400040" cy="3539067"/>
            <wp:effectExtent l="0" t="0" r="0" b="444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5224" cy="3542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DCE067" w14:textId="77777777" w:rsidR="008B7786" w:rsidRPr="00443144" w:rsidRDefault="008B7786" w:rsidP="00097B44">
      <w:pPr>
        <w:spacing w:after="0" w:line="240" w:lineRule="auto"/>
        <w:jc w:val="center"/>
        <w:rPr>
          <w:rFonts w:ascii="Arial" w:hAnsi="Arial" w:cs="Arial"/>
          <w:noProof/>
        </w:rPr>
      </w:pPr>
    </w:p>
    <w:p w14:paraId="49999028" w14:textId="77777777" w:rsidR="008B7786" w:rsidRPr="00443144" w:rsidRDefault="008B7786" w:rsidP="00097B44">
      <w:pPr>
        <w:spacing w:after="0" w:line="240" w:lineRule="auto"/>
        <w:jc w:val="center"/>
        <w:rPr>
          <w:rFonts w:ascii="Arial" w:hAnsi="Arial" w:cs="Arial"/>
          <w:noProof/>
        </w:rPr>
      </w:pPr>
    </w:p>
    <w:p w14:paraId="233C25FA" w14:textId="77777777" w:rsidR="008B7786" w:rsidRPr="00443144" w:rsidRDefault="008B7786" w:rsidP="00097B44">
      <w:pPr>
        <w:spacing w:after="0" w:line="240" w:lineRule="auto"/>
        <w:jc w:val="center"/>
        <w:rPr>
          <w:rFonts w:ascii="Arial" w:hAnsi="Arial" w:cs="Arial"/>
          <w:noProof/>
        </w:rPr>
      </w:pPr>
    </w:p>
    <w:p w14:paraId="55899A52" w14:textId="77777777" w:rsidR="008B7786" w:rsidRPr="00443144" w:rsidRDefault="008B7786" w:rsidP="00097B44">
      <w:pPr>
        <w:spacing w:after="0" w:line="240" w:lineRule="auto"/>
        <w:jc w:val="center"/>
        <w:rPr>
          <w:rFonts w:ascii="Arial" w:hAnsi="Arial" w:cs="Arial"/>
          <w:noProof/>
        </w:rPr>
      </w:pPr>
    </w:p>
    <w:p w14:paraId="1AF225F7" w14:textId="77777777" w:rsidR="008B7786" w:rsidRPr="00443144" w:rsidRDefault="008B7786" w:rsidP="00097B44">
      <w:pPr>
        <w:spacing w:after="0" w:line="240" w:lineRule="auto"/>
        <w:jc w:val="center"/>
        <w:rPr>
          <w:rFonts w:ascii="Arial" w:hAnsi="Arial" w:cs="Arial"/>
          <w:noProof/>
        </w:rPr>
      </w:pPr>
    </w:p>
    <w:p w14:paraId="56A736F7" w14:textId="77777777" w:rsidR="008B7786" w:rsidRPr="00443144" w:rsidRDefault="008B7786" w:rsidP="00097B44">
      <w:pPr>
        <w:spacing w:after="0" w:line="240" w:lineRule="auto"/>
        <w:jc w:val="center"/>
        <w:rPr>
          <w:rFonts w:ascii="Arial" w:hAnsi="Arial" w:cs="Arial"/>
          <w:noProof/>
        </w:rPr>
      </w:pPr>
    </w:p>
    <w:p w14:paraId="67F49172" w14:textId="77777777" w:rsidR="008B7786" w:rsidRPr="00443144" w:rsidRDefault="008B7786" w:rsidP="00097B44">
      <w:pPr>
        <w:spacing w:after="0" w:line="240" w:lineRule="auto"/>
        <w:jc w:val="center"/>
        <w:rPr>
          <w:rFonts w:ascii="Arial" w:hAnsi="Arial" w:cs="Arial"/>
          <w:noProof/>
        </w:rPr>
      </w:pPr>
    </w:p>
    <w:p w14:paraId="2C7CBBF3" w14:textId="77777777" w:rsidR="008B7786" w:rsidRPr="00443144" w:rsidRDefault="008B7786" w:rsidP="00097B44">
      <w:pPr>
        <w:spacing w:after="0" w:line="240" w:lineRule="auto"/>
        <w:jc w:val="center"/>
        <w:rPr>
          <w:rFonts w:ascii="Arial" w:hAnsi="Arial" w:cs="Arial"/>
          <w:noProof/>
        </w:rPr>
      </w:pPr>
    </w:p>
    <w:p w14:paraId="48432495" w14:textId="77777777" w:rsidR="008B7786" w:rsidRPr="00443144" w:rsidRDefault="008B7786" w:rsidP="00097B44">
      <w:pPr>
        <w:spacing w:after="0" w:line="240" w:lineRule="auto"/>
        <w:jc w:val="center"/>
        <w:rPr>
          <w:rFonts w:ascii="Arial" w:hAnsi="Arial" w:cs="Arial"/>
          <w:noProof/>
        </w:rPr>
      </w:pPr>
    </w:p>
    <w:p w14:paraId="52DF30A9" w14:textId="77777777" w:rsidR="008B7786" w:rsidRPr="00443144" w:rsidRDefault="008B7786" w:rsidP="00097B44">
      <w:pPr>
        <w:spacing w:after="0" w:line="240" w:lineRule="auto"/>
        <w:jc w:val="center"/>
        <w:rPr>
          <w:rFonts w:ascii="Arial" w:hAnsi="Arial" w:cs="Arial"/>
          <w:noProof/>
        </w:rPr>
      </w:pPr>
    </w:p>
    <w:p w14:paraId="575A96A4" w14:textId="77777777" w:rsidR="008B7786" w:rsidRPr="00443144" w:rsidRDefault="008B7786" w:rsidP="00097B44">
      <w:pPr>
        <w:spacing w:after="0" w:line="240" w:lineRule="auto"/>
        <w:jc w:val="center"/>
        <w:rPr>
          <w:rFonts w:ascii="Arial" w:hAnsi="Arial" w:cs="Arial"/>
          <w:noProof/>
        </w:rPr>
      </w:pPr>
    </w:p>
    <w:p w14:paraId="4951E3D9" w14:textId="77777777" w:rsidR="008B7786" w:rsidRPr="00443144" w:rsidRDefault="008B7786" w:rsidP="00097B44">
      <w:pPr>
        <w:spacing w:after="0" w:line="240" w:lineRule="auto"/>
        <w:jc w:val="center"/>
        <w:rPr>
          <w:rFonts w:ascii="Arial" w:hAnsi="Arial" w:cs="Arial"/>
          <w:noProof/>
        </w:rPr>
      </w:pPr>
    </w:p>
    <w:p w14:paraId="659EE69A" w14:textId="2D7C1296" w:rsidR="008B7786" w:rsidRPr="00443144" w:rsidRDefault="008B7786" w:rsidP="00097B44">
      <w:pPr>
        <w:spacing w:after="0" w:line="240" w:lineRule="auto"/>
        <w:jc w:val="center"/>
        <w:rPr>
          <w:rFonts w:ascii="Arial" w:hAnsi="Arial" w:cs="Arial"/>
          <w:noProof/>
        </w:rPr>
      </w:pPr>
    </w:p>
    <w:p w14:paraId="1C019BEE" w14:textId="5DC1306C" w:rsidR="008B7786" w:rsidRPr="00443144" w:rsidRDefault="008B7786" w:rsidP="00097B44">
      <w:pPr>
        <w:spacing w:after="0" w:line="240" w:lineRule="auto"/>
        <w:jc w:val="center"/>
        <w:rPr>
          <w:rFonts w:ascii="Arial" w:hAnsi="Arial" w:cs="Arial"/>
          <w:noProof/>
        </w:rPr>
      </w:pPr>
    </w:p>
    <w:p w14:paraId="04C7C837" w14:textId="4CF24F86" w:rsidR="008B7786" w:rsidRPr="00443144" w:rsidRDefault="008B7786" w:rsidP="00097B44">
      <w:pPr>
        <w:spacing w:after="0" w:line="240" w:lineRule="auto"/>
        <w:jc w:val="center"/>
        <w:rPr>
          <w:rFonts w:ascii="Arial" w:hAnsi="Arial" w:cs="Arial"/>
          <w:noProof/>
        </w:rPr>
      </w:pPr>
    </w:p>
    <w:p w14:paraId="7F5895C8" w14:textId="77777777" w:rsidR="008B7786" w:rsidRPr="00443144" w:rsidRDefault="008B7786" w:rsidP="00097B44">
      <w:pPr>
        <w:spacing w:after="0" w:line="240" w:lineRule="auto"/>
        <w:jc w:val="center"/>
        <w:rPr>
          <w:rFonts w:ascii="Arial" w:hAnsi="Arial" w:cs="Arial"/>
          <w:b/>
        </w:rPr>
      </w:pPr>
    </w:p>
    <w:sectPr w:rsidR="008B7786" w:rsidRPr="00443144">
      <w:headerReference w:type="defaul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89DB17" w14:textId="77777777" w:rsidR="00AC599F" w:rsidRDefault="00AC599F" w:rsidP="0011247F">
      <w:pPr>
        <w:spacing w:after="0" w:line="240" w:lineRule="auto"/>
      </w:pPr>
      <w:r>
        <w:separator/>
      </w:r>
    </w:p>
  </w:endnote>
  <w:endnote w:type="continuationSeparator" w:id="0">
    <w:p w14:paraId="2D956F15" w14:textId="77777777" w:rsidR="00AC599F" w:rsidRDefault="00AC599F" w:rsidP="001124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49910C" w14:textId="77777777" w:rsidR="00AC599F" w:rsidRDefault="00AC599F" w:rsidP="0011247F">
      <w:pPr>
        <w:spacing w:after="0" w:line="240" w:lineRule="auto"/>
      </w:pPr>
      <w:r>
        <w:separator/>
      </w:r>
    </w:p>
  </w:footnote>
  <w:footnote w:type="continuationSeparator" w:id="0">
    <w:p w14:paraId="6B7E4A64" w14:textId="77777777" w:rsidR="00AC599F" w:rsidRDefault="00AC599F" w:rsidP="001124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8A3774" w14:textId="1E40AD1D" w:rsidR="00540E63" w:rsidRDefault="00540E63">
    <w:pPr>
      <w:pStyle w:val="Encabezado"/>
    </w:pPr>
    <w:r>
      <w:rPr>
        <w:noProof/>
      </w:rPr>
      <w:drawing>
        <wp:inline distT="0" distB="0" distL="0" distR="0" wp14:anchorId="3A95F3E2" wp14:editId="7A014854">
          <wp:extent cx="2219325" cy="714375"/>
          <wp:effectExtent l="0" t="0" r="9525" b="952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9325" cy="714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68040C"/>
    <w:multiLevelType w:val="hybridMultilevel"/>
    <w:tmpl w:val="4BB834E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C708BF"/>
    <w:multiLevelType w:val="hybridMultilevel"/>
    <w:tmpl w:val="69F65B50"/>
    <w:lvl w:ilvl="0" w:tplc="280A000D">
      <w:start w:val="1"/>
      <w:numFmt w:val="bullet"/>
      <w:lvlText w:val=""/>
      <w:lvlJc w:val="left"/>
      <w:pPr>
        <w:ind w:left="1145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29974A76"/>
    <w:multiLevelType w:val="hybridMultilevel"/>
    <w:tmpl w:val="AB88ED80"/>
    <w:lvl w:ilvl="0" w:tplc="2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31A1708"/>
    <w:multiLevelType w:val="hybridMultilevel"/>
    <w:tmpl w:val="6FA46C22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29236AD"/>
    <w:multiLevelType w:val="hybridMultilevel"/>
    <w:tmpl w:val="7FB47E0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DC55C3"/>
    <w:multiLevelType w:val="hybridMultilevel"/>
    <w:tmpl w:val="B024079A"/>
    <w:lvl w:ilvl="0" w:tplc="280A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6" w15:restartNumberingAfterBreak="0">
    <w:nsid w:val="73AA193C"/>
    <w:multiLevelType w:val="hybridMultilevel"/>
    <w:tmpl w:val="AFD0637A"/>
    <w:lvl w:ilvl="0" w:tplc="28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77EB5256"/>
    <w:multiLevelType w:val="hybridMultilevel"/>
    <w:tmpl w:val="E7D450D6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6"/>
  </w:num>
  <w:num w:numId="5">
    <w:abstractNumId w:val="4"/>
  </w:num>
  <w:num w:numId="6">
    <w:abstractNumId w:val="3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FE3"/>
    <w:rsid w:val="0001131C"/>
    <w:rsid w:val="00021229"/>
    <w:rsid w:val="000624F2"/>
    <w:rsid w:val="00082422"/>
    <w:rsid w:val="00097B44"/>
    <w:rsid w:val="00104E14"/>
    <w:rsid w:val="0011247F"/>
    <w:rsid w:val="00113454"/>
    <w:rsid w:val="00140D58"/>
    <w:rsid w:val="00154053"/>
    <w:rsid w:val="00192574"/>
    <w:rsid w:val="001C6094"/>
    <w:rsid w:val="002479CC"/>
    <w:rsid w:val="002E10AA"/>
    <w:rsid w:val="002F48B0"/>
    <w:rsid w:val="0034326C"/>
    <w:rsid w:val="003B3522"/>
    <w:rsid w:val="003C0259"/>
    <w:rsid w:val="00427A0D"/>
    <w:rsid w:val="00443144"/>
    <w:rsid w:val="005021C7"/>
    <w:rsid w:val="00540E63"/>
    <w:rsid w:val="005635B6"/>
    <w:rsid w:val="00604EDB"/>
    <w:rsid w:val="00630170"/>
    <w:rsid w:val="00647F1B"/>
    <w:rsid w:val="0065649D"/>
    <w:rsid w:val="00671060"/>
    <w:rsid w:val="006A447A"/>
    <w:rsid w:val="006A782E"/>
    <w:rsid w:val="006D6B0D"/>
    <w:rsid w:val="00785D9E"/>
    <w:rsid w:val="007E2DE2"/>
    <w:rsid w:val="00860A8C"/>
    <w:rsid w:val="008A0E24"/>
    <w:rsid w:val="008B7786"/>
    <w:rsid w:val="008D1F40"/>
    <w:rsid w:val="009640B3"/>
    <w:rsid w:val="00973B2A"/>
    <w:rsid w:val="00974110"/>
    <w:rsid w:val="00980897"/>
    <w:rsid w:val="009D0FE3"/>
    <w:rsid w:val="009E29BC"/>
    <w:rsid w:val="00A10AC1"/>
    <w:rsid w:val="00A45BFF"/>
    <w:rsid w:val="00A52BBE"/>
    <w:rsid w:val="00A579D6"/>
    <w:rsid w:val="00A756FB"/>
    <w:rsid w:val="00A877C5"/>
    <w:rsid w:val="00AB0E36"/>
    <w:rsid w:val="00AC599F"/>
    <w:rsid w:val="00AF6455"/>
    <w:rsid w:val="00B4604F"/>
    <w:rsid w:val="00BE3F39"/>
    <w:rsid w:val="00C662BC"/>
    <w:rsid w:val="00CA00D9"/>
    <w:rsid w:val="00CA7095"/>
    <w:rsid w:val="00CC0812"/>
    <w:rsid w:val="00D13F0C"/>
    <w:rsid w:val="00D21A23"/>
    <w:rsid w:val="00E07676"/>
    <w:rsid w:val="00E46955"/>
    <w:rsid w:val="00E762C7"/>
    <w:rsid w:val="00E9766C"/>
    <w:rsid w:val="00F81C6F"/>
    <w:rsid w:val="00FC3EF3"/>
    <w:rsid w:val="00FC736D"/>
    <w:rsid w:val="00FF6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C7F5373"/>
  <w15:chartTrackingRefBased/>
  <w15:docId w15:val="{5C754A46-681F-4B19-B67E-580F5B318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0FE3"/>
    <w:pPr>
      <w:spacing w:after="160" w:line="259" w:lineRule="auto"/>
      <w:jc w:val="left"/>
    </w:pPr>
    <w:rPr>
      <w:rFonts w:ascii="Calibri" w:eastAsia="Calibri" w:hAnsi="Calibri" w:cs="Calibri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D0FE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0FE3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9D0FE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40E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0E63"/>
    <w:rPr>
      <w:rFonts w:ascii="Calibri" w:eastAsia="Calibri" w:hAnsi="Calibri" w:cs="Calibri"/>
      <w:lang w:eastAsia="es-PE"/>
    </w:rPr>
  </w:style>
  <w:style w:type="paragraph" w:styleId="Piedepgina">
    <w:name w:val="footer"/>
    <w:basedOn w:val="Normal"/>
    <w:link w:val="PiedepginaCar"/>
    <w:uiPriority w:val="99"/>
    <w:unhideWhenUsed/>
    <w:rsid w:val="00540E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0E63"/>
    <w:rPr>
      <w:rFonts w:ascii="Calibri" w:eastAsia="Calibri" w:hAnsi="Calibri" w:cs="Calibri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4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chart" Target="charts/chart3.xml"/><Relationship Id="rId4" Type="http://schemas.openxmlformats.org/officeDocument/2006/relationships/webSettings" Target="webSettings.xml"/><Relationship Id="rId9" Type="http://schemas.openxmlformats.org/officeDocument/2006/relationships/chart" Target="charts/chart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l">
              <a:defRPr sz="1000"/>
            </a:pPr>
            <a:r>
              <a:rPr lang="es-PE" sz="1000"/>
              <a:t>Impuesto a la Renta: 2020 - 2021</a:t>
            </a:r>
          </a:p>
          <a:p>
            <a:pPr algn="l">
              <a:defRPr sz="1000"/>
            </a:pPr>
            <a:r>
              <a:rPr lang="es-PE" sz="1000" b="0"/>
              <a:t>En millones de soles y Var. % real anual </a:t>
            </a:r>
          </a:p>
        </c:rich>
      </c:tx>
      <c:layout>
        <c:manualLayout>
          <c:xMode val="edge"/>
          <c:yMode val="edge"/>
          <c:x val="2.4264200334386176E-3"/>
          <c:y val="5.0627311251130826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2527964205816555"/>
          <c:y val="0.27700231889128157"/>
          <c:w val="0.77181208053691219"/>
          <c:h val="0.553195117394778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Recaudación</c:v>
                </c:pt>
              </c:strCache>
            </c:strRef>
          </c:tx>
          <c:spPr>
            <a:solidFill>
              <a:schemeClr val="bg1">
                <a:lumMod val="85000"/>
              </a:schemeClr>
            </a:solidFill>
            <a:ln w="6350" cap="flat" cmpd="sng" algn="ctr">
              <a:solidFill>
                <a:schemeClr val="bg1">
                  <a:lumMod val="75000"/>
                </a:schemeClr>
              </a:solidFill>
              <a:prstDash val="solid"/>
              <a:miter lim="800000"/>
            </a:ln>
            <a:effectLst/>
          </c:spPr>
          <c:invertIfNegative val="0"/>
          <c:dPt>
            <c:idx val="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0-14FC-4FC9-AFAB-663524ECAA16}"/>
              </c:ext>
            </c:extLst>
          </c:dPt>
          <c:dPt>
            <c:idx val="1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1-14FC-4FC9-AFAB-663524ECAA16}"/>
              </c:ext>
            </c:extLst>
          </c:dPt>
          <c:dPt>
            <c:idx val="2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2-14FC-4FC9-AFAB-663524ECAA16}"/>
              </c:ext>
            </c:extLst>
          </c:dPt>
          <c:dPt>
            <c:idx val="3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3-14FC-4FC9-AFAB-663524ECAA16}"/>
              </c:ext>
            </c:extLst>
          </c:dPt>
          <c:dPt>
            <c:idx val="4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4-14FC-4FC9-AFAB-663524ECAA16}"/>
              </c:ext>
            </c:extLst>
          </c:dPt>
          <c:dPt>
            <c:idx val="5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5-14FC-4FC9-AFAB-663524ECAA16}"/>
              </c:ext>
            </c:extLst>
          </c:dPt>
          <c:dPt>
            <c:idx val="6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6-14FC-4FC9-AFAB-663524ECAA16}"/>
              </c:ext>
            </c:extLst>
          </c:dPt>
          <c:dPt>
            <c:idx val="7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7-14FC-4FC9-AFAB-663524ECAA16}"/>
              </c:ext>
            </c:extLst>
          </c:dPt>
          <c:dPt>
            <c:idx val="8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8-14FC-4FC9-AFAB-663524ECAA16}"/>
              </c:ext>
            </c:extLst>
          </c:dPt>
          <c:dPt>
            <c:idx val="9"/>
            <c:invertIfNegative val="0"/>
            <c:bubble3D val="0"/>
            <c:spPr>
              <a:solidFill>
                <a:schemeClr val="tx1">
                  <a:lumMod val="50000"/>
                  <a:lumOff val="50000"/>
                </a:schemeClr>
              </a:solidFill>
              <a:ln w="6350" cap="flat" cmpd="sng" algn="ctr">
                <a:solidFill>
                  <a:schemeClr val="bg1">
                    <a:lumMod val="75000"/>
                  </a:schemeClr>
                </a:solidFill>
                <a:prstDash val="solid"/>
                <a:miter lim="800000"/>
              </a:ln>
              <a:effectLst/>
            </c:spPr>
            <c:extLst>
              <c:ext xmlns:c16="http://schemas.microsoft.com/office/drawing/2014/chart" uri="{C3380CC4-5D6E-409C-BE32-E72D297353CC}">
                <c16:uniqueId val="{0000000A-14FC-4FC9-AFAB-663524ECAA16}"/>
              </c:ext>
            </c:extLst>
          </c:dPt>
          <c:dPt>
            <c:idx val="1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B-14FC-4FC9-AFAB-663524ECAA16}"/>
              </c:ext>
            </c:extLst>
          </c:dPt>
          <c:dPt>
            <c:idx val="12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C-14FC-4FC9-AFAB-663524ECAA16}"/>
              </c:ext>
            </c:extLst>
          </c:dPt>
          <c:dPt>
            <c:idx val="13"/>
            <c:invertIfNegative val="0"/>
            <c:bubble3D val="0"/>
            <c:spPr>
              <a:solidFill>
                <a:schemeClr val="bg1">
                  <a:lumMod val="85000"/>
                </a:schemeClr>
              </a:solidFill>
              <a:ln w="6350" cap="flat" cmpd="sng" algn="ctr">
                <a:noFill/>
                <a:prstDash val="solid"/>
                <a:miter lim="800000"/>
              </a:ln>
              <a:effectLst/>
            </c:spPr>
            <c:extLst>
              <c:ext xmlns:c16="http://schemas.microsoft.com/office/drawing/2014/chart" uri="{C3380CC4-5D6E-409C-BE32-E72D297353CC}">
                <c16:uniqueId val="{0000000E-14FC-4FC9-AFAB-663524ECAA16}"/>
              </c:ext>
            </c:extLst>
          </c:dPt>
          <c:dPt>
            <c:idx val="14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F-14FC-4FC9-AFAB-663524ECAA16}"/>
              </c:ext>
            </c:extLst>
          </c:dPt>
          <c:dPt>
            <c:idx val="15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0-14FC-4FC9-AFAB-663524ECAA16}"/>
              </c:ext>
            </c:extLst>
          </c:dPt>
          <c:dPt>
            <c:idx val="16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1-14FC-4FC9-AFAB-663524ECAA16}"/>
              </c:ext>
            </c:extLst>
          </c:dPt>
          <c:dPt>
            <c:idx val="17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2-14FC-4FC9-AFAB-663524ECAA16}"/>
              </c:ext>
            </c:extLst>
          </c:dPt>
          <c:dPt>
            <c:idx val="18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3-14FC-4FC9-AFAB-663524ECAA16}"/>
              </c:ext>
            </c:extLst>
          </c:dPt>
          <c:dPt>
            <c:idx val="19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4-14FC-4FC9-AFAB-663524ECAA16}"/>
              </c:ext>
            </c:extLst>
          </c:dPt>
          <c:dPt>
            <c:idx val="2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5-14FC-4FC9-AFAB-663524ECAA16}"/>
              </c:ext>
            </c:extLst>
          </c:dPt>
          <c:dPt>
            <c:idx val="21"/>
            <c:invertIfNegative val="0"/>
            <c:bubble3D val="0"/>
            <c:spPr>
              <a:solidFill>
                <a:schemeClr val="tx1">
                  <a:lumMod val="50000"/>
                  <a:lumOff val="50000"/>
                </a:schemeClr>
              </a:solidFill>
              <a:ln w="6350" cap="flat" cmpd="sng" algn="ctr">
                <a:solidFill>
                  <a:schemeClr val="bg1">
                    <a:lumMod val="75000"/>
                  </a:schemeClr>
                </a:solidFill>
                <a:prstDash val="solid"/>
                <a:miter lim="800000"/>
              </a:ln>
              <a:effectLst/>
            </c:spPr>
            <c:extLst>
              <c:ext xmlns:c16="http://schemas.microsoft.com/office/drawing/2014/chart" uri="{C3380CC4-5D6E-409C-BE32-E72D297353CC}">
                <c16:uniqueId val="{00000017-14FC-4FC9-AFAB-663524ECAA16}"/>
              </c:ext>
            </c:extLst>
          </c:dPt>
          <c:dPt>
            <c:idx val="22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8-14FC-4FC9-AFAB-663524ECAA16}"/>
              </c:ext>
            </c:extLst>
          </c:dPt>
          <c:dLbls>
            <c:dLbl>
              <c:idx val="7"/>
              <c:layout>
                <c:manualLayout>
                  <c:x val="7.4377091855707756E-3"/>
                  <c:y val="-2.8183219521802198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14FC-4FC9-AFAB-663524ECAA16}"/>
                </c:ext>
              </c:extLst>
            </c:dLbl>
            <c:dLbl>
              <c:idx val="10"/>
              <c:layout>
                <c:manualLayout>
                  <c:x val="0"/>
                  <c:y val="-1.6658523745137918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14FC-4FC9-AFAB-663524ECAA1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600"/>
                </a:pPr>
                <a:endParaRPr lang="es-PE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Hoja1!$A$2:$A$47</c:f>
              <c:strCache>
                <c:ptCount val="22"/>
                <c:pt idx="0">
                  <c:v>E-20</c:v>
                </c:pt>
                <c:pt idx="1">
                  <c:v>F</c:v>
                </c:pt>
                <c:pt idx="2">
                  <c:v>M</c:v>
                </c:pt>
                <c:pt idx="3">
                  <c:v>A</c:v>
                </c:pt>
                <c:pt idx="4">
                  <c:v>M</c:v>
                </c:pt>
                <c:pt idx="5">
                  <c:v>J</c:v>
                </c:pt>
                <c:pt idx="6">
                  <c:v>Jl</c:v>
                </c:pt>
                <c:pt idx="7">
                  <c:v>A</c:v>
                </c:pt>
                <c:pt idx="8">
                  <c:v>S</c:v>
                </c:pt>
                <c:pt idx="9">
                  <c:v>O</c:v>
                </c:pt>
                <c:pt idx="10">
                  <c:v>N</c:v>
                </c:pt>
                <c:pt idx="11">
                  <c:v>D</c:v>
                </c:pt>
                <c:pt idx="12">
                  <c:v>E-21</c:v>
                </c:pt>
                <c:pt idx="13">
                  <c:v>F</c:v>
                </c:pt>
                <c:pt idx="14">
                  <c:v>M</c:v>
                </c:pt>
                <c:pt idx="15">
                  <c:v>A</c:v>
                </c:pt>
                <c:pt idx="16">
                  <c:v>M</c:v>
                </c:pt>
                <c:pt idx="17">
                  <c:v>J</c:v>
                </c:pt>
                <c:pt idx="18">
                  <c:v>Jl</c:v>
                </c:pt>
                <c:pt idx="19">
                  <c:v>A</c:v>
                </c:pt>
                <c:pt idx="20">
                  <c:v>S</c:v>
                </c:pt>
                <c:pt idx="21">
                  <c:v>O</c:v>
                </c:pt>
              </c:strCache>
            </c:strRef>
          </c:cat>
          <c:val>
            <c:numRef>
              <c:f>Hoja1!$B$2:$B$47</c:f>
              <c:numCache>
                <c:formatCode>_ * #,##0_ ;_ * \-#,##0_ ;_ * "-"??_ ;_ @_ </c:formatCode>
                <c:ptCount val="22"/>
                <c:pt idx="0">
                  <c:v>4374.6741067000012</c:v>
                </c:pt>
                <c:pt idx="1">
                  <c:v>3405.6330130799997</c:v>
                </c:pt>
                <c:pt idx="2">
                  <c:v>3854.5266706700004</c:v>
                </c:pt>
                <c:pt idx="3">
                  <c:v>4617.7957680099989</c:v>
                </c:pt>
                <c:pt idx="4">
                  <c:v>4234.6672508700003</c:v>
                </c:pt>
                <c:pt idx="5">
                  <c:v>1586.3009797</c:v>
                </c:pt>
                <c:pt idx="6">
                  <c:v>2376.6586071799998</c:v>
                </c:pt>
                <c:pt idx="7">
                  <c:v>2468</c:v>
                </c:pt>
                <c:pt idx="8">
                  <c:v>2428.5797633199995</c:v>
                </c:pt>
                <c:pt idx="9">
                  <c:v>2980.2609350100001</c:v>
                </c:pt>
                <c:pt idx="10">
                  <c:v>2781.3674293499998</c:v>
                </c:pt>
                <c:pt idx="11">
                  <c:v>3057.82783642</c:v>
                </c:pt>
                <c:pt idx="12">
                  <c:v>4471.9462622699994</c:v>
                </c:pt>
                <c:pt idx="13">
                  <c:v>3695.70754704</c:v>
                </c:pt>
                <c:pt idx="14">
                  <c:v>5752.7969224099998</c:v>
                </c:pt>
                <c:pt idx="15">
                  <c:v>8125.5638842899998</c:v>
                </c:pt>
                <c:pt idx="16">
                  <c:v>3353.3452668999994</c:v>
                </c:pt>
                <c:pt idx="17">
                  <c:v>3649.2751305399997</c:v>
                </c:pt>
                <c:pt idx="18">
                  <c:v>4165.6857682399996</c:v>
                </c:pt>
                <c:pt idx="19">
                  <c:v>3827.2850066399997</c:v>
                </c:pt>
                <c:pt idx="20">
                  <c:v>3933.3115622300002</c:v>
                </c:pt>
                <c:pt idx="21">
                  <c:v>4317.4815401069491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9-14FC-4FC9-AFAB-663524ECAA1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5"/>
        <c:overlap val="100"/>
        <c:axId val="144288000"/>
        <c:axId val="144388096"/>
      </c:barChart>
      <c:lineChart>
        <c:grouping val="standard"/>
        <c:varyColors val="0"/>
        <c:ser>
          <c:idx val="4"/>
          <c:order val="1"/>
          <c:tx>
            <c:strRef>
              <c:f>Hoja1!$C$1</c:f>
              <c:strCache>
                <c:ptCount val="1"/>
                <c:pt idx="0">
                  <c:v>Var % Real</c:v>
                </c:pt>
              </c:strCache>
            </c:strRef>
          </c:tx>
          <c:spPr>
            <a:ln w="19050">
              <a:solidFill>
                <a:srgbClr val="0070C0"/>
              </a:solidFill>
            </a:ln>
            <a:effectLst/>
          </c:spPr>
          <c:marker>
            <c:symbol val="none"/>
          </c:marker>
          <c:dLbls>
            <c:dLbl>
              <c:idx val="0"/>
              <c:layout>
                <c:manualLayout>
                  <c:x val="-4.9712008386456341E-2"/>
                  <c:y val="-0.12999019062011188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A-14FC-4FC9-AFAB-663524ECAA16}"/>
                </c:ext>
              </c:extLst>
            </c:dLbl>
            <c:dLbl>
              <c:idx val="5"/>
              <c:spPr>
                <a:noFill/>
                <a:ln>
                  <a:noFill/>
                </a:ln>
              </c:spPr>
              <c:txPr>
                <a:bodyPr/>
                <a:lstStyle/>
                <a:p>
                  <a:pPr>
                    <a:defRPr sz="600">
                      <a:solidFill>
                        <a:srgbClr val="0070C0"/>
                      </a:solidFill>
                    </a:defRPr>
                  </a:pPr>
                  <a:endParaRPr lang="es-PE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1B-14FC-4FC9-AFAB-663524ECAA16}"/>
                </c:ext>
              </c:extLst>
            </c:dLbl>
            <c:dLbl>
              <c:idx val="6"/>
              <c:spPr>
                <a:noFill/>
                <a:ln>
                  <a:noFill/>
                </a:ln>
              </c:spPr>
              <c:txPr>
                <a:bodyPr/>
                <a:lstStyle/>
                <a:p>
                  <a:pPr>
                    <a:defRPr sz="600">
                      <a:solidFill>
                        <a:srgbClr val="0070C0"/>
                      </a:solidFill>
                    </a:defRPr>
                  </a:pPr>
                  <a:endParaRPr lang="es-PE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1C-14FC-4FC9-AFAB-663524ECAA16}"/>
                </c:ext>
              </c:extLst>
            </c:dLbl>
            <c:dLbl>
              <c:idx val="7"/>
              <c:spPr>
                <a:noFill/>
                <a:ln>
                  <a:noFill/>
                </a:ln>
              </c:spPr>
              <c:txPr>
                <a:bodyPr/>
                <a:lstStyle/>
                <a:p>
                  <a:pPr>
                    <a:defRPr sz="600">
                      <a:solidFill>
                        <a:srgbClr val="0070C0"/>
                      </a:solidFill>
                    </a:defRPr>
                  </a:pPr>
                  <a:endParaRPr lang="es-PE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1D-14FC-4FC9-AFAB-663524ECAA16}"/>
                </c:ext>
              </c:extLst>
            </c:dLbl>
            <c:dLbl>
              <c:idx val="8"/>
              <c:layout>
                <c:manualLayout>
                  <c:x val="-6.1286723689103755E-2"/>
                  <c:y val="-9.151015214007349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E-14FC-4FC9-AFAB-663524ECAA16}"/>
                </c:ext>
              </c:extLst>
            </c:dLbl>
            <c:dLbl>
              <c:idx val="9"/>
              <c:layout>
                <c:manualLayout>
                  <c:x val="-6.1286723689103755E-2"/>
                  <c:y val="-7.708013771005896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F-14FC-4FC9-AFAB-663524ECAA16}"/>
                </c:ext>
              </c:extLst>
            </c:dLbl>
            <c:dLbl>
              <c:idx val="10"/>
              <c:layout>
                <c:manualLayout>
                  <c:x val="-6.1286723689103755E-2"/>
                  <c:y val="-0.1011301617600830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0-14FC-4FC9-AFAB-663524ECAA16}"/>
                </c:ext>
              </c:extLst>
            </c:dLbl>
            <c:dLbl>
              <c:idx val="12"/>
              <c:layout>
                <c:manualLayout>
                  <c:x val="-5.7763182168238641E-2"/>
                  <c:y val="-0.16847022910015041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1-14FC-4FC9-AFAB-663524ECAA16}"/>
                </c:ext>
              </c:extLst>
            </c:dLbl>
            <c:dLbl>
              <c:idx val="22"/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600" b="1">
                      <a:solidFill>
                        <a:srgbClr val="0070C0"/>
                      </a:solidFill>
                    </a:defRPr>
                  </a:pPr>
                  <a:endParaRPr lang="es-PE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22-14FC-4FC9-AFAB-663524ECAA1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600">
                    <a:solidFill>
                      <a:srgbClr val="0070C0"/>
                    </a:solidFill>
                  </a:defRPr>
                </a:pPr>
                <a:endParaRPr lang="es-PE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Hoja1!$A$2:$A$47</c:f>
              <c:strCache>
                <c:ptCount val="22"/>
                <c:pt idx="0">
                  <c:v>E-20</c:v>
                </c:pt>
                <c:pt idx="1">
                  <c:v>F</c:v>
                </c:pt>
                <c:pt idx="2">
                  <c:v>M</c:v>
                </c:pt>
                <c:pt idx="3">
                  <c:v>A</c:v>
                </c:pt>
                <c:pt idx="4">
                  <c:v>M</c:v>
                </c:pt>
                <c:pt idx="5">
                  <c:v>J</c:v>
                </c:pt>
                <c:pt idx="6">
                  <c:v>Jl</c:v>
                </c:pt>
                <c:pt idx="7">
                  <c:v>A</c:v>
                </c:pt>
                <c:pt idx="8">
                  <c:v>S</c:v>
                </c:pt>
                <c:pt idx="9">
                  <c:v>O</c:v>
                </c:pt>
                <c:pt idx="10">
                  <c:v>N</c:v>
                </c:pt>
                <c:pt idx="11">
                  <c:v>D</c:v>
                </c:pt>
                <c:pt idx="12">
                  <c:v>E-21</c:v>
                </c:pt>
                <c:pt idx="13">
                  <c:v>F</c:v>
                </c:pt>
                <c:pt idx="14">
                  <c:v>M</c:v>
                </c:pt>
                <c:pt idx="15">
                  <c:v>A</c:v>
                </c:pt>
                <c:pt idx="16">
                  <c:v>M</c:v>
                </c:pt>
                <c:pt idx="17">
                  <c:v>J</c:v>
                </c:pt>
                <c:pt idx="18">
                  <c:v>Jl</c:v>
                </c:pt>
                <c:pt idx="19">
                  <c:v>A</c:v>
                </c:pt>
                <c:pt idx="20">
                  <c:v>S</c:v>
                </c:pt>
                <c:pt idx="21">
                  <c:v>O</c:v>
                </c:pt>
              </c:strCache>
            </c:strRef>
          </c:cat>
          <c:val>
            <c:numRef>
              <c:f>Hoja1!$C$2:$C$47</c:f>
              <c:numCache>
                <c:formatCode>0.0</c:formatCode>
                <c:ptCount val="22"/>
                <c:pt idx="0">
                  <c:v>4.2232518602321356</c:v>
                </c:pt>
                <c:pt idx="1">
                  <c:v>6.6255651098421353</c:v>
                </c:pt>
                <c:pt idx="2">
                  <c:v>-24.476220479219922</c:v>
                </c:pt>
                <c:pt idx="3">
                  <c:v>-33.79917277546096</c:v>
                </c:pt>
                <c:pt idx="4">
                  <c:v>22.160349972277849</c:v>
                </c:pt>
                <c:pt idx="5">
                  <c:v>-45.337464597691515</c:v>
                </c:pt>
                <c:pt idx="6">
                  <c:v>-18.041219573235047</c:v>
                </c:pt>
                <c:pt idx="7">
                  <c:v>-14.5</c:v>
                </c:pt>
                <c:pt idx="8">
                  <c:v>-21.179374603036361</c:v>
                </c:pt>
                <c:pt idx="9">
                  <c:v>-12.543653712524726</c:v>
                </c:pt>
                <c:pt idx="10">
                  <c:v>-19.50063501790088</c:v>
                </c:pt>
                <c:pt idx="11">
                  <c:v>-5.8</c:v>
                </c:pt>
                <c:pt idx="12">
                  <c:v>-0.44023744453929314</c:v>
                </c:pt>
                <c:pt idx="13">
                  <c:v>5.9727246557977898</c:v>
                </c:pt>
                <c:pt idx="14">
                  <c:v>45.468281860599433</c:v>
                </c:pt>
                <c:pt idx="15">
                  <c:v>71.865211609365403</c:v>
                </c:pt>
                <c:pt idx="16">
                  <c:v>-22.703862969507149</c:v>
                </c:pt>
                <c:pt idx="17">
                  <c:v>122.7981489574284</c:v>
                </c:pt>
                <c:pt idx="18">
                  <c:v>68.834529969625379</c:v>
                </c:pt>
                <c:pt idx="19">
                  <c:v>47.733097800044952</c:v>
                </c:pt>
                <c:pt idx="20">
                  <c:v>53.9</c:v>
                </c:pt>
                <c:pt idx="21">
                  <c:v>36.9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23-14FC-4FC9-AFAB-663524ECAA16}"/>
            </c:ext>
          </c:extLst>
        </c:ser>
        <c:ser>
          <c:idx val="1"/>
          <c:order val="2"/>
          <c:tx>
            <c:strRef>
              <c:f>Hoja1!$D$1</c:f>
              <c:strCache>
                <c:ptCount val="1"/>
                <c:pt idx="0">
                  <c:v>Columna1</c:v>
                </c:pt>
              </c:strCache>
            </c:strRef>
          </c:tx>
          <c:spPr>
            <a:ln w="12700">
              <a:solidFill>
                <a:schemeClr val="accent1"/>
              </a:solidFill>
              <a:prstDash val="dash"/>
            </a:ln>
          </c:spPr>
          <c:marker>
            <c:symbol val="none"/>
          </c:marker>
          <c:cat>
            <c:strRef>
              <c:f>Hoja1!$A$2:$A$47</c:f>
              <c:strCache>
                <c:ptCount val="22"/>
                <c:pt idx="0">
                  <c:v>E-20</c:v>
                </c:pt>
                <c:pt idx="1">
                  <c:v>F</c:v>
                </c:pt>
                <c:pt idx="2">
                  <c:v>M</c:v>
                </c:pt>
                <c:pt idx="3">
                  <c:v>A</c:v>
                </c:pt>
                <c:pt idx="4">
                  <c:v>M</c:v>
                </c:pt>
                <c:pt idx="5">
                  <c:v>J</c:v>
                </c:pt>
                <c:pt idx="6">
                  <c:v>Jl</c:v>
                </c:pt>
                <c:pt idx="7">
                  <c:v>A</c:v>
                </c:pt>
                <c:pt idx="8">
                  <c:v>S</c:v>
                </c:pt>
                <c:pt idx="9">
                  <c:v>O</c:v>
                </c:pt>
                <c:pt idx="10">
                  <c:v>N</c:v>
                </c:pt>
                <c:pt idx="11">
                  <c:v>D</c:v>
                </c:pt>
                <c:pt idx="12">
                  <c:v>E-21</c:v>
                </c:pt>
                <c:pt idx="13">
                  <c:v>F</c:v>
                </c:pt>
                <c:pt idx="14">
                  <c:v>M</c:v>
                </c:pt>
                <c:pt idx="15">
                  <c:v>A</c:v>
                </c:pt>
                <c:pt idx="16">
                  <c:v>M</c:v>
                </c:pt>
                <c:pt idx="17">
                  <c:v>J</c:v>
                </c:pt>
                <c:pt idx="18">
                  <c:v>Jl</c:v>
                </c:pt>
                <c:pt idx="19">
                  <c:v>A</c:v>
                </c:pt>
                <c:pt idx="20">
                  <c:v>S</c:v>
                </c:pt>
                <c:pt idx="21">
                  <c:v>O</c:v>
                </c:pt>
              </c:strCache>
            </c:strRef>
          </c:cat>
          <c:val>
            <c:numRef>
              <c:f>Hoja1!$D$2:$D$47</c:f>
              <c:numCache>
                <c:formatCode>General</c:formatCode>
                <c:ptCount val="22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24-14FC-4FC9-AFAB-663524ECAA1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44389632"/>
        <c:axId val="144391168"/>
      </c:lineChart>
      <c:catAx>
        <c:axId val="144288000"/>
        <c:scaling>
          <c:orientation val="minMax"/>
        </c:scaling>
        <c:delete val="0"/>
        <c:axPos val="b"/>
        <c:numFmt formatCode="mmm\-yy" sourceLinked="0"/>
        <c:majorTickMark val="none"/>
        <c:minorTickMark val="none"/>
        <c:tickLblPos val="nextTo"/>
        <c:txPr>
          <a:bodyPr rot="0" vert="horz"/>
          <a:lstStyle/>
          <a:p>
            <a:pPr>
              <a:defRPr sz="700"/>
            </a:pPr>
            <a:endParaRPr lang="es-PE"/>
          </a:p>
        </c:txPr>
        <c:crossAx val="144388096"/>
        <c:crosses val="autoZero"/>
        <c:auto val="1"/>
        <c:lblAlgn val="ctr"/>
        <c:lblOffset val="100"/>
        <c:noMultiLvlLbl val="1"/>
      </c:catAx>
      <c:valAx>
        <c:axId val="144388096"/>
        <c:scaling>
          <c:orientation val="minMax"/>
          <c:min val="0"/>
        </c:scaling>
        <c:delete val="0"/>
        <c:axPos val="l"/>
        <c:numFmt formatCode="#,##0" sourceLinked="0"/>
        <c:majorTickMark val="none"/>
        <c:minorTickMark val="none"/>
        <c:tickLblPos val="nextTo"/>
        <c:spPr>
          <a:ln w="8578">
            <a:solidFill>
              <a:schemeClr val="tx1">
                <a:alpha val="66000"/>
              </a:schemeClr>
            </a:solidFill>
          </a:ln>
        </c:spPr>
        <c:txPr>
          <a:bodyPr/>
          <a:lstStyle/>
          <a:p>
            <a:pPr>
              <a:defRPr sz="700"/>
            </a:pPr>
            <a:endParaRPr lang="es-PE"/>
          </a:p>
        </c:txPr>
        <c:crossAx val="144288000"/>
        <c:crosses val="autoZero"/>
        <c:crossBetween val="between"/>
      </c:valAx>
      <c:catAx>
        <c:axId val="144389632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44391168"/>
        <c:crosses val="autoZero"/>
        <c:auto val="1"/>
        <c:lblAlgn val="ctr"/>
        <c:lblOffset val="100"/>
        <c:noMultiLvlLbl val="1"/>
      </c:catAx>
      <c:valAx>
        <c:axId val="144391168"/>
        <c:scaling>
          <c:orientation val="minMax"/>
        </c:scaling>
        <c:delete val="0"/>
        <c:axPos val="r"/>
        <c:numFmt formatCode="0" sourceLinked="0"/>
        <c:majorTickMark val="out"/>
        <c:minorTickMark val="none"/>
        <c:tickLblPos val="nextTo"/>
        <c:txPr>
          <a:bodyPr/>
          <a:lstStyle/>
          <a:p>
            <a:pPr>
              <a:defRPr sz="700"/>
            </a:pPr>
            <a:endParaRPr lang="es-PE"/>
          </a:p>
        </c:txPr>
        <c:crossAx val="144389632"/>
        <c:crosses val="max"/>
        <c:crossBetween val="between"/>
      </c:valAx>
      <c:spPr>
        <a:noFill/>
        <a:ln w="22874">
          <a:noFill/>
        </a:ln>
      </c:spPr>
    </c:plotArea>
    <c:legend>
      <c:legendPos val="b"/>
      <c:legendEntry>
        <c:idx val="2"/>
        <c:delete val="1"/>
      </c:legendEntry>
      <c:layout>
        <c:manualLayout>
          <c:xMode val="edge"/>
          <c:yMode val="edge"/>
          <c:x val="0.22749463401492812"/>
          <c:y val="0.91880780803459638"/>
          <c:w val="0.60319235848586983"/>
          <c:h val="7.0811307184264732E-2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800" baseline="0">
          <a:solidFill>
            <a:schemeClr val="tx1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es-PE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l">
              <a:defRPr sz="1000"/>
            </a:pPr>
            <a:r>
              <a:rPr lang="es-PE" sz="1000" dirty="0"/>
              <a:t>Impuesto General a las</a:t>
            </a:r>
            <a:r>
              <a:rPr lang="es-PE" sz="1000" baseline="0" dirty="0"/>
              <a:t> Ventas</a:t>
            </a:r>
            <a:r>
              <a:rPr lang="es-PE" sz="1000" dirty="0"/>
              <a:t>: 2020 - 2021 </a:t>
            </a:r>
          </a:p>
          <a:p>
            <a:pPr algn="l">
              <a:defRPr sz="1000"/>
            </a:pPr>
            <a:r>
              <a:rPr lang="es-PE" sz="1000" b="0" dirty="0"/>
              <a:t>En millones de soles y Var. % real anual </a:t>
            </a:r>
          </a:p>
        </c:rich>
      </c:tx>
      <c:layout>
        <c:manualLayout>
          <c:xMode val="edge"/>
          <c:yMode val="edge"/>
          <c:x val="1.5008859933117487E-2"/>
          <c:y val="1.0522302190736191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2527972074556673"/>
          <c:y val="0.20892182271403034"/>
          <c:w val="0.77181208053691219"/>
          <c:h val="0.52386966947277702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Recaudación</c:v>
                </c:pt>
              </c:strCache>
            </c:strRef>
          </c:tx>
          <c:spPr>
            <a:solidFill>
              <a:schemeClr val="bg1">
                <a:lumMod val="85000"/>
              </a:schemeClr>
            </a:solidFill>
            <a:ln w="6350" cap="flat" cmpd="sng" algn="ctr">
              <a:solidFill>
                <a:schemeClr val="bg1">
                  <a:lumMod val="75000"/>
                </a:schemeClr>
              </a:solidFill>
              <a:prstDash val="solid"/>
              <a:miter lim="800000"/>
            </a:ln>
            <a:effectLst/>
          </c:spPr>
          <c:invertIfNegative val="0"/>
          <c:dPt>
            <c:idx val="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0-802E-4EB9-B664-1568073CC486}"/>
              </c:ext>
            </c:extLst>
          </c:dPt>
          <c:dPt>
            <c:idx val="1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1-802E-4EB9-B664-1568073CC486}"/>
              </c:ext>
            </c:extLst>
          </c:dPt>
          <c:dPt>
            <c:idx val="2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2-802E-4EB9-B664-1568073CC486}"/>
              </c:ext>
            </c:extLst>
          </c:dPt>
          <c:dPt>
            <c:idx val="3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3-802E-4EB9-B664-1568073CC486}"/>
              </c:ext>
            </c:extLst>
          </c:dPt>
          <c:dPt>
            <c:idx val="4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4-802E-4EB9-B664-1568073CC486}"/>
              </c:ext>
            </c:extLst>
          </c:dPt>
          <c:dPt>
            <c:idx val="5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5-802E-4EB9-B664-1568073CC486}"/>
              </c:ext>
            </c:extLst>
          </c:dPt>
          <c:dPt>
            <c:idx val="6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6-802E-4EB9-B664-1568073CC486}"/>
              </c:ext>
            </c:extLst>
          </c:dPt>
          <c:dPt>
            <c:idx val="7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7-802E-4EB9-B664-1568073CC486}"/>
              </c:ext>
            </c:extLst>
          </c:dPt>
          <c:dPt>
            <c:idx val="8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8-802E-4EB9-B664-1568073CC486}"/>
              </c:ext>
            </c:extLst>
          </c:dPt>
          <c:dPt>
            <c:idx val="9"/>
            <c:invertIfNegative val="0"/>
            <c:bubble3D val="0"/>
            <c:spPr>
              <a:solidFill>
                <a:schemeClr val="tx1">
                  <a:lumMod val="50000"/>
                  <a:lumOff val="50000"/>
                </a:schemeClr>
              </a:solidFill>
              <a:ln w="6350" cap="flat" cmpd="sng" algn="ctr">
                <a:solidFill>
                  <a:schemeClr val="bg1">
                    <a:lumMod val="75000"/>
                  </a:schemeClr>
                </a:solidFill>
                <a:prstDash val="solid"/>
                <a:miter lim="800000"/>
              </a:ln>
              <a:effectLst/>
            </c:spPr>
            <c:extLst>
              <c:ext xmlns:c16="http://schemas.microsoft.com/office/drawing/2014/chart" uri="{C3380CC4-5D6E-409C-BE32-E72D297353CC}">
                <c16:uniqueId val="{0000000A-802E-4EB9-B664-1568073CC486}"/>
              </c:ext>
            </c:extLst>
          </c:dPt>
          <c:dPt>
            <c:idx val="1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B-802E-4EB9-B664-1568073CC486}"/>
              </c:ext>
            </c:extLst>
          </c:dPt>
          <c:dPt>
            <c:idx val="12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C-802E-4EB9-B664-1568073CC486}"/>
              </c:ext>
            </c:extLst>
          </c:dPt>
          <c:dPt>
            <c:idx val="13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D-802E-4EB9-B664-1568073CC486}"/>
              </c:ext>
            </c:extLst>
          </c:dPt>
          <c:dPt>
            <c:idx val="14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E-802E-4EB9-B664-1568073CC486}"/>
              </c:ext>
            </c:extLst>
          </c:dPt>
          <c:dPt>
            <c:idx val="15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F-802E-4EB9-B664-1568073CC486}"/>
              </c:ext>
            </c:extLst>
          </c:dPt>
          <c:dPt>
            <c:idx val="16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0-802E-4EB9-B664-1568073CC486}"/>
              </c:ext>
            </c:extLst>
          </c:dPt>
          <c:dPt>
            <c:idx val="17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1-802E-4EB9-B664-1568073CC486}"/>
              </c:ext>
            </c:extLst>
          </c:dPt>
          <c:dPt>
            <c:idx val="18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2-802E-4EB9-B664-1568073CC486}"/>
              </c:ext>
            </c:extLst>
          </c:dPt>
          <c:dPt>
            <c:idx val="19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3-802E-4EB9-B664-1568073CC486}"/>
              </c:ext>
            </c:extLst>
          </c:dPt>
          <c:dPt>
            <c:idx val="2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4-802E-4EB9-B664-1568073CC486}"/>
              </c:ext>
            </c:extLst>
          </c:dPt>
          <c:dPt>
            <c:idx val="21"/>
            <c:invertIfNegative val="0"/>
            <c:bubble3D val="0"/>
            <c:spPr>
              <a:solidFill>
                <a:schemeClr val="tx1">
                  <a:lumMod val="50000"/>
                  <a:lumOff val="50000"/>
                </a:schemeClr>
              </a:solidFill>
              <a:ln w="6350" cap="flat" cmpd="sng" algn="ctr">
                <a:solidFill>
                  <a:schemeClr val="bg1">
                    <a:lumMod val="75000"/>
                  </a:schemeClr>
                </a:solidFill>
                <a:prstDash val="solid"/>
                <a:miter lim="800000"/>
              </a:ln>
              <a:effectLst/>
            </c:spPr>
            <c:extLst>
              <c:ext xmlns:c16="http://schemas.microsoft.com/office/drawing/2014/chart" uri="{C3380CC4-5D6E-409C-BE32-E72D297353CC}">
                <c16:uniqueId val="{00000016-802E-4EB9-B664-1568073CC486}"/>
              </c:ext>
            </c:extLst>
          </c:dPt>
          <c:dPt>
            <c:idx val="22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7-802E-4EB9-B664-1568073CC486}"/>
              </c:ext>
            </c:extLst>
          </c:dPt>
          <c:dLbls>
            <c:dLbl>
              <c:idx val="4"/>
              <c:layout>
                <c:manualLayout>
                  <c:x val="0"/>
                  <c:y val="-6.6380764904386949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802E-4EB9-B664-1568073CC486}"/>
                </c:ext>
              </c:extLst>
            </c:dLbl>
            <c:dLbl>
              <c:idx val="10"/>
              <c:layout>
                <c:manualLayout>
                  <c:x val="-6.2655917797500993E-17"/>
                  <c:y val="-0.17346855080614929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802E-4EB9-B664-1568073CC486}"/>
                </c:ext>
              </c:extLst>
            </c:dLbl>
            <c:dLbl>
              <c:idx val="14"/>
              <c:layout>
                <c:manualLayout>
                  <c:x val="0"/>
                  <c:y val="-0.20364134170728659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802E-4EB9-B664-1568073CC486}"/>
                </c:ext>
              </c:extLst>
            </c:dLbl>
            <c:dLbl>
              <c:idx val="15"/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600" b="0"/>
                  </a:pPr>
                  <a:endParaRPr lang="es-PE"/>
                </a:p>
              </c:txPr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F-802E-4EB9-B664-1568073CC486}"/>
                </c:ext>
              </c:extLst>
            </c:dLbl>
            <c:dLbl>
              <c:idx val="16"/>
              <c:layout>
                <c:manualLayout>
                  <c:x val="0"/>
                  <c:y val="-0.20463535808023997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600" b="0"/>
                  </a:pPr>
                  <a:endParaRPr lang="es-PE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802E-4EB9-B664-1568073CC486}"/>
                </c:ext>
              </c:extLst>
            </c:dLbl>
            <c:dLbl>
              <c:idx val="17"/>
              <c:layout>
                <c:manualLayout>
                  <c:x val="0"/>
                  <c:y val="-0.23519169478815147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600" b="0"/>
                  </a:pPr>
                  <a:endParaRPr lang="es-PE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802E-4EB9-B664-1568073CC486}"/>
                </c:ext>
              </c:extLst>
            </c:dLbl>
            <c:dLbl>
              <c:idx val="18"/>
              <c:layout>
                <c:manualLayout>
                  <c:x val="3.4176349965823649E-3"/>
                  <c:y val="-0.25781738220222478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600" b="1"/>
                  </a:pPr>
                  <a:endParaRPr lang="es-PE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802E-4EB9-B664-1568073CC486}"/>
                </c:ext>
              </c:extLst>
            </c:dLbl>
            <c:dLbl>
              <c:idx val="19"/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600" b="0"/>
                  </a:pPr>
                  <a:endParaRPr lang="es-PE"/>
                </a:p>
              </c:txPr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13-802E-4EB9-B664-1568073CC486}"/>
                </c:ext>
              </c:extLst>
            </c:dLbl>
            <c:dLbl>
              <c:idx val="20"/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600" b="0"/>
                  </a:pPr>
                  <a:endParaRPr lang="es-PE"/>
                </a:p>
              </c:txPr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14-802E-4EB9-B664-1568073CC486}"/>
                </c:ext>
              </c:extLst>
            </c:dLbl>
            <c:dLbl>
              <c:idx val="21"/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600" b="0"/>
                  </a:pPr>
                  <a:endParaRPr lang="es-PE"/>
                </a:p>
              </c:txPr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16-802E-4EB9-B664-1568073CC48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600"/>
                </a:pPr>
                <a:endParaRPr lang="es-PE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Hoja1!$A$2:$A$35</c:f>
              <c:strCache>
                <c:ptCount val="22"/>
                <c:pt idx="0">
                  <c:v>E-20</c:v>
                </c:pt>
                <c:pt idx="1">
                  <c:v>F</c:v>
                </c:pt>
                <c:pt idx="2">
                  <c:v>M</c:v>
                </c:pt>
                <c:pt idx="3">
                  <c:v>A</c:v>
                </c:pt>
                <c:pt idx="4">
                  <c:v>M</c:v>
                </c:pt>
                <c:pt idx="5">
                  <c:v>J</c:v>
                </c:pt>
                <c:pt idx="6">
                  <c:v>Jl</c:v>
                </c:pt>
                <c:pt idx="7">
                  <c:v>A</c:v>
                </c:pt>
                <c:pt idx="8">
                  <c:v>S</c:v>
                </c:pt>
                <c:pt idx="9">
                  <c:v>O</c:v>
                </c:pt>
                <c:pt idx="10">
                  <c:v>N</c:v>
                </c:pt>
                <c:pt idx="11">
                  <c:v>D</c:v>
                </c:pt>
                <c:pt idx="12">
                  <c:v>E-21</c:v>
                </c:pt>
                <c:pt idx="13">
                  <c:v>F</c:v>
                </c:pt>
                <c:pt idx="14">
                  <c:v>M</c:v>
                </c:pt>
                <c:pt idx="15">
                  <c:v>A</c:v>
                </c:pt>
                <c:pt idx="16">
                  <c:v>M</c:v>
                </c:pt>
                <c:pt idx="17">
                  <c:v>J</c:v>
                </c:pt>
                <c:pt idx="18">
                  <c:v>Jl</c:v>
                </c:pt>
                <c:pt idx="19">
                  <c:v>A</c:v>
                </c:pt>
                <c:pt idx="20">
                  <c:v>S</c:v>
                </c:pt>
                <c:pt idx="21">
                  <c:v>O</c:v>
                </c:pt>
              </c:strCache>
            </c:strRef>
          </c:cat>
          <c:val>
            <c:numRef>
              <c:f>Hoja1!$B$2:$B$35</c:f>
              <c:numCache>
                <c:formatCode>_ * #,##0_ ;_ * \-#,##0_ ;_ * "-"??_ ;_ @_ </c:formatCode>
                <c:ptCount val="22"/>
                <c:pt idx="0">
                  <c:v>6391.5114638523028</c:v>
                </c:pt>
                <c:pt idx="1">
                  <c:v>4870.2744353131893</c:v>
                </c:pt>
                <c:pt idx="2">
                  <c:v>4199.875697667133</c:v>
                </c:pt>
                <c:pt idx="3">
                  <c:v>3378.3405757523519</c:v>
                </c:pt>
                <c:pt idx="4">
                  <c:v>3225.1799514972463</c:v>
                </c:pt>
                <c:pt idx="5">
                  <c:v>3327.194928379643</c:v>
                </c:pt>
                <c:pt idx="6">
                  <c:v>4042.6596511015105</c:v>
                </c:pt>
                <c:pt idx="7">
                  <c:v>4480.2344804468457</c:v>
                </c:pt>
                <c:pt idx="8">
                  <c:v>4858.4086839540323</c:v>
                </c:pt>
                <c:pt idx="9">
                  <c:v>5201.2314685411893</c:v>
                </c:pt>
                <c:pt idx="10">
                  <c:v>5424.2201257003671</c:v>
                </c:pt>
                <c:pt idx="11">
                  <c:v>5982.032508754648</c:v>
                </c:pt>
                <c:pt idx="12">
                  <c:v>6343.689357698393</c:v>
                </c:pt>
                <c:pt idx="13">
                  <c:v>5623.6288904024132</c:v>
                </c:pt>
                <c:pt idx="14">
                  <c:v>6093.3190117378563</c:v>
                </c:pt>
                <c:pt idx="15">
                  <c:v>5906.2370168636116</c:v>
                </c:pt>
                <c:pt idx="16">
                  <c:v>6022.1384266739296</c:v>
                </c:pt>
                <c:pt idx="17">
                  <c:v>6170.4570452325497</c:v>
                </c:pt>
                <c:pt idx="18">
                  <c:v>6235.3764663249312</c:v>
                </c:pt>
                <c:pt idx="19">
                  <c:v>7004.1239552114912</c:v>
                </c:pt>
                <c:pt idx="20">
                  <c:v>6861.4114348599996</c:v>
                </c:pt>
                <c:pt idx="21">
                  <c:v>6566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8-802E-4EB9-B664-1568073CC48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5"/>
        <c:overlap val="100"/>
        <c:axId val="144871808"/>
        <c:axId val="144873344"/>
      </c:barChart>
      <c:lineChart>
        <c:grouping val="standard"/>
        <c:varyColors val="0"/>
        <c:ser>
          <c:idx val="4"/>
          <c:order val="1"/>
          <c:tx>
            <c:strRef>
              <c:f>Hoja1!$C$1</c:f>
              <c:strCache>
                <c:ptCount val="1"/>
                <c:pt idx="0">
                  <c:v>Var % Real</c:v>
                </c:pt>
              </c:strCache>
            </c:strRef>
          </c:tx>
          <c:spPr>
            <a:ln w="19050">
              <a:solidFill>
                <a:srgbClr val="0070C0"/>
              </a:solidFill>
            </a:ln>
            <a:effectLst/>
          </c:spPr>
          <c:marker>
            <c:symbol val="none"/>
          </c:marker>
          <c:dLbls>
            <c:dLbl>
              <c:idx val="5"/>
              <c:spPr>
                <a:noFill/>
                <a:ln>
                  <a:noFill/>
                </a:ln>
              </c:spPr>
              <c:txPr>
                <a:bodyPr/>
                <a:lstStyle/>
                <a:p>
                  <a:pPr>
                    <a:defRPr sz="600" b="0">
                      <a:solidFill>
                        <a:srgbClr val="0070C0"/>
                      </a:solidFill>
                    </a:defRPr>
                  </a:pPr>
                  <a:endParaRPr lang="es-PE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19-802E-4EB9-B664-1568073CC486}"/>
                </c:ext>
              </c:extLst>
            </c:dLbl>
            <c:dLbl>
              <c:idx val="6"/>
              <c:layout>
                <c:manualLayout>
                  <c:x val="-5.5126275296872446E-2"/>
                  <c:y val="-0.11970583273503368"/>
                </c:manualLayout>
              </c:layout>
              <c:spPr>
                <a:noFill/>
                <a:ln>
                  <a:noFill/>
                </a:ln>
              </c:spPr>
              <c:txPr>
                <a:bodyPr/>
                <a:lstStyle/>
                <a:p>
                  <a:pPr>
                    <a:defRPr sz="600" b="0">
                      <a:solidFill>
                        <a:srgbClr val="0070C0"/>
                      </a:solidFill>
                    </a:defRPr>
                  </a:pPr>
                  <a:endParaRPr lang="es-PE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A-802E-4EB9-B664-1568073CC486}"/>
                </c:ext>
              </c:extLst>
            </c:dLbl>
            <c:dLbl>
              <c:idx val="7"/>
              <c:spPr>
                <a:noFill/>
                <a:ln>
                  <a:noFill/>
                </a:ln>
              </c:spPr>
              <c:txPr>
                <a:bodyPr/>
                <a:lstStyle/>
                <a:p>
                  <a:pPr>
                    <a:defRPr sz="600" b="0">
                      <a:solidFill>
                        <a:srgbClr val="0070C0"/>
                      </a:solidFill>
                    </a:defRPr>
                  </a:pPr>
                  <a:endParaRPr lang="es-PE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1B-802E-4EB9-B664-1568073CC486}"/>
                </c:ext>
              </c:extLst>
            </c:dLbl>
            <c:dLbl>
              <c:idx val="12"/>
              <c:layout>
                <c:manualLayout>
                  <c:x val="-4.5001910646336671E-2"/>
                  <c:y val="-7.414424759405079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5.9244837218314216E-2"/>
                      <c:h val="6.3963488938882637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1C-802E-4EB9-B664-1568073CC486}"/>
                </c:ext>
              </c:extLst>
            </c:dLbl>
            <c:dLbl>
              <c:idx val="16"/>
              <c:layout>
                <c:manualLayout>
                  <c:x val="-4.8991932228567125E-2"/>
                  <c:y val="-5.678313648293965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D-802E-4EB9-B664-1568073CC486}"/>
                </c:ext>
              </c:extLst>
            </c:dLbl>
            <c:dLbl>
              <c:idx val="17"/>
              <c:layout>
                <c:manualLayout>
                  <c:x val="-4.8991932228567125E-2"/>
                  <c:y val="-4.190218410198725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E-802E-4EB9-B664-1568073CC486}"/>
                </c:ext>
              </c:extLst>
            </c:dLbl>
            <c:dLbl>
              <c:idx val="18"/>
              <c:layout>
                <c:manualLayout>
                  <c:x val="-4.8991932228567125E-2"/>
                  <c:y val="2.258194288213968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F-802E-4EB9-B664-1568073CC486}"/>
                </c:ext>
              </c:extLst>
            </c:dLbl>
            <c:dLbl>
              <c:idx val="19"/>
              <c:layout>
                <c:manualLayout>
                  <c:x val="-4.8991528570890487E-2"/>
                  <c:y val="-2.702123172103491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6.0389610389610382E-2"/>
                      <c:h val="7.8844441319835021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20-802E-4EB9-B664-1568073CC486}"/>
                </c:ext>
              </c:extLst>
            </c:dLbl>
            <c:dLbl>
              <c:idx val="22"/>
              <c:spPr>
                <a:noFill/>
                <a:ln>
                  <a:noFill/>
                </a:ln>
                <a:effectLst/>
              </c:spPr>
              <c:txPr>
                <a:bodyPr/>
                <a:lstStyle/>
                <a:p>
                  <a:pPr>
                    <a:defRPr sz="600" b="1">
                      <a:solidFill>
                        <a:srgbClr val="0070C0"/>
                      </a:solidFill>
                    </a:defRPr>
                  </a:pPr>
                  <a:endParaRPr lang="es-PE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21-802E-4EB9-B664-1568073CC48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600" b="0">
                    <a:solidFill>
                      <a:srgbClr val="0070C0"/>
                    </a:solidFill>
                  </a:defRPr>
                </a:pPr>
                <a:endParaRPr lang="es-PE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Hoja1!$A$2:$A$35</c:f>
              <c:strCache>
                <c:ptCount val="22"/>
                <c:pt idx="0">
                  <c:v>E-20</c:v>
                </c:pt>
                <c:pt idx="1">
                  <c:v>F</c:v>
                </c:pt>
                <c:pt idx="2">
                  <c:v>M</c:v>
                </c:pt>
                <c:pt idx="3">
                  <c:v>A</c:v>
                </c:pt>
                <c:pt idx="4">
                  <c:v>M</c:v>
                </c:pt>
                <c:pt idx="5">
                  <c:v>J</c:v>
                </c:pt>
                <c:pt idx="6">
                  <c:v>Jl</c:v>
                </c:pt>
                <c:pt idx="7">
                  <c:v>A</c:v>
                </c:pt>
                <c:pt idx="8">
                  <c:v>S</c:v>
                </c:pt>
                <c:pt idx="9">
                  <c:v>O</c:v>
                </c:pt>
                <c:pt idx="10">
                  <c:v>N</c:v>
                </c:pt>
                <c:pt idx="11">
                  <c:v>D</c:v>
                </c:pt>
                <c:pt idx="12">
                  <c:v>E-21</c:v>
                </c:pt>
                <c:pt idx="13">
                  <c:v>F</c:v>
                </c:pt>
                <c:pt idx="14">
                  <c:v>M</c:v>
                </c:pt>
                <c:pt idx="15">
                  <c:v>A</c:v>
                </c:pt>
                <c:pt idx="16">
                  <c:v>M</c:v>
                </c:pt>
                <c:pt idx="17">
                  <c:v>J</c:v>
                </c:pt>
                <c:pt idx="18">
                  <c:v>Jl</c:v>
                </c:pt>
                <c:pt idx="19">
                  <c:v>A</c:v>
                </c:pt>
                <c:pt idx="20">
                  <c:v>S</c:v>
                </c:pt>
                <c:pt idx="21">
                  <c:v>O</c:v>
                </c:pt>
              </c:strCache>
            </c:strRef>
          </c:cat>
          <c:val>
            <c:numRef>
              <c:f>Hoja1!$C$2:$C$35</c:f>
              <c:numCache>
                <c:formatCode>0.0</c:formatCode>
                <c:ptCount val="22"/>
                <c:pt idx="0">
                  <c:v>0.73769622467543261</c:v>
                </c:pt>
                <c:pt idx="1">
                  <c:v>-3.3958150736572601</c:v>
                </c:pt>
                <c:pt idx="2">
                  <c:v>-11.166070425158436</c:v>
                </c:pt>
                <c:pt idx="3">
                  <c:v>-35.44265016540826</c:v>
                </c:pt>
                <c:pt idx="4">
                  <c:v>-39.43674097679186</c:v>
                </c:pt>
                <c:pt idx="5">
                  <c:v>-35.789925093549492</c:v>
                </c:pt>
                <c:pt idx="6">
                  <c:v>-22.688331382977857</c:v>
                </c:pt>
                <c:pt idx="7">
                  <c:v>-16.899999999999999</c:v>
                </c:pt>
                <c:pt idx="8">
                  <c:v>-11.687971100432071</c:v>
                </c:pt>
                <c:pt idx="9">
                  <c:v>-4.2059697869550554</c:v>
                </c:pt>
                <c:pt idx="10">
                  <c:v>-2.4858162510627113</c:v>
                </c:pt>
                <c:pt idx="11">
                  <c:v>5</c:v>
                </c:pt>
                <c:pt idx="12">
                  <c:v>-3.3345410138964082</c:v>
                </c:pt>
                <c:pt idx="13">
                  <c:v>12.760649894470767</c:v>
                </c:pt>
                <c:pt idx="14">
                  <c:v>41.409243852701707</c:v>
                </c:pt>
                <c:pt idx="15">
                  <c:v>70.756258878755148</c:v>
                </c:pt>
                <c:pt idx="16">
                  <c:v>82.261773333039812</c:v>
                </c:pt>
                <c:pt idx="17">
                  <c:v>79.609643704005435</c:v>
                </c:pt>
                <c:pt idx="18">
                  <c:v>48.618547859661106</c:v>
                </c:pt>
                <c:pt idx="19">
                  <c:v>48.96834598000077</c:v>
                </c:pt>
                <c:pt idx="20">
                  <c:v>34.200000000000003</c:v>
                </c:pt>
                <c:pt idx="21">
                  <c:v>19.3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22-802E-4EB9-B664-1568073CC486}"/>
            </c:ext>
          </c:extLst>
        </c:ser>
        <c:ser>
          <c:idx val="1"/>
          <c:order val="2"/>
          <c:tx>
            <c:strRef>
              <c:f>Hoja1!$D$1</c:f>
              <c:strCache>
                <c:ptCount val="1"/>
                <c:pt idx="0">
                  <c:v>Columna1</c:v>
                </c:pt>
              </c:strCache>
            </c:strRef>
          </c:tx>
          <c:spPr>
            <a:ln w="12700">
              <a:solidFill>
                <a:schemeClr val="accent1"/>
              </a:solidFill>
              <a:prstDash val="dash"/>
            </a:ln>
          </c:spPr>
          <c:marker>
            <c:symbol val="none"/>
          </c:marker>
          <c:cat>
            <c:strRef>
              <c:f>Hoja1!$A$2:$A$35</c:f>
              <c:strCache>
                <c:ptCount val="22"/>
                <c:pt idx="0">
                  <c:v>E-20</c:v>
                </c:pt>
                <c:pt idx="1">
                  <c:v>F</c:v>
                </c:pt>
                <c:pt idx="2">
                  <c:v>M</c:v>
                </c:pt>
                <c:pt idx="3">
                  <c:v>A</c:v>
                </c:pt>
                <c:pt idx="4">
                  <c:v>M</c:v>
                </c:pt>
                <c:pt idx="5">
                  <c:v>J</c:v>
                </c:pt>
                <c:pt idx="6">
                  <c:v>Jl</c:v>
                </c:pt>
                <c:pt idx="7">
                  <c:v>A</c:v>
                </c:pt>
                <c:pt idx="8">
                  <c:v>S</c:v>
                </c:pt>
                <c:pt idx="9">
                  <c:v>O</c:v>
                </c:pt>
                <c:pt idx="10">
                  <c:v>N</c:v>
                </c:pt>
                <c:pt idx="11">
                  <c:v>D</c:v>
                </c:pt>
                <c:pt idx="12">
                  <c:v>E-21</c:v>
                </c:pt>
                <c:pt idx="13">
                  <c:v>F</c:v>
                </c:pt>
                <c:pt idx="14">
                  <c:v>M</c:v>
                </c:pt>
                <c:pt idx="15">
                  <c:v>A</c:v>
                </c:pt>
                <c:pt idx="16">
                  <c:v>M</c:v>
                </c:pt>
                <c:pt idx="17">
                  <c:v>J</c:v>
                </c:pt>
                <c:pt idx="18">
                  <c:v>Jl</c:v>
                </c:pt>
                <c:pt idx="19">
                  <c:v>A</c:v>
                </c:pt>
                <c:pt idx="20">
                  <c:v>S</c:v>
                </c:pt>
                <c:pt idx="21">
                  <c:v>O</c:v>
                </c:pt>
              </c:strCache>
            </c:strRef>
          </c:cat>
          <c:val>
            <c:numRef>
              <c:f>Hoja1!$D$2:$D$35</c:f>
              <c:numCache>
                <c:formatCode>General</c:formatCode>
                <c:ptCount val="22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23-802E-4EB9-B664-1568073CC48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44874880"/>
        <c:axId val="147063936"/>
      </c:lineChart>
      <c:catAx>
        <c:axId val="144871808"/>
        <c:scaling>
          <c:orientation val="minMax"/>
        </c:scaling>
        <c:delete val="0"/>
        <c:axPos val="b"/>
        <c:numFmt formatCode="mmm\-yy" sourceLinked="0"/>
        <c:majorTickMark val="none"/>
        <c:minorTickMark val="none"/>
        <c:tickLblPos val="nextTo"/>
        <c:txPr>
          <a:bodyPr rot="0" vert="horz"/>
          <a:lstStyle/>
          <a:p>
            <a:pPr>
              <a:defRPr sz="700"/>
            </a:pPr>
            <a:endParaRPr lang="es-PE"/>
          </a:p>
        </c:txPr>
        <c:crossAx val="144873344"/>
        <c:crosses val="autoZero"/>
        <c:auto val="1"/>
        <c:lblAlgn val="ctr"/>
        <c:lblOffset val="100"/>
        <c:noMultiLvlLbl val="1"/>
      </c:catAx>
      <c:valAx>
        <c:axId val="144873344"/>
        <c:scaling>
          <c:orientation val="minMax"/>
          <c:min val="0"/>
        </c:scaling>
        <c:delete val="0"/>
        <c:axPos val="l"/>
        <c:numFmt formatCode="#,##0" sourceLinked="0"/>
        <c:majorTickMark val="none"/>
        <c:minorTickMark val="none"/>
        <c:tickLblPos val="nextTo"/>
        <c:spPr>
          <a:ln w="8578">
            <a:solidFill>
              <a:schemeClr val="tx1">
                <a:alpha val="66000"/>
              </a:schemeClr>
            </a:solidFill>
          </a:ln>
        </c:spPr>
        <c:txPr>
          <a:bodyPr/>
          <a:lstStyle/>
          <a:p>
            <a:pPr>
              <a:defRPr sz="700"/>
            </a:pPr>
            <a:endParaRPr lang="es-PE"/>
          </a:p>
        </c:txPr>
        <c:crossAx val="144871808"/>
        <c:crosses val="autoZero"/>
        <c:crossBetween val="between"/>
      </c:valAx>
      <c:catAx>
        <c:axId val="144874880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47063936"/>
        <c:crosses val="autoZero"/>
        <c:auto val="1"/>
        <c:lblAlgn val="ctr"/>
        <c:lblOffset val="100"/>
        <c:noMultiLvlLbl val="1"/>
      </c:catAx>
      <c:valAx>
        <c:axId val="147063936"/>
        <c:scaling>
          <c:orientation val="minMax"/>
        </c:scaling>
        <c:delete val="0"/>
        <c:axPos val="r"/>
        <c:numFmt formatCode="0" sourceLinked="0"/>
        <c:majorTickMark val="out"/>
        <c:minorTickMark val="none"/>
        <c:tickLblPos val="nextTo"/>
        <c:txPr>
          <a:bodyPr/>
          <a:lstStyle/>
          <a:p>
            <a:pPr>
              <a:defRPr sz="700">
                <a:solidFill>
                  <a:schemeClr val="accent5"/>
                </a:solidFill>
              </a:defRPr>
            </a:pPr>
            <a:endParaRPr lang="es-PE"/>
          </a:p>
        </c:txPr>
        <c:crossAx val="144874880"/>
        <c:crosses val="max"/>
        <c:crossBetween val="between"/>
      </c:valAx>
      <c:spPr>
        <a:noFill/>
        <a:ln w="22874">
          <a:noFill/>
        </a:ln>
      </c:spPr>
    </c:plotArea>
    <c:legend>
      <c:legendPos val="b"/>
      <c:legendEntry>
        <c:idx val="2"/>
        <c:delete val="1"/>
      </c:legendEntry>
      <c:layout>
        <c:manualLayout>
          <c:xMode val="edge"/>
          <c:yMode val="edge"/>
          <c:x val="4.9013015370068205E-2"/>
          <c:y val="0.87091998115620151"/>
          <c:w val="0.88035227436764107"/>
          <c:h val="5.0904612950778416E-2"/>
        </c:manualLayout>
      </c:layout>
      <c:overlay val="0"/>
      <c:txPr>
        <a:bodyPr/>
        <a:lstStyle/>
        <a:p>
          <a:pPr>
            <a:defRPr sz="800"/>
          </a:pPr>
          <a:endParaRPr lang="es-PE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901" baseline="0">
          <a:solidFill>
            <a:schemeClr val="tx1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es-PE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l">
              <a:defRPr sz="1000"/>
            </a:pPr>
            <a:r>
              <a:rPr lang="es-PE" sz="1000" dirty="0"/>
              <a:t>Impuesto Selectivo al Consumo: 2020 -2021 </a:t>
            </a:r>
          </a:p>
          <a:p>
            <a:pPr algn="l">
              <a:defRPr sz="1000"/>
            </a:pPr>
            <a:r>
              <a:rPr lang="es-PE" sz="1000" b="0" dirty="0"/>
              <a:t>En millones de soles y Var. % real anual </a:t>
            </a:r>
          </a:p>
        </c:rich>
      </c:tx>
      <c:layout>
        <c:manualLayout>
          <c:xMode val="edge"/>
          <c:yMode val="edge"/>
          <c:x val="2.4264200334386176E-3"/>
          <c:y val="5.0627311251130826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2898940689967711"/>
          <c:y val="0.26098107910131341"/>
          <c:w val="0.77181208053691219"/>
          <c:h val="0.53958070852647577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Recaudación</c:v>
                </c:pt>
              </c:strCache>
            </c:strRef>
          </c:tx>
          <c:spPr>
            <a:solidFill>
              <a:schemeClr val="bg1">
                <a:lumMod val="85000"/>
              </a:schemeClr>
            </a:solidFill>
            <a:ln w="6350" cap="flat" cmpd="sng" algn="ctr">
              <a:solidFill>
                <a:schemeClr val="bg1">
                  <a:lumMod val="75000"/>
                </a:schemeClr>
              </a:solidFill>
              <a:prstDash val="solid"/>
              <a:miter lim="800000"/>
            </a:ln>
            <a:effectLst/>
          </c:spPr>
          <c:invertIfNegative val="0"/>
          <c:dPt>
            <c:idx val="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0-349C-4E28-97A6-76C634058A9D}"/>
              </c:ext>
            </c:extLst>
          </c:dPt>
          <c:dPt>
            <c:idx val="1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1-349C-4E28-97A6-76C634058A9D}"/>
              </c:ext>
            </c:extLst>
          </c:dPt>
          <c:dPt>
            <c:idx val="2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2-349C-4E28-97A6-76C634058A9D}"/>
              </c:ext>
            </c:extLst>
          </c:dPt>
          <c:dPt>
            <c:idx val="3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3-349C-4E28-97A6-76C634058A9D}"/>
              </c:ext>
            </c:extLst>
          </c:dPt>
          <c:dPt>
            <c:idx val="4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4-349C-4E28-97A6-76C634058A9D}"/>
              </c:ext>
            </c:extLst>
          </c:dPt>
          <c:dPt>
            <c:idx val="5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5-349C-4E28-97A6-76C634058A9D}"/>
              </c:ext>
            </c:extLst>
          </c:dPt>
          <c:dPt>
            <c:idx val="6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6-349C-4E28-97A6-76C634058A9D}"/>
              </c:ext>
            </c:extLst>
          </c:dPt>
          <c:dPt>
            <c:idx val="7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7-349C-4E28-97A6-76C634058A9D}"/>
              </c:ext>
            </c:extLst>
          </c:dPt>
          <c:dPt>
            <c:idx val="8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8-349C-4E28-97A6-76C634058A9D}"/>
              </c:ext>
            </c:extLst>
          </c:dPt>
          <c:dPt>
            <c:idx val="9"/>
            <c:invertIfNegative val="0"/>
            <c:bubble3D val="0"/>
            <c:spPr>
              <a:solidFill>
                <a:schemeClr val="tx1">
                  <a:lumMod val="50000"/>
                  <a:lumOff val="50000"/>
                </a:schemeClr>
              </a:solidFill>
              <a:ln w="6350" cap="flat" cmpd="sng" algn="ctr">
                <a:solidFill>
                  <a:schemeClr val="bg1">
                    <a:lumMod val="75000"/>
                  </a:schemeClr>
                </a:solidFill>
                <a:prstDash val="solid"/>
                <a:miter lim="800000"/>
              </a:ln>
              <a:effectLst/>
            </c:spPr>
            <c:extLst>
              <c:ext xmlns:c16="http://schemas.microsoft.com/office/drawing/2014/chart" uri="{C3380CC4-5D6E-409C-BE32-E72D297353CC}">
                <c16:uniqueId val="{0000000A-349C-4E28-97A6-76C634058A9D}"/>
              </c:ext>
            </c:extLst>
          </c:dPt>
          <c:dPt>
            <c:idx val="1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B-349C-4E28-97A6-76C634058A9D}"/>
              </c:ext>
            </c:extLst>
          </c:dPt>
          <c:dPt>
            <c:idx val="12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C-349C-4E28-97A6-76C634058A9D}"/>
              </c:ext>
            </c:extLst>
          </c:dPt>
          <c:dPt>
            <c:idx val="13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D-349C-4E28-97A6-76C634058A9D}"/>
              </c:ext>
            </c:extLst>
          </c:dPt>
          <c:dPt>
            <c:idx val="14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E-349C-4E28-97A6-76C634058A9D}"/>
              </c:ext>
            </c:extLst>
          </c:dPt>
          <c:dPt>
            <c:idx val="15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F-349C-4E28-97A6-76C634058A9D}"/>
              </c:ext>
            </c:extLst>
          </c:dPt>
          <c:dPt>
            <c:idx val="16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0-349C-4E28-97A6-76C634058A9D}"/>
              </c:ext>
            </c:extLst>
          </c:dPt>
          <c:dPt>
            <c:idx val="17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1-349C-4E28-97A6-76C634058A9D}"/>
              </c:ext>
            </c:extLst>
          </c:dPt>
          <c:dPt>
            <c:idx val="18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2-349C-4E28-97A6-76C634058A9D}"/>
              </c:ext>
            </c:extLst>
          </c:dPt>
          <c:dPt>
            <c:idx val="19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3-349C-4E28-97A6-76C634058A9D}"/>
              </c:ext>
            </c:extLst>
          </c:dPt>
          <c:dPt>
            <c:idx val="2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4-349C-4E28-97A6-76C634058A9D}"/>
              </c:ext>
            </c:extLst>
          </c:dPt>
          <c:dPt>
            <c:idx val="21"/>
            <c:invertIfNegative val="0"/>
            <c:bubble3D val="0"/>
            <c:spPr>
              <a:solidFill>
                <a:schemeClr val="tx1">
                  <a:lumMod val="50000"/>
                  <a:lumOff val="50000"/>
                </a:schemeClr>
              </a:solidFill>
              <a:ln w="6350" cap="flat" cmpd="sng" algn="ctr">
                <a:solidFill>
                  <a:schemeClr val="bg1">
                    <a:lumMod val="75000"/>
                  </a:schemeClr>
                </a:solidFill>
                <a:prstDash val="solid"/>
                <a:miter lim="800000"/>
              </a:ln>
              <a:effectLst/>
            </c:spPr>
            <c:extLst>
              <c:ext xmlns:c16="http://schemas.microsoft.com/office/drawing/2014/chart" uri="{C3380CC4-5D6E-409C-BE32-E72D297353CC}">
                <c16:uniqueId val="{00000016-349C-4E28-97A6-76C634058A9D}"/>
              </c:ext>
            </c:extLst>
          </c:dPt>
          <c:dPt>
            <c:idx val="22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7-349C-4E28-97A6-76C634058A9D}"/>
              </c:ext>
            </c:extLst>
          </c:dPt>
          <c:dLbls>
            <c:dLbl>
              <c:idx val="0"/>
              <c:layout>
                <c:manualLayout>
                  <c:x val="0"/>
                  <c:y val="-0.11643152114518109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349C-4E28-97A6-76C634058A9D}"/>
                </c:ext>
              </c:extLst>
            </c:dLbl>
            <c:dLbl>
              <c:idx val="12"/>
              <c:layout>
                <c:manualLayout>
                  <c:x val="0"/>
                  <c:y val="-0.22419195682381141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349C-4E28-97A6-76C634058A9D}"/>
                </c:ext>
              </c:extLst>
            </c:dLbl>
            <c:dLbl>
              <c:idx val="13"/>
              <c:layout>
                <c:manualLayout>
                  <c:x val="-1.3497604673328762E-16"/>
                  <c:y val="-0.20465304244831814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349C-4E28-97A6-76C634058A9D}"/>
                </c:ext>
              </c:extLst>
            </c:dLbl>
            <c:dLbl>
              <c:idx val="14"/>
              <c:layout>
                <c:manualLayout>
                  <c:x val="0"/>
                  <c:y val="-0.21886797319868187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349C-4E28-97A6-76C634058A9D}"/>
                </c:ext>
              </c:extLst>
            </c:dLbl>
            <c:dLbl>
              <c:idx val="15"/>
              <c:layout>
                <c:manualLayout>
                  <c:x val="0"/>
                  <c:y val="-0.20605931629553681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600" b="0"/>
                  </a:pPr>
                  <a:endParaRPr lang="es-PE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349C-4E28-97A6-76C634058A9D}"/>
                </c:ext>
              </c:extLst>
            </c:dLbl>
            <c:dLbl>
              <c:idx val="16"/>
              <c:layout>
                <c:manualLayout>
                  <c:x val="3.6812074360388857E-3"/>
                  <c:y val="-0.1962824671486089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600" b="0"/>
                  </a:pPr>
                  <a:endParaRPr lang="es-PE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349C-4E28-97A6-76C634058A9D}"/>
                </c:ext>
              </c:extLst>
            </c:dLbl>
            <c:dLbl>
              <c:idx val="17"/>
              <c:layout>
                <c:manualLayout>
                  <c:x val="0"/>
                  <c:y val="-0.2321822180089897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600" b="0"/>
                  </a:pPr>
                  <a:endParaRPr lang="es-PE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349C-4E28-97A6-76C634058A9D}"/>
                </c:ext>
              </c:extLst>
            </c:dLbl>
            <c:dLbl>
              <c:idx val="18"/>
              <c:layout>
                <c:manualLayout>
                  <c:x val="-1.3497604673328762E-16"/>
                  <c:y val="-0.2405166798867586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600" b="0"/>
                  </a:pPr>
                  <a:endParaRPr lang="es-PE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349C-4E28-97A6-76C634058A9D}"/>
                </c:ext>
              </c:extLst>
            </c:dLbl>
            <c:dLbl>
              <c:idx val="19"/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600" b="0"/>
                  </a:pPr>
                  <a:endParaRPr lang="es-PE"/>
                </a:p>
              </c:txPr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13-349C-4E28-97A6-76C634058A9D}"/>
                </c:ext>
              </c:extLst>
            </c:dLbl>
            <c:dLbl>
              <c:idx val="20"/>
              <c:layout>
                <c:manualLayout>
                  <c:x val="1.7985611510791366E-2"/>
                  <c:y val="-7.535961715110677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noAutofit/>
                </a:bodyPr>
                <a:lstStyle/>
                <a:p>
                  <a:pPr>
                    <a:defRPr sz="600" b="0"/>
                  </a:pPr>
                  <a:endParaRPr lang="es-PE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6.5046935394809491E-2"/>
                      <c:h val="6.4946979907609823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14-349C-4E28-97A6-76C634058A9D}"/>
                </c:ext>
              </c:extLst>
            </c:dLbl>
            <c:dLbl>
              <c:idx val="21"/>
              <c:layout>
                <c:manualLayout>
                  <c:x val="0"/>
                  <c:y val="-0.19005045981068905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6-349C-4E28-97A6-76C634058A9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600"/>
                </a:pPr>
                <a:endParaRPr lang="es-PE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Hoja1!$A$2:$A$35</c:f>
              <c:strCache>
                <c:ptCount val="22"/>
                <c:pt idx="0">
                  <c:v>E-20</c:v>
                </c:pt>
                <c:pt idx="1">
                  <c:v>F</c:v>
                </c:pt>
                <c:pt idx="2">
                  <c:v>M</c:v>
                </c:pt>
                <c:pt idx="3">
                  <c:v>A</c:v>
                </c:pt>
                <c:pt idx="4">
                  <c:v>M</c:v>
                </c:pt>
                <c:pt idx="5">
                  <c:v>J</c:v>
                </c:pt>
                <c:pt idx="6">
                  <c:v>Jl</c:v>
                </c:pt>
                <c:pt idx="7">
                  <c:v>A</c:v>
                </c:pt>
                <c:pt idx="8">
                  <c:v>S</c:v>
                </c:pt>
                <c:pt idx="9">
                  <c:v>O</c:v>
                </c:pt>
                <c:pt idx="10">
                  <c:v>N</c:v>
                </c:pt>
                <c:pt idx="11">
                  <c:v>D</c:v>
                </c:pt>
                <c:pt idx="12">
                  <c:v>E-21</c:v>
                </c:pt>
                <c:pt idx="13">
                  <c:v>F</c:v>
                </c:pt>
                <c:pt idx="14">
                  <c:v>M</c:v>
                </c:pt>
                <c:pt idx="15">
                  <c:v>A</c:v>
                </c:pt>
                <c:pt idx="16">
                  <c:v>M</c:v>
                </c:pt>
                <c:pt idx="17">
                  <c:v>J</c:v>
                </c:pt>
                <c:pt idx="18">
                  <c:v>Jl</c:v>
                </c:pt>
                <c:pt idx="19">
                  <c:v>A</c:v>
                </c:pt>
                <c:pt idx="20">
                  <c:v>S</c:v>
                </c:pt>
                <c:pt idx="21">
                  <c:v>O</c:v>
                </c:pt>
              </c:strCache>
            </c:strRef>
          </c:cat>
          <c:val>
            <c:numRef>
              <c:f>Hoja1!$B$2:$B$35</c:f>
              <c:numCache>
                <c:formatCode>_ * #,##0_ ;_ * \-#,##0_ ;_ * "-"??_ ;_ @_ </c:formatCode>
                <c:ptCount val="22"/>
                <c:pt idx="0">
                  <c:v>935.73666637714098</c:v>
                </c:pt>
                <c:pt idx="1">
                  <c:v>670.25454108416898</c:v>
                </c:pt>
                <c:pt idx="2">
                  <c:v>703.93996938972191</c:v>
                </c:pt>
                <c:pt idx="3">
                  <c:v>333.90574693000008</c:v>
                </c:pt>
                <c:pt idx="4">
                  <c:v>243.40620640313324</c:v>
                </c:pt>
                <c:pt idx="5">
                  <c:v>325.1381802001722</c:v>
                </c:pt>
                <c:pt idx="6">
                  <c:v>464.2086570316543</c:v>
                </c:pt>
                <c:pt idx="7">
                  <c:v>554.78760148048468</c:v>
                </c:pt>
                <c:pt idx="8">
                  <c:v>518.07365604311906</c:v>
                </c:pt>
                <c:pt idx="9">
                  <c:v>588.16964276600629</c:v>
                </c:pt>
                <c:pt idx="10">
                  <c:v>758.64474600651192</c:v>
                </c:pt>
                <c:pt idx="11">
                  <c:v>824.18860122531521</c:v>
                </c:pt>
                <c:pt idx="12">
                  <c:v>883.23857244714952</c:v>
                </c:pt>
                <c:pt idx="13">
                  <c:v>696.78826587000003</c:v>
                </c:pt>
                <c:pt idx="14">
                  <c:v>709.48789582512109</c:v>
                </c:pt>
                <c:pt idx="15">
                  <c:v>703.1350394358102</c:v>
                </c:pt>
                <c:pt idx="16">
                  <c:v>660.4005959499998</c:v>
                </c:pt>
                <c:pt idx="17">
                  <c:v>679.61585008999987</c:v>
                </c:pt>
                <c:pt idx="18">
                  <c:v>723.59360617889797</c:v>
                </c:pt>
                <c:pt idx="19">
                  <c:v>819.25913312518537</c:v>
                </c:pt>
                <c:pt idx="20">
                  <c:v>752.10553009068917</c:v>
                </c:pt>
                <c:pt idx="21">
                  <c:v>802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8-349C-4E28-97A6-76C634058A9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5"/>
        <c:overlap val="100"/>
        <c:axId val="147737216"/>
        <c:axId val="147747200"/>
      </c:barChart>
      <c:lineChart>
        <c:grouping val="standard"/>
        <c:varyColors val="0"/>
        <c:ser>
          <c:idx val="4"/>
          <c:order val="1"/>
          <c:tx>
            <c:strRef>
              <c:f>Hoja1!$C$1</c:f>
              <c:strCache>
                <c:ptCount val="1"/>
                <c:pt idx="0">
                  <c:v>Var % Real</c:v>
                </c:pt>
              </c:strCache>
            </c:strRef>
          </c:tx>
          <c:spPr>
            <a:ln w="19050">
              <a:solidFill>
                <a:srgbClr val="0070C0"/>
              </a:solidFill>
            </a:ln>
            <a:effectLst/>
          </c:spPr>
          <c:marker>
            <c:symbol val="none"/>
          </c:marker>
          <c:dLbls>
            <c:dLbl>
              <c:idx val="5"/>
              <c:layout>
                <c:manualLayout>
                  <c:x val="-5.8759134424743668E-2"/>
                  <c:y val="-0.10597294799150375"/>
                </c:manualLayout>
              </c:layout>
              <c:spPr>
                <a:noFill/>
                <a:ln>
                  <a:noFill/>
                </a:ln>
              </c:spPr>
              <c:txPr>
                <a:bodyPr/>
                <a:lstStyle/>
                <a:p>
                  <a:pPr>
                    <a:defRPr sz="600" b="0">
                      <a:solidFill>
                        <a:srgbClr val="0070C0"/>
                      </a:solidFill>
                    </a:defRPr>
                  </a:pPr>
                  <a:endParaRPr lang="es-PE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9-349C-4E28-97A6-76C634058A9D}"/>
                </c:ext>
              </c:extLst>
            </c:dLbl>
            <c:dLbl>
              <c:idx val="6"/>
              <c:spPr>
                <a:noFill/>
                <a:ln>
                  <a:noFill/>
                </a:ln>
              </c:spPr>
              <c:txPr>
                <a:bodyPr/>
                <a:lstStyle/>
                <a:p>
                  <a:pPr>
                    <a:defRPr sz="600" b="0">
                      <a:solidFill>
                        <a:srgbClr val="0070C0"/>
                      </a:solidFill>
                    </a:defRPr>
                  </a:pPr>
                  <a:endParaRPr lang="es-PE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1A-349C-4E28-97A6-76C634058A9D}"/>
                </c:ext>
              </c:extLst>
            </c:dLbl>
            <c:dLbl>
              <c:idx val="7"/>
              <c:spPr>
                <a:noFill/>
                <a:ln>
                  <a:noFill/>
                </a:ln>
              </c:spPr>
              <c:txPr>
                <a:bodyPr/>
                <a:lstStyle/>
                <a:p>
                  <a:pPr>
                    <a:defRPr sz="600" b="0">
                      <a:solidFill>
                        <a:srgbClr val="0070C0"/>
                      </a:solidFill>
                    </a:defRPr>
                  </a:pPr>
                  <a:endParaRPr lang="es-PE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1B-349C-4E28-97A6-76C634058A9D}"/>
                </c:ext>
              </c:extLst>
            </c:dLbl>
            <c:dLbl>
              <c:idx val="12"/>
              <c:layout>
                <c:manualLayout>
                  <c:x val="-4.7895825072225749E-2"/>
                  <c:y val="-3.119297217499397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C-349C-4E28-97A6-76C634058A9D}"/>
                </c:ext>
              </c:extLst>
            </c:dLbl>
            <c:dLbl>
              <c:idx val="15"/>
              <c:layout>
                <c:manualLayout>
                  <c:x val="-5.9280575539568343E-2"/>
                  <c:y val="-7.685401856737217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D-349C-4E28-97A6-76C634058A9D}"/>
                </c:ext>
              </c:extLst>
            </c:dLbl>
            <c:dLbl>
              <c:idx val="17"/>
              <c:layout>
                <c:manualLayout>
                  <c:x val="-3.4100719424460434E-2"/>
                  <c:y val="-1.2767585637482443E-4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E-349C-4E28-97A6-76C634058A9D}"/>
                </c:ext>
              </c:extLst>
            </c:dLbl>
            <c:dLbl>
              <c:idx val="18"/>
              <c:layout>
                <c:manualLayout>
                  <c:x val="-5.1665891294234274E-2"/>
                  <c:y val="1.970159135513466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F-349C-4E28-97A6-76C634058A9D}"/>
                </c:ext>
              </c:extLst>
            </c:dLbl>
            <c:dLbl>
              <c:idx val="19"/>
              <c:layout>
                <c:manualLayout>
                  <c:x val="-5.5683453237410072E-2"/>
                  <c:y val="-6.849703161364141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0-349C-4E28-97A6-76C634058A9D}"/>
                </c:ext>
              </c:extLst>
            </c:dLbl>
            <c:dLbl>
              <c:idx val="20"/>
              <c:layout>
                <c:manualLayout>
                  <c:x val="-4.8489208633093528E-2"/>
                  <c:y val="3.056286122802424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1-349C-4E28-97A6-76C634058A9D}"/>
                </c:ext>
              </c:extLst>
            </c:dLbl>
            <c:dLbl>
              <c:idx val="21"/>
              <c:layout>
                <c:manualLayout>
                  <c:x val="-3.7569925314517472E-2"/>
                  <c:y val="1.726981263905888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2-349C-4E28-97A6-76C634058A9D}"/>
                </c:ext>
              </c:extLst>
            </c:dLbl>
            <c:dLbl>
              <c:idx val="22"/>
              <c:layout>
                <c:manualLayout>
                  <c:x val="-5.1681867104741534E-2"/>
                  <c:y val="-9.8600469706769986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/>
                <a:lstStyle/>
                <a:p>
                  <a:pPr>
                    <a:defRPr sz="600" b="1">
                      <a:solidFill>
                        <a:srgbClr val="0070C0"/>
                      </a:solidFill>
                    </a:defRPr>
                  </a:pPr>
                  <a:endParaRPr lang="es-PE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3-349C-4E28-97A6-76C634058A9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600" b="0">
                    <a:solidFill>
                      <a:srgbClr val="0070C0"/>
                    </a:solidFill>
                  </a:defRPr>
                </a:pPr>
                <a:endParaRPr lang="es-PE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Hoja1!$A$2:$A$35</c:f>
              <c:strCache>
                <c:ptCount val="22"/>
                <c:pt idx="0">
                  <c:v>E-20</c:v>
                </c:pt>
                <c:pt idx="1">
                  <c:v>F</c:v>
                </c:pt>
                <c:pt idx="2">
                  <c:v>M</c:v>
                </c:pt>
                <c:pt idx="3">
                  <c:v>A</c:v>
                </c:pt>
                <c:pt idx="4">
                  <c:v>M</c:v>
                </c:pt>
                <c:pt idx="5">
                  <c:v>J</c:v>
                </c:pt>
                <c:pt idx="6">
                  <c:v>Jl</c:v>
                </c:pt>
                <c:pt idx="7">
                  <c:v>A</c:v>
                </c:pt>
                <c:pt idx="8">
                  <c:v>S</c:v>
                </c:pt>
                <c:pt idx="9">
                  <c:v>O</c:v>
                </c:pt>
                <c:pt idx="10">
                  <c:v>N</c:v>
                </c:pt>
                <c:pt idx="11">
                  <c:v>D</c:v>
                </c:pt>
                <c:pt idx="12">
                  <c:v>E-21</c:v>
                </c:pt>
                <c:pt idx="13">
                  <c:v>F</c:v>
                </c:pt>
                <c:pt idx="14">
                  <c:v>M</c:v>
                </c:pt>
                <c:pt idx="15">
                  <c:v>A</c:v>
                </c:pt>
                <c:pt idx="16">
                  <c:v>M</c:v>
                </c:pt>
                <c:pt idx="17">
                  <c:v>J</c:v>
                </c:pt>
                <c:pt idx="18">
                  <c:v>Jl</c:v>
                </c:pt>
                <c:pt idx="19">
                  <c:v>A</c:v>
                </c:pt>
                <c:pt idx="20">
                  <c:v>S</c:v>
                </c:pt>
                <c:pt idx="21">
                  <c:v>O</c:v>
                </c:pt>
              </c:strCache>
            </c:strRef>
          </c:cat>
          <c:val>
            <c:numRef>
              <c:f>Hoja1!$C$2:$C$35</c:f>
              <c:numCache>
                <c:formatCode>0.0</c:formatCode>
                <c:ptCount val="22"/>
                <c:pt idx="0">
                  <c:v>20.698992013434172</c:v>
                </c:pt>
                <c:pt idx="1">
                  <c:v>-1.2116522123832185</c:v>
                </c:pt>
                <c:pt idx="2">
                  <c:v>15.052253054357712</c:v>
                </c:pt>
                <c:pt idx="3">
                  <c:v>-51.532868079613792</c:v>
                </c:pt>
                <c:pt idx="4">
                  <c:v>-61.576027384968882</c:v>
                </c:pt>
                <c:pt idx="5">
                  <c:v>-57.035862762962907</c:v>
                </c:pt>
                <c:pt idx="6">
                  <c:v>-23.979667260314784</c:v>
                </c:pt>
                <c:pt idx="7">
                  <c:v>-21.2</c:v>
                </c:pt>
                <c:pt idx="8">
                  <c:v>-28.23700177941366</c:v>
                </c:pt>
                <c:pt idx="9">
                  <c:v>-21.517249430660211</c:v>
                </c:pt>
                <c:pt idx="10">
                  <c:v>5.0136847463023049</c:v>
                </c:pt>
                <c:pt idx="11">
                  <c:v>15.6</c:v>
                </c:pt>
                <c:pt idx="12">
                  <c:v>-8.0699785752309854</c:v>
                </c:pt>
                <c:pt idx="13">
                  <c:v>1.5208894792315686</c:v>
                </c:pt>
                <c:pt idx="14">
                  <c:v>-1.7642225277359924</c:v>
                </c:pt>
                <c:pt idx="15">
                  <c:v>105.67619830205288</c:v>
                </c:pt>
                <c:pt idx="16">
                  <c:v>164.83453510400565</c:v>
                </c:pt>
                <c:pt idx="17">
                  <c:v>102.43522811710331</c:v>
                </c:pt>
                <c:pt idx="18">
                  <c:v>50.145827577159466</c:v>
                </c:pt>
                <c:pt idx="19">
                  <c:v>40.70197835222227</c:v>
                </c:pt>
                <c:pt idx="20">
                  <c:v>38</c:v>
                </c:pt>
                <c:pt idx="21">
                  <c:v>28.8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24-349C-4E28-97A6-76C634058A9D}"/>
            </c:ext>
          </c:extLst>
        </c:ser>
        <c:ser>
          <c:idx val="1"/>
          <c:order val="2"/>
          <c:tx>
            <c:strRef>
              <c:f>Hoja1!$D$1</c:f>
              <c:strCache>
                <c:ptCount val="1"/>
                <c:pt idx="0">
                  <c:v>Columna1</c:v>
                </c:pt>
              </c:strCache>
            </c:strRef>
          </c:tx>
          <c:spPr>
            <a:ln w="12700">
              <a:solidFill>
                <a:schemeClr val="accent1"/>
              </a:solidFill>
              <a:prstDash val="dash"/>
            </a:ln>
          </c:spPr>
          <c:marker>
            <c:symbol val="none"/>
          </c:marker>
          <c:cat>
            <c:strRef>
              <c:f>Hoja1!$A$2:$A$35</c:f>
              <c:strCache>
                <c:ptCount val="22"/>
                <c:pt idx="0">
                  <c:v>E-20</c:v>
                </c:pt>
                <c:pt idx="1">
                  <c:v>F</c:v>
                </c:pt>
                <c:pt idx="2">
                  <c:v>M</c:v>
                </c:pt>
                <c:pt idx="3">
                  <c:v>A</c:v>
                </c:pt>
                <c:pt idx="4">
                  <c:v>M</c:v>
                </c:pt>
                <c:pt idx="5">
                  <c:v>J</c:v>
                </c:pt>
                <c:pt idx="6">
                  <c:v>Jl</c:v>
                </c:pt>
                <c:pt idx="7">
                  <c:v>A</c:v>
                </c:pt>
                <c:pt idx="8">
                  <c:v>S</c:v>
                </c:pt>
                <c:pt idx="9">
                  <c:v>O</c:v>
                </c:pt>
                <c:pt idx="10">
                  <c:v>N</c:v>
                </c:pt>
                <c:pt idx="11">
                  <c:v>D</c:v>
                </c:pt>
                <c:pt idx="12">
                  <c:v>E-21</c:v>
                </c:pt>
                <c:pt idx="13">
                  <c:v>F</c:v>
                </c:pt>
                <c:pt idx="14">
                  <c:v>M</c:v>
                </c:pt>
                <c:pt idx="15">
                  <c:v>A</c:v>
                </c:pt>
                <c:pt idx="16">
                  <c:v>M</c:v>
                </c:pt>
                <c:pt idx="17">
                  <c:v>J</c:v>
                </c:pt>
                <c:pt idx="18">
                  <c:v>Jl</c:v>
                </c:pt>
                <c:pt idx="19">
                  <c:v>A</c:v>
                </c:pt>
                <c:pt idx="20">
                  <c:v>S</c:v>
                </c:pt>
                <c:pt idx="21">
                  <c:v>O</c:v>
                </c:pt>
              </c:strCache>
            </c:strRef>
          </c:cat>
          <c:val>
            <c:numRef>
              <c:f>Hoja1!$D$2:$D$35</c:f>
              <c:numCache>
                <c:formatCode>General</c:formatCode>
                <c:ptCount val="22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25-349C-4E28-97A6-76C634058A9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47748736"/>
        <c:axId val="147750272"/>
      </c:lineChart>
      <c:catAx>
        <c:axId val="147737216"/>
        <c:scaling>
          <c:orientation val="minMax"/>
        </c:scaling>
        <c:delete val="0"/>
        <c:axPos val="b"/>
        <c:numFmt formatCode="mmm\-yy" sourceLinked="0"/>
        <c:majorTickMark val="none"/>
        <c:minorTickMark val="none"/>
        <c:tickLblPos val="nextTo"/>
        <c:txPr>
          <a:bodyPr rot="0" vert="horz"/>
          <a:lstStyle/>
          <a:p>
            <a:pPr>
              <a:defRPr sz="700"/>
            </a:pPr>
            <a:endParaRPr lang="es-PE"/>
          </a:p>
        </c:txPr>
        <c:crossAx val="147747200"/>
        <c:crosses val="autoZero"/>
        <c:auto val="1"/>
        <c:lblAlgn val="ctr"/>
        <c:lblOffset val="100"/>
        <c:noMultiLvlLbl val="1"/>
      </c:catAx>
      <c:valAx>
        <c:axId val="147747200"/>
        <c:scaling>
          <c:orientation val="minMax"/>
          <c:min val="0"/>
        </c:scaling>
        <c:delete val="0"/>
        <c:axPos val="l"/>
        <c:numFmt formatCode="#,##0" sourceLinked="0"/>
        <c:majorTickMark val="none"/>
        <c:minorTickMark val="none"/>
        <c:tickLblPos val="nextTo"/>
        <c:spPr>
          <a:ln w="8578">
            <a:solidFill>
              <a:schemeClr val="tx1">
                <a:alpha val="66000"/>
              </a:schemeClr>
            </a:solidFill>
          </a:ln>
        </c:spPr>
        <c:txPr>
          <a:bodyPr/>
          <a:lstStyle/>
          <a:p>
            <a:pPr>
              <a:defRPr sz="700"/>
            </a:pPr>
            <a:endParaRPr lang="es-PE"/>
          </a:p>
        </c:txPr>
        <c:crossAx val="147737216"/>
        <c:crosses val="autoZero"/>
        <c:crossBetween val="between"/>
      </c:valAx>
      <c:catAx>
        <c:axId val="147748736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47750272"/>
        <c:crosses val="autoZero"/>
        <c:auto val="1"/>
        <c:lblAlgn val="ctr"/>
        <c:lblOffset val="100"/>
        <c:noMultiLvlLbl val="1"/>
      </c:catAx>
      <c:valAx>
        <c:axId val="147750272"/>
        <c:scaling>
          <c:orientation val="minMax"/>
        </c:scaling>
        <c:delete val="0"/>
        <c:axPos val="r"/>
        <c:numFmt formatCode="0" sourceLinked="0"/>
        <c:majorTickMark val="out"/>
        <c:minorTickMark val="none"/>
        <c:tickLblPos val="nextTo"/>
        <c:txPr>
          <a:bodyPr/>
          <a:lstStyle/>
          <a:p>
            <a:pPr>
              <a:defRPr sz="700">
                <a:solidFill>
                  <a:schemeClr val="accent5"/>
                </a:solidFill>
              </a:defRPr>
            </a:pPr>
            <a:endParaRPr lang="es-PE"/>
          </a:p>
        </c:txPr>
        <c:crossAx val="147748736"/>
        <c:crosses val="max"/>
        <c:crossBetween val="between"/>
      </c:valAx>
      <c:spPr>
        <a:noFill/>
        <a:ln w="22874">
          <a:noFill/>
        </a:ln>
      </c:spPr>
    </c:plotArea>
    <c:legend>
      <c:legendPos val="b"/>
      <c:legendEntry>
        <c:idx val="2"/>
        <c:delete val="1"/>
      </c:legendEntry>
      <c:layout>
        <c:manualLayout>
          <c:xMode val="edge"/>
          <c:yMode val="edge"/>
          <c:x val="5.8496572820483782E-2"/>
          <c:y val="0.91813472136920948"/>
          <c:w val="0.88035233815668335"/>
          <c:h val="5.0904302491198837E-2"/>
        </c:manualLayout>
      </c:layout>
      <c:overlay val="0"/>
      <c:txPr>
        <a:bodyPr/>
        <a:lstStyle/>
        <a:p>
          <a:pPr>
            <a:defRPr sz="800"/>
          </a:pPr>
          <a:endParaRPr lang="es-PE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901" baseline="0">
          <a:solidFill>
            <a:schemeClr val="tx1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es-PE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l">
              <a:defRPr/>
            </a:pPr>
            <a:r>
              <a:rPr lang="es-PE" dirty="0"/>
              <a:t>Devoluciones: 2020 - 2021</a:t>
            </a:r>
          </a:p>
          <a:p>
            <a:pPr algn="l">
              <a:defRPr/>
            </a:pPr>
            <a:r>
              <a:rPr lang="es-PE" sz="1000" b="0" dirty="0"/>
              <a:t>En millones de soles y Var. % real anual </a:t>
            </a:r>
          </a:p>
        </c:rich>
      </c:tx>
      <c:layout>
        <c:manualLayout>
          <c:xMode val="edge"/>
          <c:yMode val="edge"/>
          <c:x val="2.4264200334386176E-3"/>
          <c:y val="5.0627311251130826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2527964205816555"/>
          <c:y val="0.27700231889128157"/>
          <c:w val="0.77181208053691219"/>
          <c:h val="0.5395807863008637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Recaudación</c:v>
                </c:pt>
              </c:strCache>
            </c:strRef>
          </c:tx>
          <c:spPr>
            <a:solidFill>
              <a:schemeClr val="bg1">
                <a:lumMod val="85000"/>
              </a:schemeClr>
            </a:solidFill>
            <a:ln w="6350" cap="flat" cmpd="sng" algn="ctr">
              <a:solidFill>
                <a:schemeClr val="bg1">
                  <a:lumMod val="75000"/>
                </a:schemeClr>
              </a:solidFill>
              <a:prstDash val="solid"/>
              <a:miter lim="800000"/>
            </a:ln>
            <a:effectLst/>
          </c:spPr>
          <c:invertIfNegative val="0"/>
          <c:dPt>
            <c:idx val="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0-8D2A-4761-B138-1283342F4F41}"/>
              </c:ext>
            </c:extLst>
          </c:dPt>
          <c:dPt>
            <c:idx val="1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1-8D2A-4761-B138-1283342F4F41}"/>
              </c:ext>
            </c:extLst>
          </c:dPt>
          <c:dPt>
            <c:idx val="2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2-8D2A-4761-B138-1283342F4F41}"/>
              </c:ext>
            </c:extLst>
          </c:dPt>
          <c:dPt>
            <c:idx val="3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3-8D2A-4761-B138-1283342F4F41}"/>
              </c:ext>
            </c:extLst>
          </c:dPt>
          <c:dPt>
            <c:idx val="4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4-8D2A-4761-B138-1283342F4F41}"/>
              </c:ext>
            </c:extLst>
          </c:dPt>
          <c:dPt>
            <c:idx val="5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5-8D2A-4761-B138-1283342F4F41}"/>
              </c:ext>
            </c:extLst>
          </c:dPt>
          <c:dPt>
            <c:idx val="6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6-8D2A-4761-B138-1283342F4F41}"/>
              </c:ext>
            </c:extLst>
          </c:dPt>
          <c:dPt>
            <c:idx val="7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7-8D2A-4761-B138-1283342F4F41}"/>
              </c:ext>
            </c:extLst>
          </c:dPt>
          <c:dPt>
            <c:idx val="8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8-8D2A-4761-B138-1283342F4F41}"/>
              </c:ext>
            </c:extLst>
          </c:dPt>
          <c:dPt>
            <c:idx val="9"/>
            <c:invertIfNegative val="0"/>
            <c:bubble3D val="0"/>
            <c:spPr>
              <a:solidFill>
                <a:schemeClr val="tx1">
                  <a:lumMod val="50000"/>
                  <a:lumOff val="50000"/>
                </a:schemeClr>
              </a:solidFill>
              <a:ln w="6350" cap="flat" cmpd="sng" algn="ctr">
                <a:solidFill>
                  <a:schemeClr val="bg1">
                    <a:lumMod val="75000"/>
                  </a:schemeClr>
                </a:solidFill>
                <a:prstDash val="solid"/>
                <a:miter lim="800000"/>
              </a:ln>
              <a:effectLst/>
            </c:spPr>
            <c:extLst>
              <c:ext xmlns:c16="http://schemas.microsoft.com/office/drawing/2014/chart" uri="{C3380CC4-5D6E-409C-BE32-E72D297353CC}">
                <c16:uniqueId val="{0000000A-8D2A-4761-B138-1283342F4F41}"/>
              </c:ext>
            </c:extLst>
          </c:dPt>
          <c:dPt>
            <c:idx val="1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B-8D2A-4761-B138-1283342F4F41}"/>
              </c:ext>
            </c:extLst>
          </c:dPt>
          <c:dPt>
            <c:idx val="12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C-8D2A-4761-B138-1283342F4F41}"/>
              </c:ext>
            </c:extLst>
          </c:dPt>
          <c:dPt>
            <c:idx val="13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D-8D2A-4761-B138-1283342F4F41}"/>
              </c:ext>
            </c:extLst>
          </c:dPt>
          <c:dPt>
            <c:idx val="14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E-8D2A-4761-B138-1283342F4F41}"/>
              </c:ext>
            </c:extLst>
          </c:dPt>
          <c:dPt>
            <c:idx val="15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F-8D2A-4761-B138-1283342F4F41}"/>
              </c:ext>
            </c:extLst>
          </c:dPt>
          <c:dPt>
            <c:idx val="16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0-8D2A-4761-B138-1283342F4F41}"/>
              </c:ext>
            </c:extLst>
          </c:dPt>
          <c:dPt>
            <c:idx val="17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1-8D2A-4761-B138-1283342F4F41}"/>
              </c:ext>
            </c:extLst>
          </c:dPt>
          <c:dPt>
            <c:idx val="18"/>
            <c:invertIfNegative val="0"/>
            <c:bubble3D val="0"/>
            <c:spPr>
              <a:solidFill>
                <a:schemeClr val="bg1">
                  <a:lumMod val="85000"/>
                </a:schemeClr>
              </a:solidFill>
              <a:ln w="6350" cap="flat" cmpd="sng" algn="ctr">
                <a:solidFill>
                  <a:schemeClr val="bg1">
                    <a:lumMod val="95000"/>
                  </a:schemeClr>
                </a:solidFill>
                <a:prstDash val="solid"/>
                <a:miter lim="800000"/>
              </a:ln>
              <a:effectLst/>
            </c:spPr>
            <c:extLst>
              <c:ext xmlns:c16="http://schemas.microsoft.com/office/drawing/2014/chart" uri="{C3380CC4-5D6E-409C-BE32-E72D297353CC}">
                <c16:uniqueId val="{00000013-8D2A-4761-B138-1283342F4F41}"/>
              </c:ext>
            </c:extLst>
          </c:dPt>
          <c:dPt>
            <c:idx val="19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4-8D2A-4761-B138-1283342F4F41}"/>
              </c:ext>
            </c:extLst>
          </c:dPt>
          <c:dPt>
            <c:idx val="2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5-8D2A-4761-B138-1283342F4F41}"/>
              </c:ext>
            </c:extLst>
          </c:dPt>
          <c:dPt>
            <c:idx val="21"/>
            <c:invertIfNegative val="0"/>
            <c:bubble3D val="0"/>
            <c:spPr>
              <a:solidFill>
                <a:schemeClr val="tx1">
                  <a:lumMod val="50000"/>
                  <a:lumOff val="50000"/>
                </a:schemeClr>
              </a:solidFill>
              <a:ln w="6350" cap="flat" cmpd="sng" algn="ctr">
                <a:solidFill>
                  <a:schemeClr val="bg1">
                    <a:lumMod val="75000"/>
                  </a:schemeClr>
                </a:solidFill>
                <a:prstDash val="solid"/>
                <a:miter lim="800000"/>
              </a:ln>
              <a:effectLst/>
            </c:spPr>
            <c:extLst>
              <c:ext xmlns:c16="http://schemas.microsoft.com/office/drawing/2014/chart" uri="{C3380CC4-5D6E-409C-BE32-E72D297353CC}">
                <c16:uniqueId val="{00000017-8D2A-4761-B138-1283342F4F41}"/>
              </c:ext>
            </c:extLst>
          </c:dPt>
          <c:dPt>
            <c:idx val="22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8-8D2A-4761-B138-1283342F4F41}"/>
              </c:ext>
            </c:extLst>
          </c:dPt>
          <c:dLbls>
            <c:dLbl>
              <c:idx val="0"/>
              <c:layout>
                <c:manualLayout>
                  <c:x val="0"/>
                  <c:y val="-0.13074011030698046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8D2A-4761-B138-1283342F4F41}"/>
                </c:ext>
              </c:extLst>
            </c:dLbl>
            <c:dLbl>
              <c:idx val="1"/>
              <c:layout>
                <c:manualLayout>
                  <c:x val="0"/>
                  <c:y val="-0.15170983681957387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8D2A-4761-B138-1283342F4F41}"/>
                </c:ext>
              </c:extLst>
            </c:dLbl>
            <c:dLbl>
              <c:idx val="2"/>
              <c:layout>
                <c:manualLayout>
                  <c:x val="3.5460992907801092E-3"/>
                  <c:y val="-0.2059737165904686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8D2A-4761-B138-1283342F4F41}"/>
                </c:ext>
              </c:extLst>
            </c:dLbl>
            <c:dLbl>
              <c:idx val="7"/>
              <c:layout>
                <c:manualLayout>
                  <c:x val="0"/>
                  <c:y val="-0.22878163070355098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8D2A-4761-B138-1283342F4F41}"/>
                </c:ext>
              </c:extLst>
            </c:dLbl>
            <c:dLbl>
              <c:idx val="8"/>
              <c:layout>
                <c:manualLayout>
                  <c:x val="-6.50110693175489E-17"/>
                  <c:y val="-0.18742909258160004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8D2A-4761-B138-1283342F4F41}"/>
                </c:ext>
              </c:extLst>
            </c:dLbl>
            <c:dLbl>
              <c:idx val="11"/>
              <c:layout>
                <c:manualLayout>
                  <c:x val="0"/>
                  <c:y val="-0.11620561284058165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9-8D2A-4761-B138-1283342F4F41}"/>
                </c:ext>
              </c:extLst>
            </c:dLbl>
            <c:dLbl>
              <c:idx val="12"/>
              <c:layout>
                <c:manualLayout>
                  <c:x val="3.5460992907801418E-3"/>
                  <c:y val="-0.10412334254523727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8D2A-4761-B138-1283342F4F41}"/>
                </c:ext>
              </c:extLst>
            </c:dLbl>
            <c:dLbl>
              <c:idx val="13"/>
              <c:layout>
                <c:manualLayout>
                  <c:x val="0"/>
                  <c:y val="-0.17097486085290053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8D2A-4761-B138-1283342F4F41}"/>
                </c:ext>
              </c:extLst>
            </c:dLbl>
            <c:dLbl>
              <c:idx val="14"/>
              <c:layout>
                <c:manualLayout>
                  <c:x val="-1.107011070110701E-2"/>
                  <c:y val="-0.2297263679215541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8D2A-4761-B138-1283342F4F41}"/>
                </c:ext>
              </c:extLst>
            </c:dLbl>
            <c:dLbl>
              <c:idx val="15"/>
              <c:layout>
                <c:manualLayout>
                  <c:x val="0"/>
                  <c:y val="-0.11620757839618534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600" b="0"/>
                  </a:pPr>
                  <a:endParaRPr lang="es-PE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8D2A-4761-B138-1283342F4F41}"/>
                </c:ext>
              </c:extLst>
            </c:dLbl>
            <c:dLbl>
              <c:idx val="16"/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600" b="0"/>
                  </a:pPr>
                  <a:endParaRPr lang="es-PE"/>
                </a:p>
              </c:txPr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10-8D2A-4761-B138-1283342F4F41}"/>
                </c:ext>
              </c:extLst>
            </c:dLbl>
            <c:dLbl>
              <c:idx val="17"/>
              <c:layout>
                <c:manualLayout>
                  <c:x val="-1.3529979001881025E-16"/>
                  <c:y val="-0.16010982732957943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600" b="0"/>
                  </a:pPr>
                  <a:endParaRPr lang="es-PE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8D2A-4761-B138-1283342F4F41}"/>
                </c:ext>
              </c:extLst>
            </c:dLbl>
            <c:dLbl>
              <c:idx val="18"/>
              <c:layout>
                <c:manualLayout>
                  <c:x val="0"/>
                  <c:y val="-0.19177926024349304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600" b="0"/>
                  </a:pPr>
                  <a:endParaRPr lang="es-PE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8D2A-4761-B138-1283342F4F41}"/>
                </c:ext>
              </c:extLst>
            </c:dLbl>
            <c:dLbl>
              <c:idx val="20"/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600" b="0"/>
                  </a:pPr>
                  <a:endParaRPr lang="es-PE"/>
                </a:p>
              </c:txPr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15-8D2A-4761-B138-1283342F4F41}"/>
                </c:ext>
              </c:extLst>
            </c:dLbl>
            <c:dLbl>
              <c:idx val="21"/>
              <c:layout>
                <c:manualLayout>
                  <c:x val="-1.2893243940175537E-2"/>
                  <c:y val="-0.2481327780865156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600" b="0"/>
                  </a:pPr>
                  <a:endParaRPr lang="es-PE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7-8D2A-4761-B138-1283342F4F41}"/>
                </c:ext>
              </c:extLst>
            </c:dLbl>
            <c:dLbl>
              <c:idx val="22"/>
              <c:layout>
                <c:manualLayout>
                  <c:x val="0"/>
                  <c:y val="-0.21972552981551294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8-8D2A-4761-B138-1283342F4F4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600"/>
                </a:pPr>
                <a:endParaRPr lang="es-PE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Hoja1!$A$14:$A$35</c:f>
              <c:strCache>
                <c:ptCount val="22"/>
                <c:pt idx="0">
                  <c:v>E-20</c:v>
                </c:pt>
                <c:pt idx="1">
                  <c:v>F</c:v>
                </c:pt>
                <c:pt idx="2">
                  <c:v>M</c:v>
                </c:pt>
                <c:pt idx="3">
                  <c:v>A</c:v>
                </c:pt>
                <c:pt idx="4">
                  <c:v>M</c:v>
                </c:pt>
                <c:pt idx="5">
                  <c:v>J</c:v>
                </c:pt>
                <c:pt idx="6">
                  <c:v>Jl</c:v>
                </c:pt>
                <c:pt idx="7">
                  <c:v>A</c:v>
                </c:pt>
                <c:pt idx="8">
                  <c:v>S</c:v>
                </c:pt>
                <c:pt idx="9">
                  <c:v>O</c:v>
                </c:pt>
                <c:pt idx="10">
                  <c:v>N</c:v>
                </c:pt>
                <c:pt idx="11">
                  <c:v>D</c:v>
                </c:pt>
                <c:pt idx="12">
                  <c:v>E-21</c:v>
                </c:pt>
                <c:pt idx="13">
                  <c:v>F</c:v>
                </c:pt>
                <c:pt idx="14">
                  <c:v>M</c:v>
                </c:pt>
                <c:pt idx="15">
                  <c:v>A</c:v>
                </c:pt>
                <c:pt idx="16">
                  <c:v>M</c:v>
                </c:pt>
                <c:pt idx="17">
                  <c:v>J</c:v>
                </c:pt>
                <c:pt idx="18">
                  <c:v>Jl</c:v>
                </c:pt>
                <c:pt idx="19">
                  <c:v>A</c:v>
                </c:pt>
                <c:pt idx="20">
                  <c:v>S</c:v>
                </c:pt>
                <c:pt idx="21">
                  <c:v>O</c:v>
                </c:pt>
              </c:strCache>
            </c:strRef>
          </c:cat>
          <c:val>
            <c:numRef>
              <c:f>Hoja1!$B$14:$B$35</c:f>
              <c:numCache>
                <c:formatCode>_ * #,##0_ ;_ * \-#,##0_ ;_ * "-"??_ ;_ @_ </c:formatCode>
                <c:ptCount val="22"/>
                <c:pt idx="0">
                  <c:v>1346.47012793</c:v>
                </c:pt>
                <c:pt idx="1">
                  <c:v>1510.6560846499999</c:v>
                </c:pt>
                <c:pt idx="2">
                  <c:v>1429.9930229399999</c:v>
                </c:pt>
                <c:pt idx="3">
                  <c:v>1399.0415506300001</c:v>
                </c:pt>
                <c:pt idx="4">
                  <c:v>1057.4114015299999</c:v>
                </c:pt>
                <c:pt idx="5">
                  <c:v>1374.33047263</c:v>
                </c:pt>
                <c:pt idx="6">
                  <c:v>1342</c:v>
                </c:pt>
                <c:pt idx="7">
                  <c:v>1353</c:v>
                </c:pt>
                <c:pt idx="8">
                  <c:v>1551</c:v>
                </c:pt>
                <c:pt idx="9">
                  <c:v>1615.4451047699999</c:v>
                </c:pt>
                <c:pt idx="10">
                  <c:v>1555</c:v>
                </c:pt>
                <c:pt idx="11">
                  <c:v>1644.53668397555</c:v>
                </c:pt>
                <c:pt idx="12">
                  <c:v>1371.1450600999999</c:v>
                </c:pt>
                <c:pt idx="13">
                  <c:v>1170.1521685299999</c:v>
                </c:pt>
                <c:pt idx="14">
                  <c:v>1877.99828755</c:v>
                </c:pt>
                <c:pt idx="15">
                  <c:v>1652.3172830200001</c:v>
                </c:pt>
                <c:pt idx="16">
                  <c:v>1442.14432386</c:v>
                </c:pt>
                <c:pt idx="17">
                  <c:v>1983.1557679</c:v>
                </c:pt>
                <c:pt idx="18">
                  <c:v>1998.9975050600001</c:v>
                </c:pt>
                <c:pt idx="19">
                  <c:v>1510.6622531200001</c:v>
                </c:pt>
                <c:pt idx="20">
                  <c:v>1571</c:v>
                </c:pt>
                <c:pt idx="21">
                  <c:v>1721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A-8D2A-4761-B138-1283342F4F4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5"/>
        <c:overlap val="100"/>
        <c:axId val="148777216"/>
        <c:axId val="148852736"/>
      </c:barChart>
      <c:lineChart>
        <c:grouping val="standard"/>
        <c:varyColors val="0"/>
        <c:ser>
          <c:idx val="4"/>
          <c:order val="1"/>
          <c:tx>
            <c:strRef>
              <c:f>Hoja1!$C$1</c:f>
              <c:strCache>
                <c:ptCount val="1"/>
                <c:pt idx="0">
                  <c:v>Var % Real</c:v>
                </c:pt>
              </c:strCache>
            </c:strRef>
          </c:tx>
          <c:spPr>
            <a:ln w="19050">
              <a:solidFill>
                <a:srgbClr val="0070C0"/>
              </a:solidFill>
            </a:ln>
            <a:effectLst/>
          </c:spPr>
          <c:marker>
            <c:symbol val="none"/>
          </c:marker>
          <c:dLbls>
            <c:dLbl>
              <c:idx val="2"/>
              <c:layout>
                <c:manualLayout>
                  <c:x val="-5.0665103032333694E-2"/>
                  <c:y val="-2.295297211662820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B-8D2A-4761-B138-1283342F4F41}"/>
                </c:ext>
              </c:extLst>
            </c:dLbl>
            <c:dLbl>
              <c:idx val="4"/>
              <c:layout>
                <c:manualLayout>
                  <c:x val="-6.1447249905569955E-2"/>
                  <c:y val="4.69421851474756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C-8D2A-4761-B138-1283342F4F41}"/>
                </c:ext>
              </c:extLst>
            </c:dLbl>
            <c:dLbl>
              <c:idx val="5"/>
              <c:layout>
                <c:manualLayout>
                  <c:x val="-5.5581253450329847E-2"/>
                  <c:y val="-3.7930505816079034E-2"/>
                </c:manualLayout>
              </c:layout>
              <c:spPr>
                <a:noFill/>
                <a:ln>
                  <a:noFill/>
                </a:ln>
              </c:spPr>
              <c:txPr>
                <a:bodyPr/>
                <a:lstStyle/>
                <a:p>
                  <a:pPr>
                    <a:defRPr sz="600" b="0">
                      <a:solidFill>
                        <a:srgbClr val="0070C0"/>
                      </a:solidFill>
                    </a:defRPr>
                  </a:pPr>
                  <a:endParaRPr lang="es-PE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D-8D2A-4761-B138-1283342F4F41}"/>
                </c:ext>
              </c:extLst>
            </c:dLbl>
            <c:dLbl>
              <c:idx val="6"/>
              <c:spPr>
                <a:noFill/>
                <a:ln>
                  <a:noFill/>
                </a:ln>
              </c:spPr>
              <c:txPr>
                <a:bodyPr/>
                <a:lstStyle/>
                <a:p>
                  <a:pPr>
                    <a:defRPr sz="600" b="0">
                      <a:solidFill>
                        <a:srgbClr val="0070C0"/>
                      </a:solidFill>
                    </a:defRPr>
                  </a:pPr>
                  <a:endParaRPr lang="es-PE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1E-8D2A-4761-B138-1283342F4F41}"/>
                </c:ext>
              </c:extLst>
            </c:dLbl>
            <c:dLbl>
              <c:idx val="7"/>
              <c:spPr>
                <a:noFill/>
                <a:ln>
                  <a:noFill/>
                </a:ln>
              </c:spPr>
              <c:txPr>
                <a:bodyPr/>
                <a:lstStyle/>
                <a:p>
                  <a:pPr>
                    <a:defRPr sz="600" b="0">
                      <a:solidFill>
                        <a:srgbClr val="0070C0"/>
                      </a:solidFill>
                    </a:defRPr>
                  </a:pPr>
                  <a:endParaRPr lang="es-PE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1F-8D2A-4761-B138-1283342F4F41}"/>
                </c:ext>
              </c:extLst>
            </c:dLbl>
            <c:dLbl>
              <c:idx val="12"/>
              <c:layout>
                <c:manualLayout>
                  <c:x val="-3.9363686550251333E-2"/>
                  <c:y val="2.209424744013274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0-8D2A-4761-B138-1283342F4F41}"/>
                </c:ext>
              </c:extLst>
            </c:dLbl>
            <c:dLbl>
              <c:idx val="14"/>
              <c:dLblPos val="b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1-8D2A-4761-B138-1283342F4F41}"/>
                </c:ext>
              </c:extLst>
            </c:dLbl>
            <c:dLbl>
              <c:idx val="17"/>
              <c:layout>
                <c:manualLayout>
                  <c:x val="-5.2896824243832991E-2"/>
                  <c:y val="-4.585042618277427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2-8D2A-4761-B138-1283342F4F41}"/>
                </c:ext>
              </c:extLst>
            </c:dLbl>
            <c:dLbl>
              <c:idx val="20"/>
              <c:spPr>
                <a:noFill/>
                <a:ln>
                  <a:noFill/>
                </a:ln>
                <a:effectLst/>
              </c:spPr>
              <c:txPr>
                <a:bodyPr/>
                <a:lstStyle/>
                <a:p>
                  <a:pPr>
                    <a:defRPr sz="600" b="1">
                      <a:solidFill>
                        <a:srgbClr val="0070C0"/>
                      </a:solidFill>
                    </a:defRPr>
                  </a:pPr>
                  <a:endParaRPr lang="es-PE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23-8D2A-4761-B138-1283342F4F41}"/>
                </c:ext>
              </c:extLst>
            </c:dLbl>
            <c:dLbl>
              <c:idx val="22"/>
              <c:spPr>
                <a:noFill/>
                <a:ln>
                  <a:noFill/>
                </a:ln>
                <a:effectLst/>
              </c:spPr>
              <c:txPr>
                <a:bodyPr/>
                <a:lstStyle/>
                <a:p>
                  <a:pPr>
                    <a:defRPr sz="600" b="1">
                      <a:solidFill>
                        <a:srgbClr val="0070C0"/>
                      </a:solidFill>
                    </a:defRPr>
                  </a:pPr>
                  <a:endParaRPr lang="es-PE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24-8D2A-4761-B138-1283342F4F4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600" b="0">
                    <a:solidFill>
                      <a:srgbClr val="0070C0"/>
                    </a:solidFill>
                  </a:defRPr>
                </a:pPr>
                <a:endParaRPr lang="es-PE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Hoja1!$A$14:$A$34</c:f>
              <c:strCache>
                <c:ptCount val="21"/>
                <c:pt idx="0">
                  <c:v>E-20</c:v>
                </c:pt>
                <c:pt idx="1">
                  <c:v>F</c:v>
                </c:pt>
                <c:pt idx="2">
                  <c:v>M</c:v>
                </c:pt>
                <c:pt idx="3">
                  <c:v>A</c:v>
                </c:pt>
                <c:pt idx="4">
                  <c:v>M</c:v>
                </c:pt>
                <c:pt idx="5">
                  <c:v>J</c:v>
                </c:pt>
                <c:pt idx="6">
                  <c:v>Jl</c:v>
                </c:pt>
                <c:pt idx="7">
                  <c:v>A</c:v>
                </c:pt>
                <c:pt idx="8">
                  <c:v>S</c:v>
                </c:pt>
                <c:pt idx="9">
                  <c:v>O</c:v>
                </c:pt>
                <c:pt idx="10">
                  <c:v>N</c:v>
                </c:pt>
                <c:pt idx="11">
                  <c:v>D</c:v>
                </c:pt>
                <c:pt idx="12">
                  <c:v>E-21</c:v>
                </c:pt>
                <c:pt idx="13">
                  <c:v>F</c:v>
                </c:pt>
                <c:pt idx="14">
                  <c:v>M</c:v>
                </c:pt>
                <c:pt idx="15">
                  <c:v>A</c:v>
                </c:pt>
                <c:pt idx="16">
                  <c:v>M</c:v>
                </c:pt>
                <c:pt idx="17">
                  <c:v>J</c:v>
                </c:pt>
                <c:pt idx="18">
                  <c:v>Jl</c:v>
                </c:pt>
                <c:pt idx="19">
                  <c:v>A</c:v>
                </c:pt>
                <c:pt idx="20">
                  <c:v>S</c:v>
                </c:pt>
              </c:strCache>
            </c:strRef>
          </c:cat>
          <c:val>
            <c:numRef>
              <c:f>Hoja1!$C$14:$C$35</c:f>
              <c:numCache>
                <c:formatCode>0.0</c:formatCode>
                <c:ptCount val="22"/>
                <c:pt idx="0">
                  <c:v>-2.7391472584362031</c:v>
                </c:pt>
                <c:pt idx="1">
                  <c:v>5.6498778983682607</c:v>
                </c:pt>
                <c:pt idx="2">
                  <c:v>-6.9517224965093938</c:v>
                </c:pt>
                <c:pt idx="3">
                  <c:v>-12.169631818476311</c:v>
                </c:pt>
                <c:pt idx="4">
                  <c:v>-26.498905086769597</c:v>
                </c:pt>
                <c:pt idx="5">
                  <c:v>-8.418581790484259</c:v>
                </c:pt>
                <c:pt idx="6">
                  <c:v>-23.9</c:v>
                </c:pt>
                <c:pt idx="7">
                  <c:v>-28.6</c:v>
                </c:pt>
                <c:pt idx="8">
                  <c:v>0.2</c:v>
                </c:pt>
                <c:pt idx="9">
                  <c:v>7.550343342764454</c:v>
                </c:pt>
                <c:pt idx="10">
                  <c:v>11.1</c:v>
                </c:pt>
                <c:pt idx="11">
                  <c:v>18.399999999999999</c:v>
                </c:pt>
                <c:pt idx="12">
                  <c:v>-0.82101437509206621</c:v>
                </c:pt>
                <c:pt idx="13">
                  <c:v>-24.356591778235259</c:v>
                </c:pt>
                <c:pt idx="14">
                  <c:v>27.784294173044643</c:v>
                </c:pt>
                <c:pt idx="15">
                  <c:v>15.353830890355358</c:v>
                </c:pt>
                <c:pt idx="16">
                  <c:v>33.126202870686704</c:v>
                </c:pt>
                <c:pt idx="17">
                  <c:v>39.751415253202047</c:v>
                </c:pt>
                <c:pt idx="18">
                  <c:v>43.462133499045223</c:v>
                </c:pt>
                <c:pt idx="19">
                  <c:v>6.3696825883116315</c:v>
                </c:pt>
                <c:pt idx="20">
                  <c:v>-3.7</c:v>
                </c:pt>
                <c:pt idx="21">
                  <c:v>0.7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25-8D2A-4761-B138-1283342F4F41}"/>
            </c:ext>
          </c:extLst>
        </c:ser>
        <c:ser>
          <c:idx val="1"/>
          <c:order val="2"/>
          <c:tx>
            <c:strRef>
              <c:f>Hoja1!$D$1</c:f>
              <c:strCache>
                <c:ptCount val="1"/>
                <c:pt idx="0">
                  <c:v>Columna1</c:v>
                </c:pt>
              </c:strCache>
            </c:strRef>
          </c:tx>
          <c:spPr>
            <a:ln w="12700">
              <a:solidFill>
                <a:schemeClr val="accent1"/>
              </a:solidFill>
              <a:prstDash val="dash"/>
            </a:ln>
          </c:spPr>
          <c:marker>
            <c:symbol val="none"/>
          </c:marker>
          <c:cat>
            <c:strRef>
              <c:f>Hoja1!$A$14:$A$34</c:f>
              <c:strCache>
                <c:ptCount val="21"/>
                <c:pt idx="0">
                  <c:v>E-20</c:v>
                </c:pt>
                <c:pt idx="1">
                  <c:v>F</c:v>
                </c:pt>
                <c:pt idx="2">
                  <c:v>M</c:v>
                </c:pt>
                <c:pt idx="3">
                  <c:v>A</c:v>
                </c:pt>
                <c:pt idx="4">
                  <c:v>M</c:v>
                </c:pt>
                <c:pt idx="5">
                  <c:v>J</c:v>
                </c:pt>
                <c:pt idx="6">
                  <c:v>Jl</c:v>
                </c:pt>
                <c:pt idx="7">
                  <c:v>A</c:v>
                </c:pt>
                <c:pt idx="8">
                  <c:v>S</c:v>
                </c:pt>
                <c:pt idx="9">
                  <c:v>O</c:v>
                </c:pt>
                <c:pt idx="10">
                  <c:v>N</c:v>
                </c:pt>
                <c:pt idx="11">
                  <c:v>D</c:v>
                </c:pt>
                <c:pt idx="12">
                  <c:v>E-21</c:v>
                </c:pt>
                <c:pt idx="13">
                  <c:v>F</c:v>
                </c:pt>
                <c:pt idx="14">
                  <c:v>M</c:v>
                </c:pt>
                <c:pt idx="15">
                  <c:v>A</c:v>
                </c:pt>
                <c:pt idx="16">
                  <c:v>M</c:v>
                </c:pt>
                <c:pt idx="17">
                  <c:v>J</c:v>
                </c:pt>
                <c:pt idx="18">
                  <c:v>Jl</c:v>
                </c:pt>
                <c:pt idx="19">
                  <c:v>A</c:v>
                </c:pt>
                <c:pt idx="20">
                  <c:v>S</c:v>
                </c:pt>
              </c:strCache>
            </c:strRef>
          </c:cat>
          <c:val>
            <c:numRef>
              <c:f>Hoja1!$D$14:$D$35</c:f>
              <c:numCache>
                <c:formatCode>General</c:formatCode>
                <c:ptCount val="22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26-8D2A-4761-B138-1283342F4F4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48854272"/>
        <c:axId val="148855808"/>
      </c:lineChart>
      <c:catAx>
        <c:axId val="148777216"/>
        <c:scaling>
          <c:orientation val="minMax"/>
        </c:scaling>
        <c:delete val="0"/>
        <c:axPos val="b"/>
        <c:numFmt formatCode="mmm\-yy" sourceLinked="0"/>
        <c:majorTickMark val="none"/>
        <c:minorTickMark val="none"/>
        <c:tickLblPos val="nextTo"/>
        <c:txPr>
          <a:bodyPr rot="0" vert="horz"/>
          <a:lstStyle/>
          <a:p>
            <a:pPr>
              <a:defRPr sz="700"/>
            </a:pPr>
            <a:endParaRPr lang="es-PE"/>
          </a:p>
        </c:txPr>
        <c:crossAx val="148852736"/>
        <c:crosses val="autoZero"/>
        <c:auto val="1"/>
        <c:lblAlgn val="ctr"/>
        <c:lblOffset val="100"/>
        <c:noMultiLvlLbl val="1"/>
      </c:catAx>
      <c:valAx>
        <c:axId val="148852736"/>
        <c:scaling>
          <c:orientation val="minMax"/>
          <c:min val="0"/>
        </c:scaling>
        <c:delete val="0"/>
        <c:axPos val="l"/>
        <c:numFmt formatCode="#,##0" sourceLinked="0"/>
        <c:majorTickMark val="none"/>
        <c:minorTickMark val="none"/>
        <c:tickLblPos val="nextTo"/>
        <c:spPr>
          <a:ln w="8578">
            <a:solidFill>
              <a:schemeClr val="tx1">
                <a:alpha val="66000"/>
              </a:schemeClr>
            </a:solidFill>
          </a:ln>
        </c:spPr>
        <c:txPr>
          <a:bodyPr/>
          <a:lstStyle/>
          <a:p>
            <a:pPr>
              <a:defRPr sz="800"/>
            </a:pPr>
            <a:endParaRPr lang="es-PE"/>
          </a:p>
        </c:txPr>
        <c:crossAx val="148777216"/>
        <c:crosses val="autoZero"/>
        <c:crossBetween val="between"/>
      </c:valAx>
      <c:catAx>
        <c:axId val="148854272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48855808"/>
        <c:crosses val="autoZero"/>
        <c:auto val="1"/>
        <c:lblAlgn val="ctr"/>
        <c:lblOffset val="100"/>
        <c:noMultiLvlLbl val="1"/>
      </c:catAx>
      <c:valAx>
        <c:axId val="148855808"/>
        <c:scaling>
          <c:orientation val="minMax"/>
        </c:scaling>
        <c:delete val="0"/>
        <c:axPos val="r"/>
        <c:numFmt formatCode="0" sourceLinked="0"/>
        <c:majorTickMark val="out"/>
        <c:minorTickMark val="none"/>
        <c:tickLblPos val="nextTo"/>
        <c:txPr>
          <a:bodyPr/>
          <a:lstStyle/>
          <a:p>
            <a:pPr>
              <a:defRPr sz="800">
                <a:solidFill>
                  <a:schemeClr val="accent5"/>
                </a:solidFill>
              </a:defRPr>
            </a:pPr>
            <a:endParaRPr lang="es-PE"/>
          </a:p>
        </c:txPr>
        <c:crossAx val="148854272"/>
        <c:crosses val="max"/>
        <c:crossBetween val="between"/>
      </c:valAx>
      <c:spPr>
        <a:noFill/>
        <a:ln w="22874">
          <a:noFill/>
        </a:ln>
      </c:spPr>
    </c:plotArea>
    <c:legend>
      <c:legendPos val="b"/>
      <c:layout>
        <c:manualLayout>
          <c:xMode val="edge"/>
          <c:yMode val="edge"/>
          <c:x val="0.17993171978963884"/>
          <c:y val="0.91414806923473058"/>
          <c:w val="0.6498556430446194"/>
          <c:h val="5.0904352133217499E-2"/>
        </c:manualLayout>
      </c:layout>
      <c:overlay val="0"/>
      <c:txPr>
        <a:bodyPr/>
        <a:lstStyle/>
        <a:p>
          <a:pPr>
            <a:defRPr sz="800"/>
          </a:pPr>
          <a:endParaRPr lang="es-PE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901" baseline="0">
          <a:solidFill>
            <a:schemeClr val="tx1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es-PE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659</Words>
  <Characters>3628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Canchari Obregon Guido Arnaldo</dc:creator>
  <cp:keywords/>
  <dc:description/>
  <cp:lastModifiedBy>Mantilla Mujica Ana Maria</cp:lastModifiedBy>
  <cp:revision>2</cp:revision>
  <dcterms:created xsi:type="dcterms:W3CDTF">2021-11-05T13:46:00Z</dcterms:created>
  <dcterms:modified xsi:type="dcterms:W3CDTF">2021-11-05T13:46:00Z</dcterms:modified>
</cp:coreProperties>
</file>