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3CDF" w14:textId="6BFA234D" w:rsidR="00ED3143" w:rsidRDefault="00ED3143" w:rsidP="00ED314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right"/>
        <w:rPr>
          <w:rFonts w:ascii="Arial" w:eastAsia="Arial" w:hAnsi="Arial" w:cs="Arial"/>
          <w:b/>
          <w:iCs/>
          <w:caps/>
          <w:sz w:val="24"/>
          <w:szCs w:val="24"/>
        </w:rPr>
      </w:pPr>
      <w:r w:rsidRPr="00ED3143">
        <w:rPr>
          <w:rFonts w:ascii="Arial" w:eastAsia="Arial" w:hAnsi="Arial" w:cs="Arial"/>
          <w:b/>
          <w:iCs/>
          <w:caps/>
          <w:sz w:val="24"/>
          <w:szCs w:val="24"/>
        </w:rPr>
        <w:t xml:space="preserve">Nota de Prensa </w:t>
      </w:r>
      <w:proofErr w:type="spellStart"/>
      <w:r w:rsidRPr="00ED3143">
        <w:rPr>
          <w:rFonts w:ascii="Arial" w:eastAsia="Arial" w:hAnsi="Arial" w:cs="Arial"/>
          <w:b/>
          <w:iCs/>
          <w:caps/>
          <w:sz w:val="24"/>
          <w:szCs w:val="24"/>
        </w:rPr>
        <w:t>N°</w:t>
      </w:r>
      <w:proofErr w:type="spellEnd"/>
      <w:r w:rsidRPr="00ED3143">
        <w:rPr>
          <w:rFonts w:ascii="Arial" w:eastAsia="Arial" w:hAnsi="Arial" w:cs="Arial"/>
          <w:b/>
          <w:iCs/>
          <w:caps/>
          <w:sz w:val="24"/>
          <w:szCs w:val="24"/>
        </w:rPr>
        <w:t xml:space="preserve"> 073-2022</w:t>
      </w:r>
    </w:p>
    <w:p w14:paraId="76292B11" w14:textId="77777777" w:rsidR="00ED3143" w:rsidRPr="00ED3143" w:rsidRDefault="00ED3143" w:rsidP="00ED314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right"/>
        <w:rPr>
          <w:rFonts w:ascii="Arial" w:eastAsia="Arial" w:hAnsi="Arial" w:cs="Arial"/>
          <w:b/>
          <w:iCs/>
          <w:caps/>
          <w:sz w:val="24"/>
          <w:szCs w:val="24"/>
        </w:rPr>
      </w:pPr>
    </w:p>
    <w:p w14:paraId="1B735D3A" w14:textId="3202EA88" w:rsidR="00DE1A5B" w:rsidRPr="005C037C" w:rsidRDefault="00DE1A5B" w:rsidP="00DE1A5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Arial" w:eastAsia="Arial" w:hAnsi="Arial" w:cs="Arial"/>
          <w:b/>
          <w:iCs/>
          <w:caps/>
          <w:sz w:val="36"/>
          <w:szCs w:val="36"/>
        </w:rPr>
      </w:pPr>
      <w:r w:rsidRPr="005C037C">
        <w:rPr>
          <w:rFonts w:ascii="Arial" w:eastAsia="Arial" w:hAnsi="Arial" w:cs="Arial"/>
          <w:b/>
          <w:iCs/>
          <w:caps/>
          <w:sz w:val="36"/>
          <w:szCs w:val="36"/>
        </w:rPr>
        <w:t>INGRESOS</w:t>
      </w:r>
      <w:r>
        <w:rPr>
          <w:rFonts w:ascii="Arial" w:eastAsia="Arial" w:hAnsi="Arial" w:cs="Arial"/>
          <w:b/>
          <w:iCs/>
          <w:caps/>
          <w:sz w:val="36"/>
          <w:szCs w:val="36"/>
        </w:rPr>
        <w:t xml:space="preserve"> </w:t>
      </w:r>
      <w:r w:rsidRPr="005C037C">
        <w:rPr>
          <w:rFonts w:ascii="Arial" w:eastAsia="Arial" w:hAnsi="Arial" w:cs="Arial"/>
          <w:b/>
          <w:iCs/>
          <w:caps/>
          <w:sz w:val="36"/>
          <w:szCs w:val="36"/>
        </w:rPr>
        <w:t>TRIBUTARIOS aUMENTARON 7,3% ENTRE ENERO Y NOVIEMBRE</w:t>
      </w:r>
    </w:p>
    <w:p w14:paraId="33CC2887" w14:textId="77777777" w:rsidR="00DE1A5B" w:rsidRPr="00B101BF" w:rsidRDefault="00DE1A5B" w:rsidP="00DE1A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</w:rPr>
      </w:pPr>
    </w:p>
    <w:p w14:paraId="3A3B8E32" w14:textId="77777777" w:rsidR="00DE1A5B" w:rsidRPr="009365DA" w:rsidRDefault="00DE1A5B" w:rsidP="00DE1A5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8"/>
        <w:rPr>
          <w:rFonts w:ascii="Arial Nova" w:eastAsia="Arial" w:hAnsi="Arial Nova" w:cs="Arial"/>
          <w:b/>
          <w:sz w:val="8"/>
          <w:szCs w:val="8"/>
        </w:rPr>
      </w:pPr>
    </w:p>
    <w:p w14:paraId="19CAF520" w14:textId="77777777" w:rsidR="00DE1A5B" w:rsidRDefault="00DE1A5B" w:rsidP="00DE1A5B">
      <w:pPr>
        <w:spacing w:after="0" w:line="240" w:lineRule="auto"/>
        <w:jc w:val="both"/>
        <w:rPr>
          <w:rFonts w:ascii="Arial Nova" w:eastAsia="Arial" w:hAnsi="Arial Nova" w:cs="Arial"/>
        </w:rPr>
      </w:pPr>
      <w:r>
        <w:rPr>
          <w:rFonts w:ascii="Arial Nova" w:eastAsia="Arial" w:hAnsi="Arial Nova" w:cs="Arial"/>
        </w:rPr>
        <w:t>En</w:t>
      </w:r>
      <w:r w:rsidRPr="009365DA">
        <w:rPr>
          <w:rFonts w:ascii="Arial Nova" w:eastAsia="Arial" w:hAnsi="Arial Nova" w:cs="Arial"/>
        </w:rPr>
        <w:t xml:space="preserve"> noviembre los ingresos tributarios del Gobierno Central Netos (descontando las devoluciones de impuestos) alcanzaron los S/ 12 216 millones, lo que representa una contracción del 13.5%.</w:t>
      </w:r>
      <w:r>
        <w:rPr>
          <w:rFonts w:ascii="Arial Nova" w:eastAsia="Arial" w:hAnsi="Arial Nova" w:cs="Arial"/>
        </w:rPr>
        <w:t xml:space="preserve"> </w:t>
      </w:r>
      <w:r w:rsidRPr="005C037C">
        <w:rPr>
          <w:rFonts w:ascii="Arial Nova" w:eastAsia="Arial" w:hAnsi="Arial Nova" w:cs="Arial"/>
        </w:rPr>
        <w:t>Con este resultado, la recaudación acumulada entre enero y noviembre a</w:t>
      </w:r>
      <w:r>
        <w:rPr>
          <w:rFonts w:ascii="Arial Nova" w:eastAsia="Arial" w:hAnsi="Arial Nova" w:cs="Arial"/>
        </w:rPr>
        <w:t xml:space="preserve">scendió a </w:t>
      </w:r>
      <w:r w:rsidRPr="005C037C">
        <w:rPr>
          <w:rFonts w:ascii="Arial Nova" w:eastAsia="Arial" w:hAnsi="Arial Nova" w:cs="Arial"/>
        </w:rPr>
        <w:t xml:space="preserve">S/ 145 767 millones, importe que representa un crecimiento acumulado de 7,3% y S/ 19 523 millones adicionales respecto año 2021. </w:t>
      </w:r>
      <w:r w:rsidRPr="005C037C">
        <w:rPr>
          <w:rFonts w:ascii="Arial Nova" w:eastAsia="Arial" w:hAnsi="Arial Nova" w:cs="Arial"/>
        </w:rPr>
        <w:tab/>
      </w:r>
    </w:p>
    <w:p w14:paraId="1A2A81C0" w14:textId="77777777" w:rsidR="00DE1A5B" w:rsidRPr="009365DA" w:rsidRDefault="00DE1A5B" w:rsidP="00DE1A5B">
      <w:pPr>
        <w:spacing w:after="0" w:line="240" w:lineRule="auto"/>
        <w:jc w:val="both"/>
        <w:rPr>
          <w:rFonts w:ascii="Arial Nova" w:eastAsia="Arial" w:hAnsi="Arial Nova" w:cs="Arial"/>
        </w:rPr>
      </w:pPr>
    </w:p>
    <w:p w14:paraId="6BC07445" w14:textId="77777777" w:rsidR="00DE1A5B" w:rsidRDefault="00DE1A5B" w:rsidP="00DE1A5B">
      <w:pPr>
        <w:spacing w:after="0" w:line="240" w:lineRule="auto"/>
        <w:jc w:val="both"/>
        <w:rPr>
          <w:rFonts w:ascii="Arial Nova" w:eastAsia="Arial" w:hAnsi="Arial Nova" w:cs="Arial"/>
        </w:rPr>
      </w:pPr>
      <w:r>
        <w:rPr>
          <w:rFonts w:ascii="Arial Nova" w:eastAsia="Arial" w:hAnsi="Arial Nova" w:cs="Arial"/>
        </w:rPr>
        <w:t>E</w:t>
      </w:r>
      <w:r w:rsidRPr="00D069F3">
        <w:rPr>
          <w:rFonts w:ascii="Arial Nova" w:eastAsia="Arial" w:hAnsi="Arial Nova" w:cs="Arial"/>
        </w:rPr>
        <w:t>s importante mencionar que en noviembre del año pasado se obtuvieron pagos extraordinarios por recuperación de deudas</w:t>
      </w:r>
      <w:r>
        <w:rPr>
          <w:rFonts w:ascii="Arial Nova" w:eastAsia="Arial" w:hAnsi="Arial Nova" w:cs="Arial"/>
        </w:rPr>
        <w:t xml:space="preserve">, </w:t>
      </w:r>
      <w:proofErr w:type="gramStart"/>
      <w:r>
        <w:rPr>
          <w:rFonts w:ascii="Arial Nova" w:eastAsia="Arial" w:hAnsi="Arial Nova" w:cs="Arial"/>
        </w:rPr>
        <w:t xml:space="preserve">que </w:t>
      </w:r>
      <w:r w:rsidRPr="00D069F3">
        <w:rPr>
          <w:rFonts w:ascii="Arial Nova" w:eastAsia="Arial" w:hAnsi="Arial Nova" w:cs="Arial"/>
        </w:rPr>
        <w:t>,</w:t>
      </w:r>
      <w:proofErr w:type="gramEnd"/>
      <w:r w:rsidRPr="00D069F3">
        <w:rPr>
          <w:rFonts w:ascii="Arial Nova" w:eastAsia="Arial" w:hAnsi="Arial Nova" w:cs="Arial"/>
        </w:rPr>
        <w:t xml:space="preserve"> junto con las menores devoluciones de noviembre del año 2021</w:t>
      </w:r>
      <w:r>
        <w:rPr>
          <w:rFonts w:ascii="Arial Nova" w:eastAsia="Arial" w:hAnsi="Arial Nova" w:cs="Arial"/>
        </w:rPr>
        <w:t>,</w:t>
      </w:r>
      <w:r w:rsidRPr="00D069F3">
        <w:rPr>
          <w:rFonts w:ascii="Arial Nova" w:eastAsia="Arial" w:hAnsi="Arial Nova" w:cs="Arial"/>
        </w:rPr>
        <w:t xml:space="preserve"> incrementaron la base de comparación de los ingresos tributarios del Gobierno Central </w:t>
      </w:r>
      <w:r>
        <w:rPr>
          <w:rFonts w:ascii="Arial Nova" w:eastAsia="Arial" w:hAnsi="Arial Nova" w:cs="Arial"/>
        </w:rPr>
        <w:t>n</w:t>
      </w:r>
      <w:r w:rsidRPr="00D069F3">
        <w:rPr>
          <w:rFonts w:ascii="Arial Nova" w:eastAsia="Arial" w:hAnsi="Arial Nova" w:cs="Arial"/>
        </w:rPr>
        <w:t xml:space="preserve">etos e influenciaron significativamente </w:t>
      </w:r>
      <w:r>
        <w:rPr>
          <w:rFonts w:ascii="Arial Nova" w:eastAsia="Arial" w:hAnsi="Arial Nova" w:cs="Arial"/>
        </w:rPr>
        <w:t xml:space="preserve">en </w:t>
      </w:r>
      <w:r w:rsidRPr="00D069F3">
        <w:rPr>
          <w:rFonts w:ascii="Arial Nova" w:eastAsia="Arial" w:hAnsi="Arial Nova" w:cs="Arial"/>
        </w:rPr>
        <w:t xml:space="preserve">el resultado del mes. </w:t>
      </w:r>
    </w:p>
    <w:p w14:paraId="51396CE2" w14:textId="77777777" w:rsidR="00DE1A5B" w:rsidRPr="00D069F3" w:rsidRDefault="00DE1A5B" w:rsidP="00DE1A5B">
      <w:pPr>
        <w:spacing w:after="0" w:line="240" w:lineRule="auto"/>
        <w:jc w:val="both"/>
        <w:rPr>
          <w:rFonts w:ascii="Arial Nova" w:eastAsia="Arial" w:hAnsi="Arial Nova" w:cs="Arial"/>
        </w:rPr>
      </w:pPr>
    </w:p>
    <w:p w14:paraId="2312F0A5" w14:textId="77777777" w:rsidR="00DE1A5B" w:rsidRDefault="00DE1A5B" w:rsidP="00DE1A5B">
      <w:pPr>
        <w:spacing w:after="0" w:line="240" w:lineRule="auto"/>
        <w:jc w:val="both"/>
        <w:rPr>
          <w:rFonts w:ascii="Arial Nova" w:eastAsia="Arial" w:hAnsi="Arial Nova" w:cs="Arial"/>
          <w:b/>
        </w:rPr>
      </w:pPr>
      <w:r w:rsidRPr="00D069F3">
        <w:rPr>
          <w:rFonts w:ascii="Arial Nova" w:eastAsia="Arial" w:hAnsi="Arial Nova" w:cs="Arial"/>
          <w:b/>
        </w:rPr>
        <w:t>Los factores determinantes del resultado de la recaudación de noviembre fueron los siguientes:</w:t>
      </w:r>
    </w:p>
    <w:p w14:paraId="28A6BBEA" w14:textId="77777777" w:rsidR="00DE1A5B" w:rsidRPr="00D069F3" w:rsidRDefault="00DE1A5B" w:rsidP="00DE1A5B">
      <w:pPr>
        <w:spacing w:after="0" w:line="240" w:lineRule="auto"/>
        <w:jc w:val="both"/>
        <w:rPr>
          <w:rFonts w:ascii="Arial Nova" w:eastAsia="Arial" w:hAnsi="Arial Nova" w:cs="Arial"/>
          <w:b/>
        </w:rPr>
      </w:pPr>
    </w:p>
    <w:p w14:paraId="1F83CEE9" w14:textId="77777777" w:rsidR="00DE1A5B" w:rsidRDefault="00DE1A5B" w:rsidP="00DE1A5B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 Nova" w:eastAsia="Arial" w:hAnsi="Arial Nova" w:cs="Arial"/>
        </w:rPr>
      </w:pPr>
      <w:r w:rsidRPr="00D069F3">
        <w:rPr>
          <w:rFonts w:ascii="Arial Nova" w:eastAsia="Arial" w:hAnsi="Arial Nova" w:cs="Arial"/>
        </w:rPr>
        <w:t>El efecto estadístico adverso debido a que en la recaudación correspondiente a noviembre del año 2021 se contó con importantes pagos extraordinarios por más de S/ 1 000 millones; cifra que excede con creces a los aproximadamente S/ 200 millones obtenidos en noviembre de</w:t>
      </w:r>
      <w:r>
        <w:rPr>
          <w:rFonts w:ascii="Arial Nova" w:eastAsia="Arial" w:hAnsi="Arial Nova" w:cs="Arial"/>
        </w:rPr>
        <w:t xml:space="preserve"> este</w:t>
      </w:r>
      <w:r w:rsidRPr="00D069F3">
        <w:rPr>
          <w:rFonts w:ascii="Arial Nova" w:eastAsia="Arial" w:hAnsi="Arial Nova" w:cs="Arial"/>
        </w:rPr>
        <w:t xml:space="preserve"> año</w:t>
      </w:r>
      <w:r>
        <w:rPr>
          <w:rFonts w:ascii="Arial Nova" w:eastAsia="Arial" w:hAnsi="Arial Nova" w:cs="Arial"/>
        </w:rPr>
        <w:t>.</w:t>
      </w:r>
    </w:p>
    <w:p w14:paraId="1EA57E63" w14:textId="77777777" w:rsidR="00DE1A5B" w:rsidRPr="00D069F3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eastAsia="Arial" w:hAnsi="Arial Nova" w:cs="Arial"/>
        </w:rPr>
      </w:pPr>
    </w:p>
    <w:p w14:paraId="4DEE6937" w14:textId="77777777" w:rsidR="00DE1A5B" w:rsidRDefault="00DE1A5B" w:rsidP="00DE1A5B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 Nova" w:eastAsia="Arial" w:hAnsi="Arial Nova" w:cs="Arial"/>
        </w:rPr>
      </w:pPr>
      <w:r w:rsidRPr="00D069F3">
        <w:rPr>
          <w:rFonts w:ascii="Arial Nova" w:eastAsia="Arial" w:hAnsi="Arial Nova" w:cs="Arial"/>
        </w:rPr>
        <w:t>Las mayores devoluciones de impuestos realizadas durante el mes que exceden en S/ 479 millones a las de noviembre del año pasado</w:t>
      </w:r>
      <w:r>
        <w:rPr>
          <w:rFonts w:ascii="Arial Nova" w:eastAsia="Arial" w:hAnsi="Arial Nova" w:cs="Arial"/>
        </w:rPr>
        <w:t>.</w:t>
      </w:r>
    </w:p>
    <w:p w14:paraId="4E47473C" w14:textId="77777777" w:rsidR="00DE1A5B" w:rsidRPr="00D069F3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eastAsia="Arial" w:hAnsi="Arial Nova" w:cs="Arial"/>
        </w:rPr>
      </w:pPr>
    </w:p>
    <w:p w14:paraId="1F84A3FD" w14:textId="77777777" w:rsidR="00DE1A5B" w:rsidRDefault="00DE1A5B" w:rsidP="00DE1A5B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 Nova" w:eastAsia="Arial" w:hAnsi="Arial Nova" w:cs="Arial"/>
        </w:rPr>
      </w:pPr>
      <w:r w:rsidRPr="00D069F3">
        <w:rPr>
          <w:rFonts w:ascii="Arial Nova" w:eastAsia="Arial" w:hAnsi="Arial Nova" w:cs="Arial"/>
        </w:rPr>
        <w:t>El impacto negativo de la</w:t>
      </w:r>
      <w:r>
        <w:rPr>
          <w:rFonts w:ascii="Arial Nova" w:eastAsia="Arial" w:hAnsi="Arial Nova" w:cs="Arial"/>
        </w:rPr>
        <w:t>s</w:t>
      </w:r>
      <w:r w:rsidRPr="00D069F3">
        <w:rPr>
          <w:rFonts w:ascii="Arial Nova" w:eastAsia="Arial" w:hAnsi="Arial Nova" w:cs="Arial"/>
        </w:rPr>
        <w:t xml:space="preserve"> leyes </w:t>
      </w:r>
      <w:proofErr w:type="spellStart"/>
      <w:r w:rsidRPr="00D069F3">
        <w:rPr>
          <w:rFonts w:ascii="Arial Nova" w:eastAsia="Arial" w:hAnsi="Arial Nova" w:cs="Arial"/>
        </w:rPr>
        <w:t>N°</w:t>
      </w:r>
      <w:proofErr w:type="spellEnd"/>
      <w:r w:rsidRPr="00D069F3">
        <w:rPr>
          <w:rFonts w:ascii="Arial Nova" w:eastAsia="Arial" w:hAnsi="Arial Nova" w:cs="Arial"/>
        </w:rPr>
        <w:t xml:space="preserve"> 31452 y </w:t>
      </w:r>
      <w:proofErr w:type="spellStart"/>
      <w:r w:rsidRPr="00D069F3">
        <w:rPr>
          <w:rFonts w:ascii="Arial Nova" w:eastAsia="Arial" w:hAnsi="Arial Nova" w:cs="Arial"/>
        </w:rPr>
        <w:t>N°</w:t>
      </w:r>
      <w:proofErr w:type="spellEnd"/>
      <w:r w:rsidRPr="00D069F3">
        <w:rPr>
          <w:rFonts w:ascii="Arial Nova" w:eastAsia="Arial" w:hAnsi="Arial Nova" w:cs="Arial"/>
        </w:rPr>
        <w:t xml:space="preserve"> 31556 que exoneraron del IGV a algunos productos de la canasta básica y fijan una tasa de 8% del IGV para los restaurantes y hoteles MYPES</w:t>
      </w:r>
      <w:r>
        <w:rPr>
          <w:rFonts w:ascii="Arial Nova" w:eastAsia="Arial" w:hAnsi="Arial Nova" w:cs="Arial"/>
        </w:rPr>
        <w:t>.</w:t>
      </w:r>
    </w:p>
    <w:p w14:paraId="3E93D68F" w14:textId="77777777" w:rsidR="00DE1A5B" w:rsidRPr="00D069F3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eastAsia="Arial" w:hAnsi="Arial Nova" w:cs="Arial"/>
        </w:rPr>
      </w:pPr>
    </w:p>
    <w:p w14:paraId="489B07E3" w14:textId="77777777" w:rsidR="00DE1A5B" w:rsidRDefault="00DE1A5B" w:rsidP="00DE1A5B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 Nova" w:eastAsia="Arial" w:hAnsi="Arial Nova" w:cs="Arial"/>
        </w:rPr>
      </w:pPr>
      <w:r w:rsidRPr="00D069F3">
        <w:rPr>
          <w:rFonts w:ascii="Arial Nova" w:eastAsia="Arial" w:hAnsi="Arial Nova" w:cs="Arial"/>
        </w:rPr>
        <w:t>Los menores pagos por concepto del Impuestos Especial a la Minería en un contexto de menores cotizaciones de los metales</w:t>
      </w:r>
      <w:r>
        <w:rPr>
          <w:rFonts w:ascii="Arial Nova" w:eastAsia="Arial" w:hAnsi="Arial Nova" w:cs="Arial"/>
        </w:rPr>
        <w:t>.</w:t>
      </w:r>
    </w:p>
    <w:p w14:paraId="7E8A646E" w14:textId="77777777" w:rsidR="00DE1A5B" w:rsidRDefault="00DE1A5B" w:rsidP="00DE1A5B">
      <w:pPr>
        <w:pStyle w:val="Prrafodelista"/>
        <w:rPr>
          <w:rFonts w:ascii="Arial Nova" w:eastAsia="Arial" w:hAnsi="Arial Nova" w:cs="Arial"/>
        </w:rPr>
      </w:pPr>
    </w:p>
    <w:p w14:paraId="1E3BCF6B" w14:textId="77777777" w:rsidR="00DE1A5B" w:rsidRDefault="00DE1A5B" w:rsidP="00DE1A5B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 Nova" w:eastAsia="Arial" w:hAnsi="Arial Nova" w:cs="Arial"/>
        </w:rPr>
      </w:pPr>
      <w:r w:rsidRPr="00D069F3">
        <w:rPr>
          <w:rFonts w:ascii="Arial Nova" w:eastAsia="Arial" w:hAnsi="Arial Nova" w:cs="Arial"/>
        </w:rPr>
        <w:t xml:space="preserve">Lo anterior habría sido parcialmente atenuado por el desempeño favorable que habría registrado la actividad económica durante octubre, cuyas obligaciones tributarias se declaran y pagan en noviembre, con un PBI que habría crecido alrededor de 2,0%. </w:t>
      </w:r>
    </w:p>
    <w:p w14:paraId="7790EE4B" w14:textId="77777777" w:rsidR="00DE1A5B" w:rsidRDefault="00DE1A5B" w:rsidP="00DE1A5B">
      <w:pPr>
        <w:pStyle w:val="Prrafodelista"/>
        <w:rPr>
          <w:rFonts w:ascii="Arial Nova" w:eastAsia="Arial" w:hAnsi="Arial Nova" w:cs="Arial"/>
        </w:rPr>
      </w:pPr>
    </w:p>
    <w:p w14:paraId="0E12BCD1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eastAsia="Arial" w:hAnsi="Arial Nova" w:cs="Arial"/>
        </w:rPr>
      </w:pPr>
      <w:r w:rsidRPr="00D069F3">
        <w:rPr>
          <w:rFonts w:ascii="Arial Nova" w:eastAsia="Arial" w:hAnsi="Arial Nova" w:cs="Arial"/>
        </w:rPr>
        <w:t>A</w:t>
      </w:r>
      <w:r>
        <w:rPr>
          <w:rFonts w:ascii="Arial Nova" w:eastAsia="Arial" w:hAnsi="Arial Nova" w:cs="Arial"/>
        </w:rPr>
        <w:t>demás,</w:t>
      </w:r>
      <w:r w:rsidRPr="00D069F3">
        <w:rPr>
          <w:rFonts w:ascii="Arial Nova" w:eastAsia="Arial" w:hAnsi="Arial Nova" w:cs="Arial"/>
        </w:rPr>
        <w:t xml:space="preserve"> las importaciones se habrían incrementado en alrededor de 7%</w:t>
      </w:r>
      <w:r>
        <w:rPr>
          <w:rFonts w:ascii="Arial Nova" w:eastAsia="Arial" w:hAnsi="Arial Nova" w:cs="Arial"/>
        </w:rPr>
        <w:t xml:space="preserve"> en noviembre</w:t>
      </w:r>
      <w:r w:rsidRPr="00D069F3">
        <w:rPr>
          <w:rFonts w:ascii="Arial Nova" w:eastAsia="Arial" w:hAnsi="Arial Nova" w:cs="Arial"/>
        </w:rPr>
        <w:t xml:space="preserve"> permitiendo una mayor recaudación de tributos aduaneros a pesar de la contracción de 3% en el tipo de cambio promedio (S/. 3,886 x US$).</w:t>
      </w:r>
    </w:p>
    <w:p w14:paraId="7FE26448" w14:textId="77777777" w:rsidR="00DE1A5B" w:rsidRPr="00D069F3" w:rsidRDefault="00DE1A5B" w:rsidP="00DE1A5B">
      <w:pPr>
        <w:pStyle w:val="Prrafodelista"/>
        <w:spacing w:after="0" w:line="240" w:lineRule="auto"/>
        <w:ind w:left="0"/>
        <w:contextualSpacing w:val="0"/>
        <w:jc w:val="both"/>
        <w:rPr>
          <w:rFonts w:ascii="Arial Nova" w:eastAsia="Arial" w:hAnsi="Arial Nova" w:cs="Arial"/>
        </w:rPr>
      </w:pPr>
    </w:p>
    <w:p w14:paraId="2B2E0D80" w14:textId="77777777" w:rsidR="00DE1A5B" w:rsidRDefault="00DE1A5B" w:rsidP="00DE1A5B">
      <w:pPr>
        <w:spacing w:after="0" w:line="240" w:lineRule="auto"/>
        <w:rPr>
          <w:rFonts w:ascii="Arial Nova" w:hAnsi="Arial Nova" w:cs="Arial"/>
          <w:b/>
        </w:rPr>
      </w:pPr>
      <w:r w:rsidRPr="00D069F3">
        <w:rPr>
          <w:rFonts w:ascii="Arial Nova" w:hAnsi="Arial Nova" w:cs="Arial"/>
          <w:b/>
        </w:rPr>
        <w:t xml:space="preserve">Resultados por tributos </w:t>
      </w:r>
    </w:p>
    <w:p w14:paraId="20C8BE58" w14:textId="77777777" w:rsidR="00DE1A5B" w:rsidRPr="00D069F3" w:rsidRDefault="00DE1A5B" w:rsidP="00DE1A5B">
      <w:pPr>
        <w:spacing w:after="0" w:line="240" w:lineRule="auto"/>
        <w:rPr>
          <w:rFonts w:ascii="Arial Nova" w:hAnsi="Arial Nova" w:cs="Arial"/>
          <w:b/>
        </w:rPr>
      </w:pPr>
    </w:p>
    <w:p w14:paraId="503AFD73" w14:textId="77777777" w:rsidR="00DE1A5B" w:rsidRPr="00D069F3" w:rsidRDefault="00DE1A5B" w:rsidP="00DE1A5B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 Nova" w:hAnsi="Arial Nova" w:cs="Arial"/>
          <w:b/>
        </w:rPr>
      </w:pPr>
      <w:r w:rsidRPr="00D069F3">
        <w:rPr>
          <w:rFonts w:ascii="Arial Nova" w:hAnsi="Arial Nova" w:cs="Arial"/>
          <w:b/>
        </w:rPr>
        <w:t xml:space="preserve">Impuesto a la Renta: </w:t>
      </w:r>
      <w:r w:rsidRPr="00D069F3">
        <w:rPr>
          <w:rFonts w:ascii="Arial Nova" w:hAnsi="Arial Nova" w:cs="Arial"/>
          <w:bCs/>
        </w:rPr>
        <w:t>En noviembre se recaudaron S/ 4 264</w:t>
      </w:r>
      <w:r>
        <w:rPr>
          <w:rFonts w:ascii="Arial Nova" w:hAnsi="Arial Nova" w:cs="Arial"/>
          <w:bCs/>
        </w:rPr>
        <w:t xml:space="preserve"> </w:t>
      </w:r>
      <w:r w:rsidRPr="00D069F3">
        <w:rPr>
          <w:rFonts w:ascii="Arial Nova" w:hAnsi="Arial Nova" w:cs="Arial"/>
          <w:bCs/>
        </w:rPr>
        <w:t xml:space="preserve">millones por este impuesto, cifra que representa una contracción de 5,6% respecto a </w:t>
      </w:r>
      <w:r>
        <w:rPr>
          <w:rFonts w:ascii="Arial Nova" w:hAnsi="Arial Nova" w:cs="Arial"/>
          <w:bCs/>
        </w:rPr>
        <w:t>similar mes</w:t>
      </w:r>
      <w:r w:rsidRPr="00D069F3">
        <w:rPr>
          <w:rFonts w:ascii="Arial Nova" w:hAnsi="Arial Nova" w:cs="Arial"/>
          <w:bCs/>
        </w:rPr>
        <w:t xml:space="preserve"> del año 2021, a pesar de que se recaudaron S/ 100 millones más en términos nominales. </w:t>
      </w:r>
    </w:p>
    <w:p w14:paraId="021A098F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  <w:bCs/>
        </w:rPr>
      </w:pPr>
      <w:r w:rsidRPr="00D069F3">
        <w:rPr>
          <w:rFonts w:ascii="Arial Nova" w:hAnsi="Arial Nova" w:cs="Arial"/>
        </w:rPr>
        <w:lastRenderedPageBreak/>
        <w:t>Asimismo, entre enero y noviembre se recaudó por este impuesto S/ 65 186 millones,</w:t>
      </w:r>
      <w:r w:rsidRPr="00D069F3">
        <w:rPr>
          <w:rFonts w:ascii="Arial Nova" w:hAnsi="Arial Nova" w:cs="Arial"/>
          <w:bCs/>
        </w:rPr>
        <w:t xml:space="preserve"> registrando un crecimiento de 22,7% y S/ 15 730 millones de mayores ingresos.</w:t>
      </w:r>
    </w:p>
    <w:p w14:paraId="3BED7230" w14:textId="77777777" w:rsidR="00DE1A5B" w:rsidRPr="00D069F3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  <w:b/>
        </w:rPr>
      </w:pPr>
    </w:p>
    <w:p w14:paraId="1F4280F8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  <w:r w:rsidRPr="00D069F3">
        <w:rPr>
          <w:rFonts w:ascii="Arial Nova" w:hAnsi="Arial Nova" w:cs="Arial"/>
        </w:rPr>
        <w:t xml:space="preserve">El resultado de noviembre refleja principalmente los menores pagos por concepto de renta de no domiciliados (-42,9%, debido a los pagos extraordinarios de noviembre del año 2021); así como en Segunda Categoría (-36,5%), Regularización (-38,1%), Quinta Categoría </w:t>
      </w:r>
      <w:r>
        <w:rPr>
          <w:rFonts w:ascii="Arial Nova" w:hAnsi="Arial Nova" w:cs="Arial"/>
        </w:rPr>
        <w:t>(</w:t>
      </w:r>
      <w:r w:rsidRPr="00D069F3">
        <w:rPr>
          <w:rFonts w:ascii="Arial Nova" w:hAnsi="Arial Nova" w:cs="Arial"/>
        </w:rPr>
        <w:t>-3,4%)</w:t>
      </w:r>
      <w:r>
        <w:rPr>
          <w:rFonts w:ascii="Arial Nova" w:hAnsi="Arial Nova" w:cs="Arial"/>
        </w:rPr>
        <w:t xml:space="preserve"> y</w:t>
      </w:r>
      <w:r w:rsidRPr="00D069F3">
        <w:rPr>
          <w:rFonts w:ascii="Arial Nova" w:hAnsi="Arial Nova" w:cs="Arial"/>
        </w:rPr>
        <w:t xml:space="preserve"> Cuarta Categoría (-11,8%). El resultado negativo fue parcialmente atenuado por los mayores pagos a cuenta de Tercera Categoría y RMT (10,3%), RER (2,8%) y resto de rentas (19,8%).</w:t>
      </w:r>
    </w:p>
    <w:p w14:paraId="555A794B" w14:textId="77777777" w:rsidR="00DE1A5B" w:rsidRPr="00D069F3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</w:p>
    <w:p w14:paraId="0AEC0BDD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  <w:bookmarkStart w:id="0" w:name="_Hlk120743342"/>
      <w:r w:rsidRPr="00D069F3">
        <w:rPr>
          <w:rFonts w:ascii="Arial Nova" w:hAnsi="Arial Nova" w:cs="Arial"/>
        </w:rPr>
        <w:t xml:space="preserve">Los mayores pagos a cuenta obtenidos en noviembre influenciaron en el resultado, tanto por las acciones de recuperación de deuda llevadas a cabo por la SUNAT </w:t>
      </w:r>
      <w:r>
        <w:rPr>
          <w:rFonts w:ascii="Arial Nova" w:hAnsi="Arial Nova" w:cs="Arial"/>
        </w:rPr>
        <w:t>y por</w:t>
      </w:r>
      <w:r w:rsidRPr="00D069F3">
        <w:rPr>
          <w:rFonts w:ascii="Arial Nova" w:hAnsi="Arial Nova" w:cs="Arial"/>
        </w:rPr>
        <w:t xml:space="preserve"> los mayores ingresos declarados </w:t>
      </w:r>
      <w:r>
        <w:rPr>
          <w:rFonts w:ascii="Arial Nova" w:hAnsi="Arial Nova" w:cs="Arial"/>
        </w:rPr>
        <w:t>por algunas</w:t>
      </w:r>
      <w:r w:rsidRPr="00D069F3">
        <w:rPr>
          <w:rFonts w:ascii="Arial Nova" w:hAnsi="Arial Nova" w:cs="Arial"/>
        </w:rPr>
        <w:t xml:space="preserve"> </w:t>
      </w:r>
      <w:r>
        <w:rPr>
          <w:rFonts w:ascii="Arial Nova" w:hAnsi="Arial Nova" w:cs="Arial"/>
        </w:rPr>
        <w:t xml:space="preserve">empresas </w:t>
      </w:r>
      <w:r w:rsidRPr="00D069F3">
        <w:rPr>
          <w:rFonts w:ascii="Arial Nova" w:hAnsi="Arial Nova" w:cs="Arial"/>
        </w:rPr>
        <w:t xml:space="preserve">mineras y de hidrocarburos. </w:t>
      </w:r>
    </w:p>
    <w:p w14:paraId="1C8FDA0E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</w:p>
    <w:p w14:paraId="55AD0A79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  <w:r w:rsidRPr="00D069F3">
        <w:rPr>
          <w:rFonts w:ascii="Arial Nova" w:hAnsi="Arial Nova" w:cs="Arial"/>
        </w:rPr>
        <w:t>Estos resultados se han obtenido a pesar del ajuste a la baja en los coeficientes de pago mensual y del retroceso que registra la cotización internacional de los metales en los últimos meses, especialmente el cobre.</w:t>
      </w:r>
    </w:p>
    <w:p w14:paraId="6A77B76B" w14:textId="77777777" w:rsidR="00DE1A5B" w:rsidRPr="00D069F3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</w:p>
    <w:bookmarkEnd w:id="0"/>
    <w:p w14:paraId="0DC4808E" w14:textId="77777777" w:rsidR="00DE1A5B" w:rsidRPr="00F7642D" w:rsidRDefault="00DE1A5B" w:rsidP="00DE1A5B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 Nova" w:hAnsi="Arial Nova" w:cs="Arial"/>
          <w:b/>
        </w:rPr>
      </w:pPr>
      <w:r w:rsidRPr="00D069F3">
        <w:rPr>
          <w:rFonts w:ascii="Arial Nova" w:hAnsi="Arial Nova" w:cs="Arial"/>
          <w:b/>
        </w:rPr>
        <w:t xml:space="preserve">Impuesto General a las Ventas: </w:t>
      </w:r>
      <w:r w:rsidRPr="00D069F3">
        <w:rPr>
          <w:rFonts w:ascii="Arial Nova" w:hAnsi="Arial Nova" w:cs="Arial"/>
        </w:rPr>
        <w:t xml:space="preserve">La recaudación del IGV alcanzó los S/ 7 706 millones, monto que representó una contracción de 5,1% con respecto a lo registrado en noviembre del año 2021.  No obstante, entre </w:t>
      </w:r>
      <w:r w:rsidRPr="00D069F3">
        <w:rPr>
          <w:rFonts w:ascii="Arial Nova" w:hAnsi="Arial Nova" w:cs="Arial"/>
          <w:bCs/>
        </w:rPr>
        <w:t>enero y noviembre del presente año se recaudaron S/ 81 247 millones</w:t>
      </w:r>
      <w:r w:rsidRPr="00B101BF">
        <w:rPr>
          <w:rFonts w:ascii="Arial Nova" w:hAnsi="Arial Nova" w:cs="Arial"/>
          <w:bCs/>
        </w:rPr>
        <w:t xml:space="preserve"> </w:t>
      </w:r>
      <w:r w:rsidRPr="00D069F3">
        <w:rPr>
          <w:rFonts w:ascii="Arial Nova" w:hAnsi="Arial Nova" w:cs="Arial"/>
          <w:bCs/>
        </w:rPr>
        <w:t>por IGV, registrando un crecimiento de 7,2% y S/ 10 923 millones de mayores ingresos.</w:t>
      </w:r>
    </w:p>
    <w:p w14:paraId="468484A7" w14:textId="77777777" w:rsidR="00DE1A5B" w:rsidRPr="00D069F3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  <w:b/>
        </w:rPr>
      </w:pPr>
    </w:p>
    <w:p w14:paraId="64E1D5EE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  <w:r w:rsidRPr="00D069F3">
        <w:rPr>
          <w:rFonts w:ascii="Arial Nova" w:hAnsi="Arial Nova" w:cs="Arial"/>
        </w:rPr>
        <w:t xml:space="preserve">El IGV Interno se redujo en 11,0% durante noviembre, al recaudar S/ 4 002 millones, importe menor en S/ 143 millones a lo obtenido en </w:t>
      </w:r>
      <w:r>
        <w:rPr>
          <w:rFonts w:ascii="Arial Nova" w:hAnsi="Arial Nova" w:cs="Arial"/>
        </w:rPr>
        <w:t>similar mes</w:t>
      </w:r>
      <w:r w:rsidRPr="00D069F3">
        <w:rPr>
          <w:rFonts w:ascii="Arial Nova" w:hAnsi="Arial Nova" w:cs="Arial"/>
        </w:rPr>
        <w:t xml:space="preserve"> del año 2021. La contracción de este componente se debe a un efecto combinado de los siguientes factores:</w:t>
      </w:r>
    </w:p>
    <w:p w14:paraId="46D8EE71" w14:textId="77777777" w:rsidR="00DE1A5B" w:rsidRPr="00D069F3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</w:p>
    <w:p w14:paraId="0B403CDF" w14:textId="77777777" w:rsidR="00DE1A5B" w:rsidRDefault="00DE1A5B" w:rsidP="00DE1A5B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 Nova" w:hAnsi="Arial Nova" w:cs="Arial"/>
        </w:rPr>
      </w:pPr>
      <w:r w:rsidRPr="007060FF">
        <w:rPr>
          <w:rFonts w:ascii="Arial Nova" w:hAnsi="Arial Nova" w:cs="Arial"/>
        </w:rPr>
        <w:t>Los pagos extraordinarios obtenidos en noviembre del año 2021, por S/ 272 millones, los cuales incrementan la base para el cálculo de las variaciones</w:t>
      </w:r>
      <w:r>
        <w:rPr>
          <w:rFonts w:ascii="Arial Nova" w:hAnsi="Arial Nova" w:cs="Arial"/>
        </w:rPr>
        <w:t>.</w:t>
      </w:r>
    </w:p>
    <w:p w14:paraId="3A6BE5FE" w14:textId="77777777" w:rsidR="00DE1A5B" w:rsidRPr="007060FF" w:rsidRDefault="00DE1A5B" w:rsidP="00DE1A5B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 Nova" w:hAnsi="Arial Nova" w:cs="Arial"/>
        </w:rPr>
      </w:pPr>
      <w:r w:rsidRPr="007060FF">
        <w:rPr>
          <w:rFonts w:ascii="Arial Nova" w:hAnsi="Arial Nova" w:cs="Arial"/>
        </w:rPr>
        <w:t xml:space="preserve">Los efectos negativos de la Ley </w:t>
      </w:r>
      <w:proofErr w:type="spellStart"/>
      <w:r w:rsidRPr="007060FF">
        <w:rPr>
          <w:rFonts w:ascii="Arial Nova" w:hAnsi="Arial Nova" w:cs="Arial"/>
        </w:rPr>
        <w:t>N°</w:t>
      </w:r>
      <w:proofErr w:type="spellEnd"/>
      <w:r w:rsidRPr="007060FF">
        <w:rPr>
          <w:rFonts w:ascii="Arial Nova" w:hAnsi="Arial Nova" w:cs="Arial"/>
        </w:rPr>
        <w:t xml:space="preserve"> 31452 que exonera del IGV a algunos productos de la canasta básica, preservando el derecho al uso del crédito fiscal en las adquisiciones vinculada a dichas operaciones</w:t>
      </w:r>
      <w:r>
        <w:rPr>
          <w:rFonts w:ascii="Arial Nova" w:hAnsi="Arial Nova" w:cs="Arial"/>
        </w:rPr>
        <w:t>,</w:t>
      </w:r>
      <w:r w:rsidRPr="007060FF">
        <w:rPr>
          <w:rFonts w:ascii="Arial Nova" w:hAnsi="Arial Nova" w:cs="Arial"/>
        </w:rPr>
        <w:t xml:space="preserve"> y</w:t>
      </w:r>
    </w:p>
    <w:p w14:paraId="586316D7" w14:textId="77777777" w:rsidR="00DE1A5B" w:rsidRPr="007060FF" w:rsidRDefault="00DE1A5B" w:rsidP="00DE1A5B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 Nova" w:hAnsi="Arial Nova" w:cs="Arial"/>
        </w:rPr>
      </w:pPr>
      <w:r w:rsidRPr="007060FF">
        <w:rPr>
          <w:rFonts w:ascii="Arial Nova" w:hAnsi="Arial Nova" w:cs="Arial"/>
        </w:rPr>
        <w:t xml:space="preserve">Los efectos de la Ley </w:t>
      </w:r>
      <w:proofErr w:type="spellStart"/>
      <w:r w:rsidRPr="007060FF">
        <w:rPr>
          <w:rFonts w:ascii="Arial Nova" w:hAnsi="Arial Nova" w:cs="Arial"/>
        </w:rPr>
        <w:t>N°</w:t>
      </w:r>
      <w:proofErr w:type="spellEnd"/>
      <w:r w:rsidRPr="007060FF">
        <w:rPr>
          <w:rFonts w:ascii="Arial Nova" w:hAnsi="Arial Nova" w:cs="Arial"/>
        </w:rPr>
        <w:t xml:space="preserve"> 31556 que fija una tasa de 8% del IGV para los restaurantes y hoteles MYPES. </w:t>
      </w:r>
    </w:p>
    <w:p w14:paraId="6C702094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</w:p>
    <w:p w14:paraId="249EABE1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  <w:r w:rsidRPr="007060FF">
        <w:rPr>
          <w:rFonts w:ascii="Arial Nova" w:hAnsi="Arial Nova" w:cs="Arial"/>
        </w:rPr>
        <w:t>Por su parte, el IGV importado ascendió a S/ 3 704 millones, monto que representó un crecimiento de 2,2% y S/ 362 millones adicionales de recaudación. Como ya se adelantó, el comportamiento de este impuesto durante el mes de noviembre reflejó la mejora de la actividad, en particular las mayores importaciones.</w:t>
      </w:r>
    </w:p>
    <w:p w14:paraId="76348F9B" w14:textId="77777777" w:rsidR="00DE1A5B" w:rsidRPr="007060FF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</w:p>
    <w:p w14:paraId="59762857" w14:textId="40430A12" w:rsidR="00DE1A5B" w:rsidRPr="00DE1A5B" w:rsidRDefault="00DE1A5B" w:rsidP="00DE1A5B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  <w:r w:rsidRPr="00D069F3">
        <w:rPr>
          <w:rFonts w:ascii="Arial Nova" w:hAnsi="Arial Nova" w:cs="Arial"/>
          <w:b/>
        </w:rPr>
        <w:t xml:space="preserve">Impuesto Selectivo al Consumo: </w:t>
      </w:r>
      <w:r w:rsidRPr="00D069F3">
        <w:rPr>
          <w:rFonts w:ascii="Arial Nova" w:hAnsi="Arial Nova" w:cs="Arial"/>
          <w:bCs/>
        </w:rPr>
        <w:t xml:space="preserve">La recaudación del ISC alcanzó los S/ 861 millones, registrando una contracción de 6,8%. El ISC Interno retrocedió 12,8% influenciado por los menores pagos del rubro combustibles por aplicación de créditos por pagos de períodos pasados, y por menores pagos correspondientes a cervezas. </w:t>
      </w:r>
    </w:p>
    <w:p w14:paraId="66E62ED3" w14:textId="77777777" w:rsidR="00DE1A5B" w:rsidRPr="00F7642D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</w:p>
    <w:p w14:paraId="24F67556" w14:textId="77777777" w:rsidR="00DE1A5B" w:rsidRPr="00F7642D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  <w:r w:rsidRPr="00D069F3">
        <w:rPr>
          <w:rFonts w:ascii="Arial Nova" w:hAnsi="Arial Nova" w:cs="Arial"/>
          <w:bCs/>
        </w:rPr>
        <w:lastRenderedPageBreak/>
        <w:t xml:space="preserve">Por su parte, el ISC que grava las importaciones creció en 1,8% reflejando principalmente el crecimiento registrado en las importaciones garantizadas pagadas en el mes y el incremento de las importaciones corrientes. </w:t>
      </w:r>
    </w:p>
    <w:p w14:paraId="1E003504" w14:textId="77777777" w:rsidR="00DE1A5B" w:rsidRPr="00D069F3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</w:p>
    <w:p w14:paraId="08FEACF4" w14:textId="15533BFF" w:rsidR="00DE1A5B" w:rsidRDefault="00DE1A5B" w:rsidP="00DE1A5B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  <w:r w:rsidRPr="00D069F3">
        <w:rPr>
          <w:rFonts w:ascii="Arial Nova" w:hAnsi="Arial Nova" w:cs="Arial"/>
          <w:b/>
        </w:rPr>
        <w:t xml:space="preserve">Otros ingresos: </w:t>
      </w:r>
      <w:r w:rsidRPr="00D069F3">
        <w:rPr>
          <w:rFonts w:ascii="Arial Nova" w:hAnsi="Arial Nova" w:cs="Arial"/>
        </w:rPr>
        <w:t xml:space="preserve">La </w:t>
      </w:r>
      <w:r w:rsidRPr="009365DA">
        <w:rPr>
          <w:rFonts w:ascii="Arial Nova" w:hAnsi="Arial Nova" w:cs="Arial"/>
        </w:rPr>
        <w:t xml:space="preserve">recaudación asociada a este rubro ascendió a S/ 1 213 millones, monto que equivale a una reducción de 40,6% con respecto a noviembre del </w:t>
      </w:r>
      <w:r>
        <w:rPr>
          <w:rFonts w:ascii="Arial Nova" w:hAnsi="Arial Nova" w:cs="Arial"/>
        </w:rPr>
        <w:t xml:space="preserve">año </w:t>
      </w:r>
      <w:r w:rsidRPr="009365DA">
        <w:rPr>
          <w:rFonts w:ascii="Arial Nova" w:hAnsi="Arial Nova" w:cs="Arial"/>
        </w:rPr>
        <w:t xml:space="preserve">2021. Dicho resultado se explica por la disminución </w:t>
      </w:r>
      <w:r>
        <w:rPr>
          <w:rFonts w:ascii="Arial Nova" w:hAnsi="Arial Nova" w:cs="Arial"/>
        </w:rPr>
        <w:t xml:space="preserve">en 71,2% </w:t>
      </w:r>
      <w:r w:rsidRPr="009365DA">
        <w:rPr>
          <w:rFonts w:ascii="Arial Nova" w:hAnsi="Arial Nova" w:cs="Arial"/>
        </w:rPr>
        <w:t xml:space="preserve">de </w:t>
      </w:r>
      <w:r>
        <w:rPr>
          <w:rFonts w:ascii="Arial Nova" w:hAnsi="Arial Nova" w:cs="Arial"/>
        </w:rPr>
        <w:t>las m</w:t>
      </w:r>
      <w:r w:rsidRPr="009365DA">
        <w:rPr>
          <w:rFonts w:ascii="Arial Nova" w:hAnsi="Arial Nova" w:cs="Arial"/>
        </w:rPr>
        <w:t xml:space="preserve">ultas, explicado por los significativos pagos </w:t>
      </w:r>
      <w:r>
        <w:rPr>
          <w:rFonts w:ascii="Arial Nova" w:hAnsi="Arial Nova" w:cs="Arial"/>
        </w:rPr>
        <w:t>en este rubro</w:t>
      </w:r>
      <w:r w:rsidRPr="009365DA">
        <w:rPr>
          <w:rFonts w:ascii="Arial Nova" w:hAnsi="Arial Nova" w:cs="Arial"/>
        </w:rPr>
        <w:t xml:space="preserve"> obtenidos en noviembre </w:t>
      </w:r>
      <w:r>
        <w:rPr>
          <w:rFonts w:ascii="Arial Nova" w:hAnsi="Arial Nova" w:cs="Arial"/>
        </w:rPr>
        <w:t xml:space="preserve">del año </w:t>
      </w:r>
      <w:r w:rsidRPr="009365DA">
        <w:rPr>
          <w:rFonts w:ascii="Arial Nova" w:hAnsi="Arial Nova" w:cs="Arial"/>
        </w:rPr>
        <w:t xml:space="preserve">2021, los cuales incrementan la base de comparación. </w:t>
      </w:r>
    </w:p>
    <w:p w14:paraId="353152D2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</w:p>
    <w:p w14:paraId="2D3DBF98" w14:textId="77777777" w:rsidR="00DE1A5B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  <w:r w:rsidRPr="009365DA">
        <w:rPr>
          <w:rFonts w:ascii="Arial Nova" w:hAnsi="Arial Nova" w:cs="Arial"/>
        </w:rPr>
        <w:t>También disminuyeron el IEM (-91,1%), el Impuesto Temporal a los Activos Netos-ITAN (-5,1%), el Impuesto a las Transacciones Financieras (-27,4%)</w:t>
      </w:r>
      <w:r>
        <w:rPr>
          <w:rFonts w:ascii="Arial Nova" w:hAnsi="Arial Nova" w:cs="Arial"/>
        </w:rPr>
        <w:t>,</w:t>
      </w:r>
      <w:r w:rsidRPr="009365DA">
        <w:rPr>
          <w:rFonts w:ascii="Arial Nova" w:hAnsi="Arial Nova" w:cs="Arial"/>
        </w:rPr>
        <w:t xml:space="preserve"> el Régimen Único Simplificado - RUS (-6,5%) y Fraccionamientos (-0,7%). En contraste, durante noviembre se registraron mayores pagos del impuesto a los Casinos y Tragamonedas (7,9%).</w:t>
      </w:r>
    </w:p>
    <w:p w14:paraId="34EBF17A" w14:textId="77777777" w:rsidR="00DE1A5B" w:rsidRPr="009365DA" w:rsidRDefault="00DE1A5B" w:rsidP="00DE1A5B">
      <w:pPr>
        <w:pStyle w:val="Prrafodelista"/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</w:p>
    <w:p w14:paraId="5A9BA531" w14:textId="77777777" w:rsidR="00DE1A5B" w:rsidRPr="009365DA" w:rsidRDefault="00DE1A5B" w:rsidP="00DE1A5B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 Nova" w:hAnsi="Arial Nova" w:cs="Arial"/>
        </w:rPr>
      </w:pPr>
      <w:r w:rsidRPr="009365DA">
        <w:rPr>
          <w:rFonts w:ascii="Arial Nova" w:hAnsi="Arial Nova" w:cs="Arial"/>
          <w:b/>
        </w:rPr>
        <w:t>Devoluciones:</w:t>
      </w:r>
      <w:r w:rsidRPr="009365DA">
        <w:rPr>
          <w:rFonts w:ascii="Arial Nova" w:hAnsi="Arial Nova" w:cs="Arial"/>
        </w:rPr>
        <w:t xml:space="preserve"> Las devoluciones de impuestos realizadas durante el mes de noviembre ascendieron a S/ 2 002 millones, monto que representó un incremento de 21,2% con respecto a </w:t>
      </w:r>
      <w:r>
        <w:rPr>
          <w:rFonts w:ascii="Arial Nova" w:hAnsi="Arial Nova" w:cs="Arial"/>
        </w:rPr>
        <w:t>similar mes</w:t>
      </w:r>
      <w:r w:rsidRPr="009365DA">
        <w:rPr>
          <w:rFonts w:ascii="Arial Nova" w:hAnsi="Arial Nova" w:cs="Arial"/>
        </w:rPr>
        <w:t xml:space="preserve"> del </w:t>
      </w:r>
      <w:r>
        <w:rPr>
          <w:rFonts w:ascii="Arial Nova" w:hAnsi="Arial Nova" w:cs="Arial"/>
        </w:rPr>
        <w:t xml:space="preserve">año </w:t>
      </w:r>
      <w:r w:rsidRPr="009365DA">
        <w:rPr>
          <w:rFonts w:ascii="Arial Nova" w:hAnsi="Arial Nova" w:cs="Arial"/>
        </w:rPr>
        <w:t>2021. Como en los meses anteriores, el incremento está relacionado principalmente con la atención de devoluciones solicitadas por exportadores.</w:t>
      </w:r>
    </w:p>
    <w:p w14:paraId="201D3AC5" w14:textId="77777777" w:rsidR="00DE1A5B" w:rsidRPr="009365DA" w:rsidRDefault="00DE1A5B" w:rsidP="00DE1A5B">
      <w:pPr>
        <w:spacing w:after="0" w:line="240" w:lineRule="auto"/>
        <w:jc w:val="center"/>
        <w:rPr>
          <w:rFonts w:ascii="Arial Nova" w:hAnsi="Arial Nova" w:cs="Arial"/>
          <w:b/>
        </w:rPr>
      </w:pPr>
    </w:p>
    <w:p w14:paraId="2719E650" w14:textId="5ADE79A8" w:rsidR="00E7737B" w:rsidRPr="009365DA" w:rsidRDefault="00DE1A5B" w:rsidP="00DE1A5B">
      <w:pPr>
        <w:spacing w:after="0" w:line="240" w:lineRule="auto"/>
        <w:jc w:val="center"/>
        <w:rPr>
          <w:rFonts w:ascii="Arial Nova" w:hAnsi="Arial Nova" w:cs="Arial"/>
          <w:b/>
        </w:rPr>
      </w:pPr>
      <w:r w:rsidRPr="009365DA">
        <w:rPr>
          <w:rFonts w:ascii="Arial Nova" w:hAnsi="Arial Nova" w:cs="Arial"/>
          <w:b/>
        </w:rPr>
        <w:br w:type="page"/>
      </w:r>
      <w:r>
        <w:rPr>
          <w:rFonts w:ascii="Arial Nova" w:hAnsi="Arial Nova" w:cs="Arial"/>
          <w:b/>
        </w:rPr>
        <w:lastRenderedPageBreak/>
        <w:t>AN</w:t>
      </w:r>
      <w:r w:rsidR="00E7737B" w:rsidRPr="009365DA">
        <w:rPr>
          <w:rFonts w:ascii="Arial Nova" w:hAnsi="Arial Nova" w:cs="Arial"/>
          <w:b/>
        </w:rPr>
        <w:t>EXOS</w:t>
      </w:r>
    </w:p>
    <w:p w14:paraId="5050BA11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b/>
        </w:rPr>
      </w:pPr>
      <w:r w:rsidRPr="009365DA">
        <w:rPr>
          <w:rFonts w:ascii="Arial Nova" w:hAnsi="Arial Nova" w:cs="Arial"/>
          <w:bCs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593D5001" wp14:editId="2033099C">
            <wp:simplePos x="0" y="0"/>
            <wp:positionH relativeFrom="margin">
              <wp:posOffset>-22384</wp:posOffset>
            </wp:positionH>
            <wp:positionV relativeFrom="paragraph">
              <wp:posOffset>280670</wp:posOffset>
            </wp:positionV>
            <wp:extent cx="5104130" cy="2225842"/>
            <wp:effectExtent l="0" t="0" r="1270" b="317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EEB6D" w14:textId="77777777" w:rsidR="00704628" w:rsidRPr="009365DA" w:rsidRDefault="00704628" w:rsidP="00704628">
      <w:pPr>
        <w:spacing w:before="240" w:line="240" w:lineRule="auto"/>
        <w:rPr>
          <w:rFonts w:ascii="Arial Nova" w:hAnsi="Arial Nova" w:cs="Arial"/>
          <w:noProof/>
        </w:rPr>
      </w:pPr>
    </w:p>
    <w:p w14:paraId="259A98DB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36E6BE62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4D22919D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42390FF9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2226986E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3DB266B0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001A46A8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0B1550E9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  <w:r w:rsidRPr="009365DA">
        <w:rPr>
          <w:rFonts w:ascii="Arial Nova" w:hAnsi="Arial Nova" w:cs="Arial"/>
          <w:bCs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610477F1" wp14:editId="0F513245">
            <wp:simplePos x="0" y="0"/>
            <wp:positionH relativeFrom="margin">
              <wp:posOffset>-59055</wp:posOffset>
            </wp:positionH>
            <wp:positionV relativeFrom="paragraph">
              <wp:posOffset>69215</wp:posOffset>
            </wp:positionV>
            <wp:extent cx="4959350" cy="2159000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D9EC3" w14:textId="77777777" w:rsidR="00704628" w:rsidRPr="009365DA" w:rsidRDefault="00704628" w:rsidP="00704628">
      <w:pPr>
        <w:spacing w:before="240" w:line="240" w:lineRule="auto"/>
        <w:rPr>
          <w:rFonts w:ascii="Arial Nova" w:hAnsi="Arial Nova" w:cs="Arial"/>
          <w:noProof/>
        </w:rPr>
      </w:pPr>
    </w:p>
    <w:p w14:paraId="2A5075D3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6BC4E5C8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7BB02A74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3059ADA3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7B6705AD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3A51B848" w14:textId="0EEA8D73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6C177480" w14:textId="57412867" w:rsidR="00704628" w:rsidRPr="009365DA" w:rsidRDefault="00DE1A5B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  <w:r w:rsidRPr="009365DA">
        <w:rPr>
          <w:rFonts w:ascii="Arial Nova" w:hAnsi="Arial Nova" w:cs="Arial"/>
          <w:noProof/>
          <w:kern w:val="24"/>
          <w:lang w:val="es-ES"/>
        </w:rPr>
        <w:drawing>
          <wp:anchor distT="0" distB="0" distL="114300" distR="114300" simplePos="0" relativeHeight="251684864" behindDoc="0" locked="0" layoutInCell="1" allowOverlap="1" wp14:anchorId="04759AC7" wp14:editId="3928A8C5">
            <wp:simplePos x="0" y="0"/>
            <wp:positionH relativeFrom="margin">
              <wp:posOffset>-15875</wp:posOffset>
            </wp:positionH>
            <wp:positionV relativeFrom="paragraph">
              <wp:posOffset>33655</wp:posOffset>
            </wp:positionV>
            <wp:extent cx="4932947" cy="2195195"/>
            <wp:effectExtent l="0" t="0" r="1270" b="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D443D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758FCE2B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28E54B0C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7F7CD5E9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73274194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440BC75F" w14:textId="77777777" w:rsidR="00704628" w:rsidRPr="009365DA" w:rsidRDefault="00704628" w:rsidP="00704628">
      <w:pPr>
        <w:spacing w:before="240" w:line="240" w:lineRule="auto"/>
        <w:rPr>
          <w:rFonts w:ascii="Arial Nova" w:hAnsi="Arial Nova" w:cs="Arial"/>
          <w:noProof/>
        </w:rPr>
      </w:pPr>
    </w:p>
    <w:p w14:paraId="12EC640D" w14:textId="77777777" w:rsidR="00704628" w:rsidRPr="009365DA" w:rsidRDefault="00704628" w:rsidP="00704628">
      <w:pPr>
        <w:spacing w:before="240" w:line="240" w:lineRule="auto"/>
        <w:rPr>
          <w:rFonts w:ascii="Arial Nova" w:hAnsi="Arial Nova" w:cs="Arial"/>
          <w:noProof/>
        </w:rPr>
      </w:pPr>
    </w:p>
    <w:p w14:paraId="11C706B7" w14:textId="77777777" w:rsidR="00704628" w:rsidRPr="009365DA" w:rsidRDefault="00704628" w:rsidP="00704628">
      <w:pPr>
        <w:spacing w:before="240" w:line="240" w:lineRule="auto"/>
        <w:rPr>
          <w:rFonts w:ascii="Arial Nova" w:hAnsi="Arial Nova" w:cs="Arial"/>
          <w:noProof/>
        </w:rPr>
      </w:pPr>
    </w:p>
    <w:p w14:paraId="1B59529B" w14:textId="77777777" w:rsidR="00704628" w:rsidRPr="009365DA" w:rsidRDefault="00704628" w:rsidP="00704628">
      <w:pPr>
        <w:spacing w:before="240" w:line="240" w:lineRule="auto"/>
        <w:rPr>
          <w:rFonts w:ascii="Arial Nova" w:hAnsi="Arial Nova" w:cs="Arial"/>
          <w:noProof/>
        </w:rPr>
      </w:pPr>
    </w:p>
    <w:p w14:paraId="4CC2B9A8" w14:textId="77777777" w:rsidR="00704628" w:rsidRPr="009365DA" w:rsidRDefault="00704628" w:rsidP="00704628">
      <w:pPr>
        <w:spacing w:before="240" w:line="240" w:lineRule="auto"/>
        <w:rPr>
          <w:rFonts w:ascii="Arial Nova" w:hAnsi="Arial Nova" w:cs="Arial"/>
          <w:noProof/>
        </w:rPr>
      </w:pPr>
      <w:r w:rsidRPr="009365DA">
        <w:rPr>
          <w:rFonts w:ascii="Arial Nova" w:hAnsi="Arial Nova" w:cs="Arial"/>
          <w:noProof/>
          <w:kern w:val="24"/>
          <w:lang w:val="es-ES"/>
        </w:rPr>
        <w:drawing>
          <wp:anchor distT="0" distB="0" distL="114300" distR="114300" simplePos="0" relativeHeight="251685888" behindDoc="0" locked="0" layoutInCell="1" allowOverlap="1" wp14:anchorId="00B92562" wp14:editId="0FA8B6E0">
            <wp:simplePos x="0" y="0"/>
            <wp:positionH relativeFrom="margin">
              <wp:posOffset>-635</wp:posOffset>
            </wp:positionH>
            <wp:positionV relativeFrom="paragraph">
              <wp:posOffset>62230</wp:posOffset>
            </wp:positionV>
            <wp:extent cx="4834255" cy="2335530"/>
            <wp:effectExtent l="0" t="0" r="4445" b="762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94875" w14:textId="77777777" w:rsidR="00704628" w:rsidRPr="009365DA" w:rsidRDefault="00704628" w:rsidP="00704628">
      <w:pPr>
        <w:spacing w:before="240" w:line="240" w:lineRule="auto"/>
        <w:rPr>
          <w:rFonts w:ascii="Arial Nova" w:hAnsi="Arial Nova" w:cs="Arial"/>
          <w:noProof/>
        </w:rPr>
      </w:pPr>
    </w:p>
    <w:p w14:paraId="2D3D95F5" w14:textId="77777777" w:rsidR="00704628" w:rsidRPr="009365DA" w:rsidRDefault="00704628" w:rsidP="00704628">
      <w:pPr>
        <w:spacing w:before="240" w:line="240" w:lineRule="auto"/>
        <w:rPr>
          <w:rFonts w:ascii="Arial Nova" w:hAnsi="Arial Nova" w:cs="Arial"/>
          <w:noProof/>
        </w:rPr>
      </w:pPr>
    </w:p>
    <w:p w14:paraId="2EAEAF99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7E934104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72323EBF" w14:textId="77777777" w:rsidR="00704628" w:rsidRPr="009365DA" w:rsidRDefault="00704628" w:rsidP="00704628">
      <w:pPr>
        <w:spacing w:before="240" w:line="240" w:lineRule="auto"/>
        <w:ind w:left="708" w:hanging="708"/>
        <w:jc w:val="center"/>
        <w:rPr>
          <w:rFonts w:ascii="Arial Nova" w:hAnsi="Arial Nova" w:cs="Arial"/>
          <w:noProof/>
        </w:rPr>
      </w:pPr>
    </w:p>
    <w:p w14:paraId="0C9E0ED0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26AB0AEB" w14:textId="77777777" w:rsidR="00704628" w:rsidRPr="009365DA" w:rsidRDefault="00704628" w:rsidP="00704628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4DB03E94" w14:textId="77777777" w:rsidR="00704628" w:rsidRPr="009365DA" w:rsidRDefault="00704628" w:rsidP="00E7737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jc w:val="center"/>
        <w:rPr>
          <w:rFonts w:ascii="Arial Nova" w:eastAsia="Arial Narrow" w:hAnsi="Arial Nova" w:cs="Arial"/>
          <w:b/>
          <w:sz w:val="24"/>
          <w:szCs w:val="24"/>
        </w:rPr>
      </w:pPr>
    </w:p>
    <w:p w14:paraId="381ACD8F" w14:textId="258A822A" w:rsidR="00E7737B" w:rsidRPr="009365DA" w:rsidRDefault="00E7737B" w:rsidP="00E7737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jc w:val="center"/>
        <w:rPr>
          <w:rFonts w:ascii="Arial Nova" w:eastAsia="Arial Narrow" w:hAnsi="Arial Nova" w:cs="Arial"/>
          <w:b/>
          <w:sz w:val="24"/>
          <w:szCs w:val="24"/>
        </w:rPr>
      </w:pPr>
      <w:r w:rsidRPr="009365DA">
        <w:rPr>
          <w:rFonts w:ascii="Arial Nova" w:eastAsia="Arial Narrow" w:hAnsi="Arial Nova" w:cs="Arial"/>
          <w:b/>
          <w:sz w:val="24"/>
          <w:szCs w:val="24"/>
        </w:rPr>
        <w:t>Recaudación por Tributo</w:t>
      </w:r>
    </w:p>
    <w:p w14:paraId="774CC3C8" w14:textId="05AD17AF" w:rsidR="00E7737B" w:rsidRDefault="00704628" w:rsidP="00DE1A5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 w:hanging="112"/>
        <w:jc w:val="center"/>
        <w:rPr>
          <w:rFonts w:ascii="Arial Nova" w:eastAsia="Arial Narrow" w:hAnsi="Arial Nova" w:cs="Arial"/>
          <w:b/>
          <w:sz w:val="24"/>
          <w:szCs w:val="24"/>
        </w:rPr>
      </w:pPr>
      <w:r w:rsidRPr="009365DA">
        <w:rPr>
          <w:rFonts w:ascii="Arial Nova" w:hAnsi="Arial Nova"/>
          <w:noProof/>
        </w:rPr>
        <w:drawing>
          <wp:anchor distT="0" distB="0" distL="114300" distR="114300" simplePos="0" relativeHeight="251688960" behindDoc="0" locked="0" layoutInCell="1" allowOverlap="1" wp14:anchorId="3D6C2EDB" wp14:editId="774E3C06">
            <wp:simplePos x="0" y="0"/>
            <wp:positionH relativeFrom="margin">
              <wp:posOffset>-298450</wp:posOffset>
            </wp:positionH>
            <wp:positionV relativeFrom="paragraph">
              <wp:posOffset>553720</wp:posOffset>
            </wp:positionV>
            <wp:extent cx="5951220" cy="363918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37B" w:rsidRPr="009365DA">
        <w:rPr>
          <w:rFonts w:ascii="Arial Nova" w:eastAsia="Arial Narrow" w:hAnsi="Arial Nova" w:cs="Arial"/>
          <w:b/>
          <w:sz w:val="24"/>
          <w:szCs w:val="24"/>
        </w:rPr>
        <w:t>(En millones de soles y variación % real)</w:t>
      </w:r>
    </w:p>
    <w:p w14:paraId="5C7251F0" w14:textId="77777777" w:rsidR="00DE1A5B" w:rsidRPr="009365DA" w:rsidRDefault="00DE1A5B" w:rsidP="00DE1A5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 w:hanging="112"/>
        <w:jc w:val="center"/>
        <w:rPr>
          <w:rFonts w:ascii="Arial Nova" w:eastAsia="Arial Narrow" w:hAnsi="Arial Nova" w:cs="Arial"/>
          <w:b/>
          <w:sz w:val="24"/>
          <w:szCs w:val="24"/>
        </w:rPr>
      </w:pPr>
    </w:p>
    <w:p w14:paraId="2F239941" w14:textId="77777777" w:rsidR="00E7737B" w:rsidRPr="009365DA" w:rsidRDefault="00E7737B" w:rsidP="00E7737B">
      <w:pPr>
        <w:spacing w:after="0" w:line="240" w:lineRule="auto"/>
        <w:rPr>
          <w:rFonts w:ascii="Arial Nova" w:hAnsi="Arial Nova" w:cs="Arial"/>
          <w:b/>
        </w:rPr>
      </w:pPr>
    </w:p>
    <w:p w14:paraId="6A69BEF2" w14:textId="293656C9" w:rsidR="006D3F73" w:rsidRPr="009365DA" w:rsidRDefault="006D3F73" w:rsidP="006D3F73">
      <w:pPr>
        <w:spacing w:after="0" w:line="240" w:lineRule="auto"/>
        <w:rPr>
          <w:rFonts w:ascii="Arial Nova" w:hAnsi="Arial Nova" w:cs="Arial"/>
          <w:b/>
        </w:rPr>
      </w:pPr>
      <w:r w:rsidRPr="009365DA">
        <w:rPr>
          <w:rFonts w:ascii="Arial Nova" w:hAnsi="Arial Nova" w:cs="Arial"/>
          <w:b/>
        </w:rPr>
        <w:t>Gerencia de Comunicaciones e Imagen Institucional</w:t>
      </w:r>
    </w:p>
    <w:p w14:paraId="75CF3522" w14:textId="6B6B1563" w:rsidR="006D3F73" w:rsidRPr="009365DA" w:rsidRDefault="006D3F73" w:rsidP="006D3F73">
      <w:pPr>
        <w:spacing w:after="0" w:line="240" w:lineRule="auto"/>
        <w:jc w:val="both"/>
        <w:rPr>
          <w:rFonts w:ascii="Arial Nova" w:hAnsi="Arial Nova" w:cs="Arial"/>
          <w:bCs/>
        </w:rPr>
      </w:pPr>
      <w:r w:rsidRPr="009365DA">
        <w:rPr>
          <w:rFonts w:ascii="Arial Nova" w:hAnsi="Arial Nova" w:cs="Arial"/>
          <w:bCs/>
        </w:rPr>
        <w:t xml:space="preserve">Lima, </w:t>
      </w:r>
      <w:r w:rsidR="00F323C4">
        <w:rPr>
          <w:rFonts w:ascii="Arial Nova" w:hAnsi="Arial Nova" w:cs="Arial"/>
          <w:bCs/>
        </w:rPr>
        <w:t>lunes</w:t>
      </w:r>
      <w:r w:rsidR="00FD401D" w:rsidRPr="009365DA">
        <w:rPr>
          <w:rFonts w:ascii="Arial Nova" w:hAnsi="Arial Nova" w:cs="Arial"/>
          <w:bCs/>
        </w:rPr>
        <w:t xml:space="preserve"> </w:t>
      </w:r>
      <w:r w:rsidR="00BA3814">
        <w:rPr>
          <w:rFonts w:ascii="Arial Nova" w:hAnsi="Arial Nova" w:cs="Arial"/>
          <w:bCs/>
        </w:rPr>
        <w:t>1</w:t>
      </w:r>
      <w:r w:rsidR="00F323C4">
        <w:rPr>
          <w:rFonts w:ascii="Arial Nova" w:hAnsi="Arial Nova" w:cs="Arial"/>
          <w:bCs/>
        </w:rPr>
        <w:t>2</w:t>
      </w:r>
      <w:r w:rsidR="00BA3814">
        <w:rPr>
          <w:rFonts w:ascii="Arial Nova" w:hAnsi="Arial Nova" w:cs="Arial"/>
          <w:bCs/>
        </w:rPr>
        <w:t xml:space="preserve"> </w:t>
      </w:r>
      <w:r w:rsidR="00E21787" w:rsidRPr="009365DA">
        <w:rPr>
          <w:rFonts w:ascii="Arial Nova" w:hAnsi="Arial Nova" w:cs="Arial"/>
          <w:bCs/>
        </w:rPr>
        <w:t>de diciembre</w:t>
      </w:r>
      <w:r w:rsidRPr="009365DA">
        <w:rPr>
          <w:rFonts w:ascii="Arial Nova" w:hAnsi="Arial Nova" w:cs="Arial"/>
          <w:bCs/>
        </w:rPr>
        <w:t xml:space="preserve"> de</w:t>
      </w:r>
      <w:r w:rsidR="00987E23" w:rsidRPr="009365DA">
        <w:rPr>
          <w:rFonts w:ascii="Arial Nova" w:hAnsi="Arial Nova" w:cs="Arial"/>
          <w:bCs/>
        </w:rPr>
        <w:t>l</w:t>
      </w:r>
      <w:r w:rsidRPr="009365DA">
        <w:rPr>
          <w:rFonts w:ascii="Arial Nova" w:hAnsi="Arial Nova" w:cs="Arial"/>
          <w:bCs/>
        </w:rPr>
        <w:t xml:space="preserve"> 2022.</w:t>
      </w:r>
    </w:p>
    <w:sectPr w:rsidR="006D3F73" w:rsidRPr="009365DA" w:rsidSect="00560B92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B8D6" w14:textId="77777777" w:rsidR="009D5B47" w:rsidRDefault="009D5B47" w:rsidP="0011247F">
      <w:pPr>
        <w:spacing w:after="0" w:line="240" w:lineRule="auto"/>
      </w:pPr>
      <w:r>
        <w:separator/>
      </w:r>
    </w:p>
  </w:endnote>
  <w:endnote w:type="continuationSeparator" w:id="0">
    <w:p w14:paraId="6A045F41" w14:textId="77777777" w:rsidR="009D5B47" w:rsidRDefault="009D5B47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8616" w14:textId="77777777" w:rsidR="009D5B47" w:rsidRDefault="009D5B47" w:rsidP="0011247F">
      <w:pPr>
        <w:spacing w:after="0" w:line="240" w:lineRule="auto"/>
      </w:pPr>
      <w:r>
        <w:separator/>
      </w:r>
    </w:p>
  </w:footnote>
  <w:footnote w:type="continuationSeparator" w:id="0">
    <w:p w14:paraId="5502B616" w14:textId="77777777" w:rsidR="009D5B47" w:rsidRDefault="009D5B47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47DD1"/>
    <w:multiLevelType w:val="hybridMultilevel"/>
    <w:tmpl w:val="26A4D57E"/>
    <w:lvl w:ilvl="0" w:tplc="2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5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236AD"/>
    <w:multiLevelType w:val="hybridMultilevel"/>
    <w:tmpl w:val="26D4F9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793401">
    <w:abstractNumId w:val="7"/>
  </w:num>
  <w:num w:numId="2" w16cid:durableId="1476292651">
    <w:abstractNumId w:val="1"/>
  </w:num>
  <w:num w:numId="3" w16cid:durableId="1411854638">
    <w:abstractNumId w:val="9"/>
  </w:num>
  <w:num w:numId="4" w16cid:durableId="1084885036">
    <w:abstractNumId w:val="8"/>
  </w:num>
  <w:num w:numId="5" w16cid:durableId="242640564">
    <w:abstractNumId w:val="6"/>
  </w:num>
  <w:num w:numId="6" w16cid:durableId="1267810649">
    <w:abstractNumId w:val="4"/>
  </w:num>
  <w:num w:numId="7" w16cid:durableId="661274881">
    <w:abstractNumId w:val="0"/>
  </w:num>
  <w:num w:numId="8" w16cid:durableId="2135437544">
    <w:abstractNumId w:val="2"/>
  </w:num>
  <w:num w:numId="9" w16cid:durableId="1931156708">
    <w:abstractNumId w:val="5"/>
  </w:num>
  <w:num w:numId="10" w16cid:durableId="1049836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2A2F"/>
    <w:rsid w:val="00003ABF"/>
    <w:rsid w:val="0001131C"/>
    <w:rsid w:val="00011D63"/>
    <w:rsid w:val="00017363"/>
    <w:rsid w:val="00021229"/>
    <w:rsid w:val="0003097B"/>
    <w:rsid w:val="0003298E"/>
    <w:rsid w:val="00032F9E"/>
    <w:rsid w:val="0003362E"/>
    <w:rsid w:val="00033686"/>
    <w:rsid w:val="00035A1F"/>
    <w:rsid w:val="00036853"/>
    <w:rsid w:val="00043961"/>
    <w:rsid w:val="0004539E"/>
    <w:rsid w:val="00046A4C"/>
    <w:rsid w:val="00047AC2"/>
    <w:rsid w:val="000548D2"/>
    <w:rsid w:val="00057F04"/>
    <w:rsid w:val="000624F2"/>
    <w:rsid w:val="00070FFD"/>
    <w:rsid w:val="00074182"/>
    <w:rsid w:val="000756DB"/>
    <w:rsid w:val="00075D42"/>
    <w:rsid w:val="00076BF1"/>
    <w:rsid w:val="00082422"/>
    <w:rsid w:val="00082FAF"/>
    <w:rsid w:val="00083513"/>
    <w:rsid w:val="00087280"/>
    <w:rsid w:val="00097198"/>
    <w:rsid w:val="00097B44"/>
    <w:rsid w:val="000A18C1"/>
    <w:rsid w:val="000A20B5"/>
    <w:rsid w:val="000A2390"/>
    <w:rsid w:val="000A4449"/>
    <w:rsid w:val="000A4B5D"/>
    <w:rsid w:val="000A66E6"/>
    <w:rsid w:val="000B24C8"/>
    <w:rsid w:val="000B3538"/>
    <w:rsid w:val="000B4359"/>
    <w:rsid w:val="000B6846"/>
    <w:rsid w:val="000C12A7"/>
    <w:rsid w:val="000C3BB3"/>
    <w:rsid w:val="000C4570"/>
    <w:rsid w:val="000C6784"/>
    <w:rsid w:val="000C6A43"/>
    <w:rsid w:val="000D28D5"/>
    <w:rsid w:val="000D338E"/>
    <w:rsid w:val="000D3FBD"/>
    <w:rsid w:val="000D678C"/>
    <w:rsid w:val="000E060E"/>
    <w:rsid w:val="000E1868"/>
    <w:rsid w:val="000E26F7"/>
    <w:rsid w:val="000E55EB"/>
    <w:rsid w:val="000E639F"/>
    <w:rsid w:val="00100ED9"/>
    <w:rsid w:val="00104E14"/>
    <w:rsid w:val="00105ED8"/>
    <w:rsid w:val="00107199"/>
    <w:rsid w:val="0011247F"/>
    <w:rsid w:val="00115CDA"/>
    <w:rsid w:val="00121065"/>
    <w:rsid w:val="001232F4"/>
    <w:rsid w:val="00125DA4"/>
    <w:rsid w:val="001269A1"/>
    <w:rsid w:val="00127049"/>
    <w:rsid w:val="00127480"/>
    <w:rsid w:val="00130B9B"/>
    <w:rsid w:val="00140CE9"/>
    <w:rsid w:val="00140D58"/>
    <w:rsid w:val="001444BB"/>
    <w:rsid w:val="00144A09"/>
    <w:rsid w:val="00144C6B"/>
    <w:rsid w:val="00145FAF"/>
    <w:rsid w:val="00150E48"/>
    <w:rsid w:val="0015303A"/>
    <w:rsid w:val="00153400"/>
    <w:rsid w:val="00154053"/>
    <w:rsid w:val="00154B08"/>
    <w:rsid w:val="001556A0"/>
    <w:rsid w:val="00155D00"/>
    <w:rsid w:val="00161F21"/>
    <w:rsid w:val="00162A47"/>
    <w:rsid w:val="00163832"/>
    <w:rsid w:val="001655E8"/>
    <w:rsid w:val="00170568"/>
    <w:rsid w:val="001740BB"/>
    <w:rsid w:val="00174DFC"/>
    <w:rsid w:val="0018230B"/>
    <w:rsid w:val="001835E4"/>
    <w:rsid w:val="00184873"/>
    <w:rsid w:val="00185061"/>
    <w:rsid w:val="00185990"/>
    <w:rsid w:val="00185C79"/>
    <w:rsid w:val="00185D6D"/>
    <w:rsid w:val="00191401"/>
    <w:rsid w:val="00192574"/>
    <w:rsid w:val="00192D3A"/>
    <w:rsid w:val="00194ADE"/>
    <w:rsid w:val="001A53F2"/>
    <w:rsid w:val="001A5DE7"/>
    <w:rsid w:val="001B0C18"/>
    <w:rsid w:val="001B0D8F"/>
    <w:rsid w:val="001B44EC"/>
    <w:rsid w:val="001B565E"/>
    <w:rsid w:val="001B5ADA"/>
    <w:rsid w:val="001C04DC"/>
    <w:rsid w:val="001C0BA0"/>
    <w:rsid w:val="001C24A4"/>
    <w:rsid w:val="001C251B"/>
    <w:rsid w:val="001C6094"/>
    <w:rsid w:val="001C6599"/>
    <w:rsid w:val="001D10BA"/>
    <w:rsid w:val="001D2BAB"/>
    <w:rsid w:val="001D2CAA"/>
    <w:rsid w:val="001D328F"/>
    <w:rsid w:val="001D6077"/>
    <w:rsid w:val="001D6590"/>
    <w:rsid w:val="001E150C"/>
    <w:rsid w:val="001E6FC0"/>
    <w:rsid w:val="001E7A6E"/>
    <w:rsid w:val="001F5E43"/>
    <w:rsid w:val="001F75EE"/>
    <w:rsid w:val="002001CC"/>
    <w:rsid w:val="00200510"/>
    <w:rsid w:val="002005DB"/>
    <w:rsid w:val="00203947"/>
    <w:rsid w:val="00206062"/>
    <w:rsid w:val="00206E4E"/>
    <w:rsid w:val="002116D4"/>
    <w:rsid w:val="00211AF4"/>
    <w:rsid w:val="00214047"/>
    <w:rsid w:val="00214363"/>
    <w:rsid w:val="00220021"/>
    <w:rsid w:val="00221456"/>
    <w:rsid w:val="00221FCD"/>
    <w:rsid w:val="00223193"/>
    <w:rsid w:val="00227651"/>
    <w:rsid w:val="002368DB"/>
    <w:rsid w:val="00240341"/>
    <w:rsid w:val="002447D0"/>
    <w:rsid w:val="0024545D"/>
    <w:rsid w:val="00246D5C"/>
    <w:rsid w:val="002479CC"/>
    <w:rsid w:val="0025048F"/>
    <w:rsid w:val="002535E7"/>
    <w:rsid w:val="0025484D"/>
    <w:rsid w:val="00256E08"/>
    <w:rsid w:val="00257EB2"/>
    <w:rsid w:val="002632BA"/>
    <w:rsid w:val="00264369"/>
    <w:rsid w:val="0026600B"/>
    <w:rsid w:val="002669AA"/>
    <w:rsid w:val="00271C92"/>
    <w:rsid w:val="00272E9B"/>
    <w:rsid w:val="00276BEC"/>
    <w:rsid w:val="0028060B"/>
    <w:rsid w:val="0028258A"/>
    <w:rsid w:val="002835F4"/>
    <w:rsid w:val="00284231"/>
    <w:rsid w:val="00285BE0"/>
    <w:rsid w:val="0028668F"/>
    <w:rsid w:val="00292EEC"/>
    <w:rsid w:val="00293295"/>
    <w:rsid w:val="0029392A"/>
    <w:rsid w:val="002959A5"/>
    <w:rsid w:val="002A648D"/>
    <w:rsid w:val="002B0ED8"/>
    <w:rsid w:val="002B12A7"/>
    <w:rsid w:val="002B4701"/>
    <w:rsid w:val="002B5215"/>
    <w:rsid w:val="002B5FB8"/>
    <w:rsid w:val="002B7B6C"/>
    <w:rsid w:val="002C24CB"/>
    <w:rsid w:val="002C265F"/>
    <w:rsid w:val="002C42B8"/>
    <w:rsid w:val="002C6249"/>
    <w:rsid w:val="002C7BEC"/>
    <w:rsid w:val="002D2662"/>
    <w:rsid w:val="002D54FD"/>
    <w:rsid w:val="002D7855"/>
    <w:rsid w:val="002D7B7A"/>
    <w:rsid w:val="002E10AA"/>
    <w:rsid w:val="002E5358"/>
    <w:rsid w:val="002E58A6"/>
    <w:rsid w:val="002E76D7"/>
    <w:rsid w:val="002E7935"/>
    <w:rsid w:val="002F2F8D"/>
    <w:rsid w:val="002F32BD"/>
    <w:rsid w:val="002F48B0"/>
    <w:rsid w:val="002F4F96"/>
    <w:rsid w:val="002F74F0"/>
    <w:rsid w:val="003036C0"/>
    <w:rsid w:val="003043FF"/>
    <w:rsid w:val="00305004"/>
    <w:rsid w:val="003150B4"/>
    <w:rsid w:val="00316B85"/>
    <w:rsid w:val="00317893"/>
    <w:rsid w:val="0032419C"/>
    <w:rsid w:val="0032531B"/>
    <w:rsid w:val="00332800"/>
    <w:rsid w:val="003331FE"/>
    <w:rsid w:val="00335C6C"/>
    <w:rsid w:val="0034266E"/>
    <w:rsid w:val="0034326C"/>
    <w:rsid w:val="003515E8"/>
    <w:rsid w:val="0035325B"/>
    <w:rsid w:val="003539A1"/>
    <w:rsid w:val="00353D2F"/>
    <w:rsid w:val="00354044"/>
    <w:rsid w:val="00360834"/>
    <w:rsid w:val="00361930"/>
    <w:rsid w:val="003624A2"/>
    <w:rsid w:val="00362A03"/>
    <w:rsid w:val="00365375"/>
    <w:rsid w:val="00366428"/>
    <w:rsid w:val="00372097"/>
    <w:rsid w:val="003747A3"/>
    <w:rsid w:val="0038180C"/>
    <w:rsid w:val="00391A29"/>
    <w:rsid w:val="00394727"/>
    <w:rsid w:val="0039490A"/>
    <w:rsid w:val="00396089"/>
    <w:rsid w:val="003A23A1"/>
    <w:rsid w:val="003A396B"/>
    <w:rsid w:val="003B1F44"/>
    <w:rsid w:val="003B79B1"/>
    <w:rsid w:val="003C0259"/>
    <w:rsid w:val="003C1754"/>
    <w:rsid w:val="003C41AA"/>
    <w:rsid w:val="003C563B"/>
    <w:rsid w:val="003C5DB0"/>
    <w:rsid w:val="003C7CC5"/>
    <w:rsid w:val="003D09C5"/>
    <w:rsid w:val="003D1A3C"/>
    <w:rsid w:val="003D37BF"/>
    <w:rsid w:val="003D420F"/>
    <w:rsid w:val="003E4040"/>
    <w:rsid w:val="003E51C3"/>
    <w:rsid w:val="003E647A"/>
    <w:rsid w:val="003E6743"/>
    <w:rsid w:val="003F0FB6"/>
    <w:rsid w:val="003F1D68"/>
    <w:rsid w:val="003F6B60"/>
    <w:rsid w:val="00401B3D"/>
    <w:rsid w:val="00404DD4"/>
    <w:rsid w:val="00404F08"/>
    <w:rsid w:val="0041014F"/>
    <w:rsid w:val="004115B9"/>
    <w:rsid w:val="004132C5"/>
    <w:rsid w:val="00413774"/>
    <w:rsid w:val="00414AFD"/>
    <w:rsid w:val="00415951"/>
    <w:rsid w:val="00421589"/>
    <w:rsid w:val="00421904"/>
    <w:rsid w:val="00425F00"/>
    <w:rsid w:val="00427A0D"/>
    <w:rsid w:val="00432054"/>
    <w:rsid w:val="00433856"/>
    <w:rsid w:val="00443144"/>
    <w:rsid w:val="0044351F"/>
    <w:rsid w:val="00444660"/>
    <w:rsid w:val="004448D5"/>
    <w:rsid w:val="00446571"/>
    <w:rsid w:val="00452E5E"/>
    <w:rsid w:val="0045623C"/>
    <w:rsid w:val="00460519"/>
    <w:rsid w:val="004622FA"/>
    <w:rsid w:val="00464115"/>
    <w:rsid w:val="0047439F"/>
    <w:rsid w:val="00475B4C"/>
    <w:rsid w:val="00475CB5"/>
    <w:rsid w:val="004763D7"/>
    <w:rsid w:val="00481CE5"/>
    <w:rsid w:val="00482EF5"/>
    <w:rsid w:val="00491012"/>
    <w:rsid w:val="00494AD8"/>
    <w:rsid w:val="00494B2B"/>
    <w:rsid w:val="004954B6"/>
    <w:rsid w:val="00496CD0"/>
    <w:rsid w:val="00497336"/>
    <w:rsid w:val="004A2CF9"/>
    <w:rsid w:val="004A31AC"/>
    <w:rsid w:val="004A5870"/>
    <w:rsid w:val="004A6D08"/>
    <w:rsid w:val="004A7EC8"/>
    <w:rsid w:val="004B0793"/>
    <w:rsid w:val="004B080E"/>
    <w:rsid w:val="004B3759"/>
    <w:rsid w:val="004B485C"/>
    <w:rsid w:val="004B4904"/>
    <w:rsid w:val="004B4971"/>
    <w:rsid w:val="004B7E79"/>
    <w:rsid w:val="004C0C5B"/>
    <w:rsid w:val="004C1332"/>
    <w:rsid w:val="004C19B1"/>
    <w:rsid w:val="004C3704"/>
    <w:rsid w:val="004C5956"/>
    <w:rsid w:val="004D19FD"/>
    <w:rsid w:val="004D753D"/>
    <w:rsid w:val="004D7595"/>
    <w:rsid w:val="004E0867"/>
    <w:rsid w:val="004E2786"/>
    <w:rsid w:val="004E283F"/>
    <w:rsid w:val="004E4798"/>
    <w:rsid w:val="004E5309"/>
    <w:rsid w:val="004E604E"/>
    <w:rsid w:val="004E69EF"/>
    <w:rsid w:val="004E6BA1"/>
    <w:rsid w:val="004E7A48"/>
    <w:rsid w:val="004F026C"/>
    <w:rsid w:val="004F4CD8"/>
    <w:rsid w:val="004F509C"/>
    <w:rsid w:val="004F6FA7"/>
    <w:rsid w:val="005021C7"/>
    <w:rsid w:val="00503F68"/>
    <w:rsid w:val="005142C3"/>
    <w:rsid w:val="00516691"/>
    <w:rsid w:val="005175E3"/>
    <w:rsid w:val="005176CF"/>
    <w:rsid w:val="00520E2D"/>
    <w:rsid w:val="005210E5"/>
    <w:rsid w:val="005249BF"/>
    <w:rsid w:val="00526FB6"/>
    <w:rsid w:val="0053179E"/>
    <w:rsid w:val="0053357B"/>
    <w:rsid w:val="00533EA0"/>
    <w:rsid w:val="00542208"/>
    <w:rsid w:val="00550C96"/>
    <w:rsid w:val="0055300A"/>
    <w:rsid w:val="00553D11"/>
    <w:rsid w:val="005548E8"/>
    <w:rsid w:val="005552A2"/>
    <w:rsid w:val="00556FFA"/>
    <w:rsid w:val="00560B92"/>
    <w:rsid w:val="00562CD2"/>
    <w:rsid w:val="00563444"/>
    <w:rsid w:val="00564641"/>
    <w:rsid w:val="0056540B"/>
    <w:rsid w:val="00574058"/>
    <w:rsid w:val="0058040B"/>
    <w:rsid w:val="00590321"/>
    <w:rsid w:val="00594023"/>
    <w:rsid w:val="00595CEC"/>
    <w:rsid w:val="005A16B4"/>
    <w:rsid w:val="005A30B3"/>
    <w:rsid w:val="005B044D"/>
    <w:rsid w:val="005B1A8C"/>
    <w:rsid w:val="005B2806"/>
    <w:rsid w:val="005B440C"/>
    <w:rsid w:val="005B4923"/>
    <w:rsid w:val="005B623D"/>
    <w:rsid w:val="005C0064"/>
    <w:rsid w:val="005C037C"/>
    <w:rsid w:val="005C1080"/>
    <w:rsid w:val="005C2789"/>
    <w:rsid w:val="005C4B07"/>
    <w:rsid w:val="005C5AA7"/>
    <w:rsid w:val="005D1780"/>
    <w:rsid w:val="005D56D7"/>
    <w:rsid w:val="005D58F2"/>
    <w:rsid w:val="005D744D"/>
    <w:rsid w:val="005E5674"/>
    <w:rsid w:val="005E6C6C"/>
    <w:rsid w:val="005E7E6B"/>
    <w:rsid w:val="005F123F"/>
    <w:rsid w:val="005F1EA4"/>
    <w:rsid w:val="005F2674"/>
    <w:rsid w:val="005F50D6"/>
    <w:rsid w:val="005F716F"/>
    <w:rsid w:val="0060254C"/>
    <w:rsid w:val="00604EDB"/>
    <w:rsid w:val="0060549A"/>
    <w:rsid w:val="00617522"/>
    <w:rsid w:val="006210AE"/>
    <w:rsid w:val="006268C2"/>
    <w:rsid w:val="00630170"/>
    <w:rsid w:val="00630345"/>
    <w:rsid w:val="006304D2"/>
    <w:rsid w:val="0063070F"/>
    <w:rsid w:val="00632DFB"/>
    <w:rsid w:val="00635C27"/>
    <w:rsid w:val="006362BE"/>
    <w:rsid w:val="0063740A"/>
    <w:rsid w:val="0063750E"/>
    <w:rsid w:val="006510D7"/>
    <w:rsid w:val="006513E2"/>
    <w:rsid w:val="0065649D"/>
    <w:rsid w:val="0065793C"/>
    <w:rsid w:val="006625FD"/>
    <w:rsid w:val="00664154"/>
    <w:rsid w:val="0066441C"/>
    <w:rsid w:val="00664BC7"/>
    <w:rsid w:val="006653E5"/>
    <w:rsid w:val="00671060"/>
    <w:rsid w:val="00675513"/>
    <w:rsid w:val="0068093A"/>
    <w:rsid w:val="0068478C"/>
    <w:rsid w:val="00684F21"/>
    <w:rsid w:val="0069142E"/>
    <w:rsid w:val="00691738"/>
    <w:rsid w:val="00695CCF"/>
    <w:rsid w:val="00697368"/>
    <w:rsid w:val="0069737E"/>
    <w:rsid w:val="006A447A"/>
    <w:rsid w:val="006A6570"/>
    <w:rsid w:val="006A6B08"/>
    <w:rsid w:val="006A782E"/>
    <w:rsid w:val="006B036F"/>
    <w:rsid w:val="006B0A41"/>
    <w:rsid w:val="006B20E9"/>
    <w:rsid w:val="006B3B86"/>
    <w:rsid w:val="006B3FE5"/>
    <w:rsid w:val="006C11C7"/>
    <w:rsid w:val="006C2048"/>
    <w:rsid w:val="006C5659"/>
    <w:rsid w:val="006C67EE"/>
    <w:rsid w:val="006C6B6F"/>
    <w:rsid w:val="006D2306"/>
    <w:rsid w:val="006D3F73"/>
    <w:rsid w:val="006D6B0D"/>
    <w:rsid w:val="006E17D7"/>
    <w:rsid w:val="006E5F12"/>
    <w:rsid w:val="006F20D3"/>
    <w:rsid w:val="006F3FB7"/>
    <w:rsid w:val="00704628"/>
    <w:rsid w:val="00704A6B"/>
    <w:rsid w:val="007060E8"/>
    <w:rsid w:val="007154FC"/>
    <w:rsid w:val="00717EB3"/>
    <w:rsid w:val="007202DF"/>
    <w:rsid w:val="0072500D"/>
    <w:rsid w:val="00727832"/>
    <w:rsid w:val="00733A6E"/>
    <w:rsid w:val="00733C90"/>
    <w:rsid w:val="00734DF5"/>
    <w:rsid w:val="00737232"/>
    <w:rsid w:val="00742050"/>
    <w:rsid w:val="00744B74"/>
    <w:rsid w:val="00745684"/>
    <w:rsid w:val="007474AF"/>
    <w:rsid w:val="00751333"/>
    <w:rsid w:val="00757176"/>
    <w:rsid w:val="0076109C"/>
    <w:rsid w:val="00761415"/>
    <w:rsid w:val="0076306C"/>
    <w:rsid w:val="00764F01"/>
    <w:rsid w:val="00777115"/>
    <w:rsid w:val="007833BE"/>
    <w:rsid w:val="00784627"/>
    <w:rsid w:val="0078513B"/>
    <w:rsid w:val="00785B82"/>
    <w:rsid w:val="00787C22"/>
    <w:rsid w:val="00792D20"/>
    <w:rsid w:val="0079472D"/>
    <w:rsid w:val="007947C9"/>
    <w:rsid w:val="00797F06"/>
    <w:rsid w:val="007A24B8"/>
    <w:rsid w:val="007A3DA2"/>
    <w:rsid w:val="007A57A7"/>
    <w:rsid w:val="007A6497"/>
    <w:rsid w:val="007B471A"/>
    <w:rsid w:val="007B6CCE"/>
    <w:rsid w:val="007B70B2"/>
    <w:rsid w:val="007C06E8"/>
    <w:rsid w:val="007C3A6E"/>
    <w:rsid w:val="007C4499"/>
    <w:rsid w:val="007C6409"/>
    <w:rsid w:val="007C7DD1"/>
    <w:rsid w:val="007D1898"/>
    <w:rsid w:val="007D3044"/>
    <w:rsid w:val="007D5530"/>
    <w:rsid w:val="007D631B"/>
    <w:rsid w:val="007D7726"/>
    <w:rsid w:val="007E2DE2"/>
    <w:rsid w:val="007E3169"/>
    <w:rsid w:val="007E7B0B"/>
    <w:rsid w:val="007F0C99"/>
    <w:rsid w:val="007F33B7"/>
    <w:rsid w:val="007F549E"/>
    <w:rsid w:val="007F6B4D"/>
    <w:rsid w:val="007F6E80"/>
    <w:rsid w:val="00800157"/>
    <w:rsid w:val="00800297"/>
    <w:rsid w:val="00801D3A"/>
    <w:rsid w:val="00802B40"/>
    <w:rsid w:val="00804B6D"/>
    <w:rsid w:val="00805A47"/>
    <w:rsid w:val="00806FFC"/>
    <w:rsid w:val="00811DE9"/>
    <w:rsid w:val="0082025C"/>
    <w:rsid w:val="008217A0"/>
    <w:rsid w:val="00821CA8"/>
    <w:rsid w:val="008255F1"/>
    <w:rsid w:val="00830EA2"/>
    <w:rsid w:val="00832197"/>
    <w:rsid w:val="00833A74"/>
    <w:rsid w:val="008410F5"/>
    <w:rsid w:val="00842510"/>
    <w:rsid w:val="00843C98"/>
    <w:rsid w:val="00845A00"/>
    <w:rsid w:val="008569F0"/>
    <w:rsid w:val="00860A8C"/>
    <w:rsid w:val="00862A54"/>
    <w:rsid w:val="008631B5"/>
    <w:rsid w:val="00867D3C"/>
    <w:rsid w:val="00871EF2"/>
    <w:rsid w:val="00872710"/>
    <w:rsid w:val="00873836"/>
    <w:rsid w:val="00876BFB"/>
    <w:rsid w:val="008843B1"/>
    <w:rsid w:val="00884409"/>
    <w:rsid w:val="00886701"/>
    <w:rsid w:val="00892348"/>
    <w:rsid w:val="00892761"/>
    <w:rsid w:val="008965B2"/>
    <w:rsid w:val="008A0D54"/>
    <w:rsid w:val="008A0E24"/>
    <w:rsid w:val="008A3BD3"/>
    <w:rsid w:val="008B4876"/>
    <w:rsid w:val="008B53FB"/>
    <w:rsid w:val="008B7786"/>
    <w:rsid w:val="008C3194"/>
    <w:rsid w:val="008C42C9"/>
    <w:rsid w:val="008D1D49"/>
    <w:rsid w:val="008D1F40"/>
    <w:rsid w:val="008D3778"/>
    <w:rsid w:val="008E10D3"/>
    <w:rsid w:val="008E23D9"/>
    <w:rsid w:val="008E3A82"/>
    <w:rsid w:val="008E49C2"/>
    <w:rsid w:val="008E6B5B"/>
    <w:rsid w:val="008E75B5"/>
    <w:rsid w:val="008F12AB"/>
    <w:rsid w:val="008F48B4"/>
    <w:rsid w:val="008F5D8C"/>
    <w:rsid w:val="008F7413"/>
    <w:rsid w:val="00911A0F"/>
    <w:rsid w:val="00912869"/>
    <w:rsid w:val="00912AA0"/>
    <w:rsid w:val="0091602F"/>
    <w:rsid w:val="00920FBD"/>
    <w:rsid w:val="0092544B"/>
    <w:rsid w:val="00931DAE"/>
    <w:rsid w:val="00933842"/>
    <w:rsid w:val="009365DA"/>
    <w:rsid w:val="00937DE1"/>
    <w:rsid w:val="00941926"/>
    <w:rsid w:val="009434D8"/>
    <w:rsid w:val="009439D4"/>
    <w:rsid w:val="00944382"/>
    <w:rsid w:val="009515A1"/>
    <w:rsid w:val="009526FA"/>
    <w:rsid w:val="00952930"/>
    <w:rsid w:val="00955143"/>
    <w:rsid w:val="00960E2F"/>
    <w:rsid w:val="0096312D"/>
    <w:rsid w:val="009640B3"/>
    <w:rsid w:val="00966CB8"/>
    <w:rsid w:val="009675E3"/>
    <w:rsid w:val="00972EB0"/>
    <w:rsid w:val="00973B2A"/>
    <w:rsid w:val="00973CF2"/>
    <w:rsid w:val="00974110"/>
    <w:rsid w:val="00977A13"/>
    <w:rsid w:val="00987E23"/>
    <w:rsid w:val="009905A8"/>
    <w:rsid w:val="00992205"/>
    <w:rsid w:val="009972EA"/>
    <w:rsid w:val="009B18D9"/>
    <w:rsid w:val="009B22B3"/>
    <w:rsid w:val="009B33B5"/>
    <w:rsid w:val="009B366F"/>
    <w:rsid w:val="009B6D2B"/>
    <w:rsid w:val="009C0E64"/>
    <w:rsid w:val="009C253D"/>
    <w:rsid w:val="009C5241"/>
    <w:rsid w:val="009D0FE3"/>
    <w:rsid w:val="009D23B0"/>
    <w:rsid w:val="009D2B90"/>
    <w:rsid w:val="009D3AD9"/>
    <w:rsid w:val="009D5B47"/>
    <w:rsid w:val="009D5E26"/>
    <w:rsid w:val="009E2BF4"/>
    <w:rsid w:val="009E4965"/>
    <w:rsid w:val="009E7839"/>
    <w:rsid w:val="009E79BA"/>
    <w:rsid w:val="009F0330"/>
    <w:rsid w:val="009F091E"/>
    <w:rsid w:val="009F1830"/>
    <w:rsid w:val="009F37E0"/>
    <w:rsid w:val="009F4502"/>
    <w:rsid w:val="009F6A51"/>
    <w:rsid w:val="00A01535"/>
    <w:rsid w:val="00A07422"/>
    <w:rsid w:val="00A205FB"/>
    <w:rsid w:val="00A25532"/>
    <w:rsid w:val="00A26CC1"/>
    <w:rsid w:val="00A27D40"/>
    <w:rsid w:val="00A305E6"/>
    <w:rsid w:val="00A37AE7"/>
    <w:rsid w:val="00A416C2"/>
    <w:rsid w:val="00A42012"/>
    <w:rsid w:val="00A42D36"/>
    <w:rsid w:val="00A43644"/>
    <w:rsid w:val="00A45ACA"/>
    <w:rsid w:val="00A45BFF"/>
    <w:rsid w:val="00A46FF4"/>
    <w:rsid w:val="00A50BE8"/>
    <w:rsid w:val="00A515F9"/>
    <w:rsid w:val="00A52BBE"/>
    <w:rsid w:val="00A53053"/>
    <w:rsid w:val="00A54852"/>
    <w:rsid w:val="00A579D6"/>
    <w:rsid w:val="00A647F6"/>
    <w:rsid w:val="00A75F69"/>
    <w:rsid w:val="00A75FD1"/>
    <w:rsid w:val="00A77ABA"/>
    <w:rsid w:val="00A81354"/>
    <w:rsid w:val="00A82449"/>
    <w:rsid w:val="00A82B6B"/>
    <w:rsid w:val="00A877C5"/>
    <w:rsid w:val="00A87AB6"/>
    <w:rsid w:val="00A91EDD"/>
    <w:rsid w:val="00A93ABB"/>
    <w:rsid w:val="00A943CB"/>
    <w:rsid w:val="00A95F91"/>
    <w:rsid w:val="00AA1B82"/>
    <w:rsid w:val="00AB30C7"/>
    <w:rsid w:val="00AC0388"/>
    <w:rsid w:val="00AC0CC2"/>
    <w:rsid w:val="00AC5572"/>
    <w:rsid w:val="00AD1612"/>
    <w:rsid w:val="00AD4338"/>
    <w:rsid w:val="00AE04F0"/>
    <w:rsid w:val="00AE200C"/>
    <w:rsid w:val="00AE2613"/>
    <w:rsid w:val="00AE2C35"/>
    <w:rsid w:val="00AE4FBA"/>
    <w:rsid w:val="00AE7C5A"/>
    <w:rsid w:val="00AF0C4C"/>
    <w:rsid w:val="00AF106B"/>
    <w:rsid w:val="00AF1DE6"/>
    <w:rsid w:val="00AF330B"/>
    <w:rsid w:val="00AF397C"/>
    <w:rsid w:val="00AF55F2"/>
    <w:rsid w:val="00AF6455"/>
    <w:rsid w:val="00AF731B"/>
    <w:rsid w:val="00B07CF3"/>
    <w:rsid w:val="00B110D4"/>
    <w:rsid w:val="00B11B40"/>
    <w:rsid w:val="00B12FA7"/>
    <w:rsid w:val="00B1688D"/>
    <w:rsid w:val="00B2409B"/>
    <w:rsid w:val="00B24BD8"/>
    <w:rsid w:val="00B267B2"/>
    <w:rsid w:val="00B361F2"/>
    <w:rsid w:val="00B365F8"/>
    <w:rsid w:val="00B374B9"/>
    <w:rsid w:val="00B37D18"/>
    <w:rsid w:val="00B401FF"/>
    <w:rsid w:val="00B423D1"/>
    <w:rsid w:val="00B43FB2"/>
    <w:rsid w:val="00B4604F"/>
    <w:rsid w:val="00B46348"/>
    <w:rsid w:val="00B47673"/>
    <w:rsid w:val="00B47C26"/>
    <w:rsid w:val="00B55393"/>
    <w:rsid w:val="00B558E3"/>
    <w:rsid w:val="00B60F35"/>
    <w:rsid w:val="00B668EA"/>
    <w:rsid w:val="00B75FA7"/>
    <w:rsid w:val="00B771F4"/>
    <w:rsid w:val="00B77FEE"/>
    <w:rsid w:val="00B8410B"/>
    <w:rsid w:val="00B85C6A"/>
    <w:rsid w:val="00B900E4"/>
    <w:rsid w:val="00B905AF"/>
    <w:rsid w:val="00B93D3D"/>
    <w:rsid w:val="00BA0A95"/>
    <w:rsid w:val="00BA0E07"/>
    <w:rsid w:val="00BA3228"/>
    <w:rsid w:val="00BA3814"/>
    <w:rsid w:val="00BA41F4"/>
    <w:rsid w:val="00BA7C86"/>
    <w:rsid w:val="00BB0861"/>
    <w:rsid w:val="00BB16AE"/>
    <w:rsid w:val="00BB2468"/>
    <w:rsid w:val="00BB5544"/>
    <w:rsid w:val="00BB5CD6"/>
    <w:rsid w:val="00BC02F8"/>
    <w:rsid w:val="00BC16C1"/>
    <w:rsid w:val="00BC424C"/>
    <w:rsid w:val="00BC6B33"/>
    <w:rsid w:val="00BC76C2"/>
    <w:rsid w:val="00BC77E3"/>
    <w:rsid w:val="00BD2C5D"/>
    <w:rsid w:val="00BD77DD"/>
    <w:rsid w:val="00BE0A46"/>
    <w:rsid w:val="00BE266D"/>
    <w:rsid w:val="00BF15E9"/>
    <w:rsid w:val="00BF3A74"/>
    <w:rsid w:val="00BF5131"/>
    <w:rsid w:val="00BF69AB"/>
    <w:rsid w:val="00C02342"/>
    <w:rsid w:val="00C04EB3"/>
    <w:rsid w:val="00C052F6"/>
    <w:rsid w:val="00C064C8"/>
    <w:rsid w:val="00C104EC"/>
    <w:rsid w:val="00C11654"/>
    <w:rsid w:val="00C1506B"/>
    <w:rsid w:val="00C15B79"/>
    <w:rsid w:val="00C16360"/>
    <w:rsid w:val="00C20405"/>
    <w:rsid w:val="00C24E4C"/>
    <w:rsid w:val="00C25ACA"/>
    <w:rsid w:val="00C25F3C"/>
    <w:rsid w:val="00C308B9"/>
    <w:rsid w:val="00C3262E"/>
    <w:rsid w:val="00C32934"/>
    <w:rsid w:val="00C331BD"/>
    <w:rsid w:val="00C349EB"/>
    <w:rsid w:val="00C366D6"/>
    <w:rsid w:val="00C36EFF"/>
    <w:rsid w:val="00C37D76"/>
    <w:rsid w:val="00C40B18"/>
    <w:rsid w:val="00C41698"/>
    <w:rsid w:val="00C4257E"/>
    <w:rsid w:val="00C5419D"/>
    <w:rsid w:val="00C6304B"/>
    <w:rsid w:val="00C65749"/>
    <w:rsid w:val="00C662BC"/>
    <w:rsid w:val="00C677F5"/>
    <w:rsid w:val="00C73834"/>
    <w:rsid w:val="00C74289"/>
    <w:rsid w:val="00C777B0"/>
    <w:rsid w:val="00C84A4F"/>
    <w:rsid w:val="00C9422A"/>
    <w:rsid w:val="00CA1B7A"/>
    <w:rsid w:val="00CA2780"/>
    <w:rsid w:val="00CA38F7"/>
    <w:rsid w:val="00CA45B5"/>
    <w:rsid w:val="00CB32FE"/>
    <w:rsid w:val="00CB5000"/>
    <w:rsid w:val="00CB6FA5"/>
    <w:rsid w:val="00CC0812"/>
    <w:rsid w:val="00CC1F5A"/>
    <w:rsid w:val="00CC3F8E"/>
    <w:rsid w:val="00CC4580"/>
    <w:rsid w:val="00CC5007"/>
    <w:rsid w:val="00CC70B4"/>
    <w:rsid w:val="00CD05DF"/>
    <w:rsid w:val="00CD17CE"/>
    <w:rsid w:val="00CD5EC6"/>
    <w:rsid w:val="00CF2189"/>
    <w:rsid w:val="00CF3FCF"/>
    <w:rsid w:val="00CF6F6A"/>
    <w:rsid w:val="00CF76F9"/>
    <w:rsid w:val="00CF7F26"/>
    <w:rsid w:val="00D00F73"/>
    <w:rsid w:val="00D01470"/>
    <w:rsid w:val="00D01979"/>
    <w:rsid w:val="00D03EC9"/>
    <w:rsid w:val="00D069F3"/>
    <w:rsid w:val="00D13F0C"/>
    <w:rsid w:val="00D14CC6"/>
    <w:rsid w:val="00D15225"/>
    <w:rsid w:val="00D15A65"/>
    <w:rsid w:val="00D21A23"/>
    <w:rsid w:val="00D22270"/>
    <w:rsid w:val="00D22CA2"/>
    <w:rsid w:val="00D26164"/>
    <w:rsid w:val="00D32ECB"/>
    <w:rsid w:val="00D333CB"/>
    <w:rsid w:val="00D34C9A"/>
    <w:rsid w:val="00D45B8F"/>
    <w:rsid w:val="00D5002A"/>
    <w:rsid w:val="00D53D4A"/>
    <w:rsid w:val="00D55AC5"/>
    <w:rsid w:val="00D64A94"/>
    <w:rsid w:val="00D650C6"/>
    <w:rsid w:val="00D76AC9"/>
    <w:rsid w:val="00D8134D"/>
    <w:rsid w:val="00D81C40"/>
    <w:rsid w:val="00D8302E"/>
    <w:rsid w:val="00D8313C"/>
    <w:rsid w:val="00D859A0"/>
    <w:rsid w:val="00D85E18"/>
    <w:rsid w:val="00D90B0A"/>
    <w:rsid w:val="00D9501E"/>
    <w:rsid w:val="00DA4452"/>
    <w:rsid w:val="00DB7632"/>
    <w:rsid w:val="00DC0159"/>
    <w:rsid w:val="00DC6155"/>
    <w:rsid w:val="00DC63F8"/>
    <w:rsid w:val="00DC78B4"/>
    <w:rsid w:val="00DD01D9"/>
    <w:rsid w:val="00DD53DC"/>
    <w:rsid w:val="00DD6C5D"/>
    <w:rsid w:val="00DE18E9"/>
    <w:rsid w:val="00DE1A5B"/>
    <w:rsid w:val="00DE36A3"/>
    <w:rsid w:val="00DE5A1B"/>
    <w:rsid w:val="00DF31F8"/>
    <w:rsid w:val="00DF5FD7"/>
    <w:rsid w:val="00E019E6"/>
    <w:rsid w:val="00E07676"/>
    <w:rsid w:val="00E11B7D"/>
    <w:rsid w:val="00E14E04"/>
    <w:rsid w:val="00E17553"/>
    <w:rsid w:val="00E21787"/>
    <w:rsid w:val="00E22433"/>
    <w:rsid w:val="00E24A99"/>
    <w:rsid w:val="00E2611F"/>
    <w:rsid w:val="00E264ED"/>
    <w:rsid w:val="00E2792D"/>
    <w:rsid w:val="00E32436"/>
    <w:rsid w:val="00E34E80"/>
    <w:rsid w:val="00E35442"/>
    <w:rsid w:val="00E37886"/>
    <w:rsid w:val="00E40B2F"/>
    <w:rsid w:val="00E410E8"/>
    <w:rsid w:val="00E45E85"/>
    <w:rsid w:val="00E45EB4"/>
    <w:rsid w:val="00E510F5"/>
    <w:rsid w:val="00E531A0"/>
    <w:rsid w:val="00E636CB"/>
    <w:rsid w:val="00E64EE2"/>
    <w:rsid w:val="00E650D6"/>
    <w:rsid w:val="00E65836"/>
    <w:rsid w:val="00E70B18"/>
    <w:rsid w:val="00E72271"/>
    <w:rsid w:val="00E749D6"/>
    <w:rsid w:val="00E74F2C"/>
    <w:rsid w:val="00E76362"/>
    <w:rsid w:val="00E76B0F"/>
    <w:rsid w:val="00E7737B"/>
    <w:rsid w:val="00E846D4"/>
    <w:rsid w:val="00E84BCF"/>
    <w:rsid w:val="00E8594B"/>
    <w:rsid w:val="00E86FD2"/>
    <w:rsid w:val="00E91946"/>
    <w:rsid w:val="00E929C7"/>
    <w:rsid w:val="00E9472B"/>
    <w:rsid w:val="00E94C46"/>
    <w:rsid w:val="00E973D2"/>
    <w:rsid w:val="00E9766C"/>
    <w:rsid w:val="00EC36E4"/>
    <w:rsid w:val="00EC6C91"/>
    <w:rsid w:val="00EC7DEA"/>
    <w:rsid w:val="00EC7F00"/>
    <w:rsid w:val="00ED1109"/>
    <w:rsid w:val="00ED3143"/>
    <w:rsid w:val="00ED37D3"/>
    <w:rsid w:val="00ED3AFB"/>
    <w:rsid w:val="00ED6417"/>
    <w:rsid w:val="00EE0F4F"/>
    <w:rsid w:val="00EE2524"/>
    <w:rsid w:val="00EE449C"/>
    <w:rsid w:val="00EE7918"/>
    <w:rsid w:val="00EF33D3"/>
    <w:rsid w:val="00EF6AEB"/>
    <w:rsid w:val="00F03765"/>
    <w:rsid w:val="00F057F7"/>
    <w:rsid w:val="00F05F12"/>
    <w:rsid w:val="00F06F4B"/>
    <w:rsid w:val="00F07838"/>
    <w:rsid w:val="00F1035E"/>
    <w:rsid w:val="00F17004"/>
    <w:rsid w:val="00F21E99"/>
    <w:rsid w:val="00F21F47"/>
    <w:rsid w:val="00F248B1"/>
    <w:rsid w:val="00F25096"/>
    <w:rsid w:val="00F25644"/>
    <w:rsid w:val="00F323C4"/>
    <w:rsid w:val="00F33998"/>
    <w:rsid w:val="00F33CE6"/>
    <w:rsid w:val="00F342F5"/>
    <w:rsid w:val="00F35809"/>
    <w:rsid w:val="00F451C5"/>
    <w:rsid w:val="00F52792"/>
    <w:rsid w:val="00F527D3"/>
    <w:rsid w:val="00F54ADD"/>
    <w:rsid w:val="00F54D8A"/>
    <w:rsid w:val="00F572C6"/>
    <w:rsid w:val="00F61EC0"/>
    <w:rsid w:val="00F664C5"/>
    <w:rsid w:val="00F71F54"/>
    <w:rsid w:val="00F72C98"/>
    <w:rsid w:val="00F81C6F"/>
    <w:rsid w:val="00F90DB0"/>
    <w:rsid w:val="00F913B9"/>
    <w:rsid w:val="00F9502F"/>
    <w:rsid w:val="00F95F4B"/>
    <w:rsid w:val="00F97367"/>
    <w:rsid w:val="00FA5E5E"/>
    <w:rsid w:val="00FB0FBF"/>
    <w:rsid w:val="00FB1B75"/>
    <w:rsid w:val="00FB1C9B"/>
    <w:rsid w:val="00FB1F19"/>
    <w:rsid w:val="00FB4E20"/>
    <w:rsid w:val="00FB542C"/>
    <w:rsid w:val="00FC3EF3"/>
    <w:rsid w:val="00FC5476"/>
    <w:rsid w:val="00FD1CD0"/>
    <w:rsid w:val="00FD3340"/>
    <w:rsid w:val="00FD401D"/>
    <w:rsid w:val="00FD4FD4"/>
    <w:rsid w:val="00FD73DC"/>
    <w:rsid w:val="00FE0DF0"/>
    <w:rsid w:val="00FE2653"/>
    <w:rsid w:val="00FE4F6D"/>
    <w:rsid w:val="00FE55F8"/>
    <w:rsid w:val="00FE5625"/>
    <w:rsid w:val="00FF25A6"/>
    <w:rsid w:val="00FF3382"/>
    <w:rsid w:val="00FF5F53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  <w:style w:type="paragraph" w:styleId="Revisin">
    <w:name w:val="Revision"/>
    <w:hidden/>
    <w:uiPriority w:val="99"/>
    <w:semiHidden/>
    <w:rsid w:val="005C1080"/>
    <w:pPr>
      <w:jc w:val="left"/>
    </w:pPr>
    <w:rPr>
      <w:rFonts w:ascii="Calibri" w:eastAsia="Calibri" w:hAnsi="Calibri" w:cs="Calibri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3F1D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D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D68"/>
    <w:rPr>
      <w:rFonts w:ascii="Calibri" w:eastAsia="Calibri" w:hAnsi="Calibri" w:cs="Calibri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D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D68"/>
    <w:rPr>
      <w:rFonts w:ascii="Calibri" w:eastAsia="Calibri" w:hAnsi="Calibri" w:cs="Calibri"/>
      <w:b/>
      <w:bCs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598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18609725139564404"/>
          <c:w val="0.77181208053691219"/>
          <c:h val="0.54669437361699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2D8-4FDB-B9A7-F846D401DCF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2D8-4FDB-B9A7-F846D401DCF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2D8-4FDB-B9A7-F846D401DCFC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2D8-4FDB-B9A7-F846D401DCFC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2D8-4FDB-B9A7-F846D401DCFC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42D8-4FDB-B9A7-F846D401DCFC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42D8-4FDB-B9A7-F846D401DCFC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42D8-4FDB-B9A7-F846D401DCF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42D8-4FDB-B9A7-F846D401DCF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42D8-4FDB-B9A7-F846D401DCFC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42D8-4FDB-B9A7-F846D401DCFC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2D8-4FDB-B9A7-F846D401DCF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42D8-4FDB-B9A7-F846D401DCF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42D8-4FDB-B9A7-F846D401DCFC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42D8-4FDB-B9A7-F846D401DCF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42D8-4FDB-B9A7-F846D401DCFC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42D8-4FDB-B9A7-F846D401DCFC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42D8-4FDB-B9A7-F846D401DCFC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42D8-4FDB-B9A7-F846D401DCF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42D8-4FDB-B9A7-F846D401DCFC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42D8-4FDB-B9A7-F846D401DCFC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42D8-4FDB-B9A7-F846D401DCFC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42D8-4FDB-B9A7-F846D401DCFC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42D8-4FDB-B9A7-F846D401DCFC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42D8-4FDB-B9A7-F846D401DCFC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42D8-4FDB-B9A7-F846D401DCFC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42D8-4FDB-B9A7-F846D401DCFC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42D8-4FDB-B9A7-F846D401DCFC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42D8-4FDB-B9A7-F846D401DCFC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42D8-4FDB-B9A7-F846D401DCFC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42D8-4FDB-B9A7-F846D401DCFC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42D8-4FDB-B9A7-F846D401DCFC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3-42D8-4FDB-B9A7-F846D401DCFC}"/>
              </c:ext>
            </c:extLst>
          </c:dPt>
          <c:dLbls>
            <c:dLbl>
              <c:idx val="10"/>
              <c:layout>
                <c:manualLayout>
                  <c:x val="0"/>
                  <c:y val="-0.119828815977175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2D8-4FDB-B9A7-F846D401DCFC}"/>
                </c:ext>
              </c:extLst>
            </c:dLbl>
            <c:dLbl>
              <c:idx val="22"/>
              <c:layout>
                <c:manualLayout>
                  <c:x val="2.4881811395869621E-3"/>
                  <c:y val="-9.700427960057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2D8-4FDB-B9A7-F846D401DCFC}"/>
                </c:ext>
              </c:extLst>
            </c:dLbl>
            <c:dLbl>
              <c:idx val="34"/>
              <c:layout>
                <c:manualLayout>
                  <c:x val="2.4881811395869621E-3"/>
                  <c:y val="-0.119828815977175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2D8-4FDB-B9A7-F846D401DC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Hoja1!$B$2:$B$48</c:f>
              <c:numCache>
                <c:formatCode>_ * #,##0_ ;_ * \-#,##0_ ;_ * "-"??_ ;_ @_ </c:formatCode>
                <c:ptCount val="35"/>
                <c:pt idx="0">
                  <c:v>4374.6741066999994</c:v>
                </c:pt>
                <c:pt idx="1">
                  <c:v>3405.6330130799997</c:v>
                </c:pt>
                <c:pt idx="2">
                  <c:v>3854.5266706700008</c:v>
                </c:pt>
                <c:pt idx="3">
                  <c:v>4617.795768009998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2376.6586071800002</c:v>
                </c:pt>
                <c:pt idx="7">
                  <c:v>2468.4193998600003</c:v>
                </c:pt>
                <c:pt idx="8">
                  <c:v>2428.5797633200004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3057.8278364199996</c:v>
                </c:pt>
                <c:pt idx="12">
                  <c:v>4471.9462622699994</c:v>
                </c:pt>
                <c:pt idx="13">
                  <c:v>3695.7075470399996</c:v>
                </c:pt>
                <c:pt idx="14">
                  <c:v>5752.7969224099998</c:v>
                </c:pt>
                <c:pt idx="15">
                  <c:v>8125.5638842900016</c:v>
                </c:pt>
                <c:pt idx="16">
                  <c:v>3353.3452668999998</c:v>
                </c:pt>
                <c:pt idx="17">
                  <c:v>3649.2751305399993</c:v>
                </c:pt>
                <c:pt idx="18">
                  <c:v>4165.6857682400005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4317.146560879999</c:v>
                </c:pt>
                <c:pt idx="22">
                  <c:v>4163.7431395999993</c:v>
                </c:pt>
                <c:pt idx="23">
                  <c:v>5421.1817133199993</c:v>
                </c:pt>
                <c:pt idx="24">
                  <c:v>5455.3902150000013</c:v>
                </c:pt>
                <c:pt idx="25">
                  <c:v>4269.6271683500017</c:v>
                </c:pt>
                <c:pt idx="26">
                  <c:v>10690.65227156</c:v>
                </c:pt>
                <c:pt idx="27">
                  <c:v>13604.517631609997</c:v>
                </c:pt>
                <c:pt idx="28">
                  <c:v>4678.8152603900007</c:v>
                </c:pt>
                <c:pt idx="29">
                  <c:v>4406.2783848900008</c:v>
                </c:pt>
                <c:pt idx="30">
                  <c:v>4218.2969078699989</c:v>
                </c:pt>
                <c:pt idx="31">
                  <c:v>4219.645626919998</c:v>
                </c:pt>
                <c:pt idx="32">
                  <c:v>4366.6837682200003</c:v>
                </c:pt>
                <c:pt idx="33">
                  <c:v>5011.9027635800003</c:v>
                </c:pt>
                <c:pt idx="34">
                  <c:v>4264.0878229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42D8-4FDB-B9A7-F846D401D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-4.2299079372978353E-2"/>
                  <c:y val="5.1355206847360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2D8-4FDB-B9A7-F846D401DCFC}"/>
                </c:ext>
              </c:extLst>
            </c:dLbl>
            <c:dLbl>
              <c:idx val="22"/>
              <c:layout>
                <c:manualLayout>
                  <c:x val="-1.9905449116695697E-2"/>
                  <c:y val="-7.9885877318116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2D8-4FDB-B9A7-F846D401DCFC}"/>
                </c:ext>
              </c:extLst>
            </c:dLbl>
            <c:dLbl>
              <c:idx val="34"/>
              <c:layout>
                <c:manualLayout>
                  <c:x val="-3.234635481463069E-2"/>
                  <c:y val="6.8473609129814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42D8-4FDB-B9A7-F846D401DCF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Hoja1!$C$2:$C$48</c:f>
              <c:numCache>
                <c:formatCode>0.0</c:formatCode>
                <c:ptCount val="35"/>
                <c:pt idx="0">
                  <c:v>4.2</c:v>
                </c:pt>
                <c:pt idx="1">
                  <c:v>6.6</c:v>
                </c:pt>
                <c:pt idx="2">
                  <c:v>-24</c:v>
                </c:pt>
                <c:pt idx="3">
                  <c:v>-33</c:v>
                </c:pt>
                <c:pt idx="4">
                  <c:v>22.2</c:v>
                </c:pt>
                <c:pt idx="5">
                  <c:v>-45</c:v>
                </c:pt>
                <c:pt idx="6">
                  <c:v>-18</c:v>
                </c:pt>
                <c:pt idx="7">
                  <c:v>-14</c:v>
                </c:pt>
                <c:pt idx="8">
                  <c:v>-21</c:v>
                </c:pt>
                <c:pt idx="9">
                  <c:v>-12</c:v>
                </c:pt>
                <c:pt idx="10">
                  <c:v>-19</c:v>
                </c:pt>
                <c:pt idx="11">
                  <c:v>-5.8</c:v>
                </c:pt>
                <c:pt idx="12">
                  <c:v>-0.44023744453924873</c:v>
                </c:pt>
                <c:pt idx="13">
                  <c:v>5.9727246557977898</c:v>
                </c:pt>
                <c:pt idx="14">
                  <c:v>45.468281860599433</c:v>
                </c:pt>
                <c:pt idx="15">
                  <c:v>71.857139961041568</c:v>
                </c:pt>
                <c:pt idx="16">
                  <c:v>-22.703862969507128</c:v>
                </c:pt>
                <c:pt idx="17">
                  <c:v>122.79814895742831</c:v>
                </c:pt>
                <c:pt idx="18">
                  <c:v>68.834529969625422</c:v>
                </c:pt>
                <c:pt idx="19">
                  <c:v>47.733097800044931</c:v>
                </c:pt>
                <c:pt idx="20">
                  <c:v>53.910469281501719</c:v>
                </c:pt>
                <c:pt idx="21">
                  <c:v>36.883178336018993</c:v>
                </c:pt>
                <c:pt idx="22">
                  <c:v>41.688598139310741</c:v>
                </c:pt>
                <c:pt idx="23">
                  <c:v>66.577098393572356</c:v>
                </c:pt>
                <c:pt idx="24">
                  <c:v>15.429346056143501</c:v>
                </c:pt>
                <c:pt idx="25">
                  <c:v>8.8389766073256659</c:v>
                </c:pt>
                <c:pt idx="26">
                  <c:v>73.967188138020461</c:v>
                </c:pt>
                <c:pt idx="27">
                  <c:v>55.084206226302456</c:v>
                </c:pt>
                <c:pt idx="28">
                  <c:v>29.082548546419673</c:v>
                </c:pt>
                <c:pt idx="29">
                  <c:v>10.964996847799991</c:v>
                </c:pt>
                <c:pt idx="30">
                  <c:v>-6.8767816643242945</c:v>
                </c:pt>
                <c:pt idx="31">
                  <c:v>1.7100694937971506</c:v>
                </c:pt>
                <c:pt idx="32">
                  <c:v>2.2925916342797281</c:v>
                </c:pt>
                <c:pt idx="33">
                  <c:v>7.2202642219105551</c:v>
                </c:pt>
                <c:pt idx="34">
                  <c:v>-5.6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8-42D8-4FDB-B9A7-F846D401DCF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Hoja1!$D$2:$D$48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42D8-4FDB-B9A7-F846D401D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80"/>
            </a:pPr>
            <a:endParaRPr lang="es-PE"/>
          </a:p>
        </c:txPr>
        <c:crossAx val="144873344"/>
        <c:crosses val="autoZero"/>
        <c:auto val="1"/>
        <c:lblAlgn val="ctr"/>
        <c:lblOffset val="100"/>
        <c:tickLblSkip val="1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8DC-4099-B751-5CC707C136A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8DC-4099-B751-5CC707C136A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8DC-4099-B751-5CC707C136A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8DC-4099-B751-5CC707C136A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8DC-4099-B751-5CC707C136A5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E8DC-4099-B751-5CC707C136A5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E8DC-4099-B751-5CC707C136A5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8DC-4099-B751-5CC707C136A5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8DC-4099-B751-5CC707C136A5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E8DC-4099-B751-5CC707C136A5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E8DC-4099-B751-5CC707C136A5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E8DC-4099-B751-5CC707C136A5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E8DC-4099-B751-5CC707C136A5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E8DC-4099-B751-5CC707C136A5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E8DC-4099-B751-5CC707C136A5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E8DC-4099-B751-5CC707C136A5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E8DC-4099-B751-5CC707C136A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E8DC-4099-B751-5CC707C136A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E8DC-4099-B751-5CC707C136A5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E8DC-4099-B751-5CC707C136A5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E8DC-4099-B751-5CC707C136A5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E8DC-4099-B751-5CC707C136A5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E8DC-4099-B751-5CC707C136A5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E8DC-4099-B751-5CC707C136A5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E8DC-4099-B751-5CC707C136A5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E8DC-4099-B751-5CC707C136A5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E8DC-4099-B751-5CC707C136A5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E8DC-4099-B751-5CC707C136A5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E8DC-4099-B751-5CC707C136A5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E8DC-4099-B751-5CC707C136A5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E8DC-4099-B751-5CC707C136A5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E8DC-4099-B751-5CC707C136A5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3-E8DC-4099-B751-5CC707C136A5}"/>
              </c:ext>
            </c:extLst>
          </c:dPt>
          <c:dLbls>
            <c:dLbl>
              <c:idx val="10"/>
              <c:layout>
                <c:manualLayout>
                  <c:x val="-5.1216389244558257E-3"/>
                  <c:y val="-0.19411764705882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8DC-4099-B751-5CC707C136A5}"/>
                </c:ext>
              </c:extLst>
            </c:dLbl>
            <c:dLbl>
              <c:idx val="22"/>
              <c:layout>
                <c:manualLayout>
                  <c:x val="-2.5608194622279128E-3"/>
                  <c:y val="-0.252941176470588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8DC-4099-B751-5CC707C136A5}"/>
                </c:ext>
              </c:extLst>
            </c:dLbl>
            <c:dLbl>
              <c:idx val="34"/>
              <c:layout>
                <c:manualLayout>
                  <c:x val="0"/>
                  <c:y val="-0.264705882352941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8DC-4099-B751-5CC707C136A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Hoja1!$B$2:$B$48</c:f>
              <c:numCache>
                <c:formatCode>_ * #,##0_ ;_ * \-#,##0_ ;_ * "-"??_ ;_ @_ </c:formatCode>
                <c:ptCount val="35"/>
                <c:pt idx="0">
                  <c:v>6391.5114638523028</c:v>
                </c:pt>
                <c:pt idx="1">
                  <c:v>4870.2744353131884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3225.1799514972458</c:v>
                </c:pt>
                <c:pt idx="5">
                  <c:v>3327.1949283796425</c:v>
                </c:pt>
                <c:pt idx="6">
                  <c:v>4041.3943962581629</c:v>
                </c:pt>
                <c:pt idx="7">
                  <c:v>4479.8737922216033</c:v>
                </c:pt>
                <c:pt idx="8">
                  <c:v>4857.9874709146388</c:v>
                </c:pt>
                <c:pt idx="9">
                  <c:v>5201.2314685411911</c:v>
                </c:pt>
                <c:pt idx="10">
                  <c:v>5424.2201257003662</c:v>
                </c:pt>
                <c:pt idx="11">
                  <c:v>5982.0325087546471</c:v>
                </c:pt>
                <c:pt idx="12">
                  <c:v>6343.6893576983939</c:v>
                </c:pt>
                <c:pt idx="13">
                  <c:v>5623.6288904024132</c:v>
                </c:pt>
                <c:pt idx="14">
                  <c:v>6093.3190117378572</c:v>
                </c:pt>
                <c:pt idx="15">
                  <c:v>5906.2370168636126</c:v>
                </c:pt>
                <c:pt idx="16">
                  <c:v>6022.1384266739315</c:v>
                </c:pt>
                <c:pt idx="17">
                  <c:v>6170.4570452325506</c:v>
                </c:pt>
                <c:pt idx="18">
                  <c:v>6235.3764663249322</c:v>
                </c:pt>
                <c:pt idx="19">
                  <c:v>7004.1239552114903</c:v>
                </c:pt>
                <c:pt idx="20">
                  <c:v>6863.384087718151</c:v>
                </c:pt>
                <c:pt idx="21">
                  <c:v>6574.5597955193634</c:v>
                </c:pt>
                <c:pt idx="22">
                  <c:v>7487.3287247026319</c:v>
                </c:pt>
                <c:pt idx="23">
                  <c:v>7773.3392810805344</c:v>
                </c:pt>
                <c:pt idx="24">
                  <c:v>7837.7556604557913</c:v>
                </c:pt>
                <c:pt idx="25">
                  <c:v>6495.0821760204772</c:v>
                </c:pt>
                <c:pt idx="26">
                  <c:v>7036.1783798663746</c:v>
                </c:pt>
                <c:pt idx="27">
                  <c:v>6973.7989128217796</c:v>
                </c:pt>
                <c:pt idx="28">
                  <c:v>7516.5799757190298</c:v>
                </c:pt>
                <c:pt idx="29">
                  <c:v>6899.0636862081892</c:v>
                </c:pt>
                <c:pt idx="30">
                  <c:v>7087.1532522283287</c:v>
                </c:pt>
                <c:pt idx="31">
                  <c:v>8248.040098227988</c:v>
                </c:pt>
                <c:pt idx="32">
                  <c:v>7877.2881579802406</c:v>
                </c:pt>
                <c:pt idx="33">
                  <c:v>7570.2773743994894</c:v>
                </c:pt>
                <c:pt idx="34">
                  <c:v>7705.7779566299996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E8DC-4099-B751-5CC707C13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8DC-4099-B751-5CC707C136A5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E8DC-4099-B751-5CC707C136A5}"/>
                </c:ext>
              </c:extLst>
            </c:dLbl>
            <c:dLbl>
              <c:idx val="34"/>
              <c:layout>
                <c:manualLayout>
                  <c:x val="-3.8412291933418691E-2"/>
                  <c:y val="-5.8823529411764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E8DC-4099-B751-5CC707C136A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Hoja1!$C$2:$C$48</c:f>
              <c:numCache>
                <c:formatCode>0.0</c:formatCode>
                <c:ptCount val="35"/>
                <c:pt idx="0">
                  <c:v>0.73769622467543261</c:v>
                </c:pt>
                <c:pt idx="1">
                  <c:v>-3.3958150736572712</c:v>
                </c:pt>
                <c:pt idx="2">
                  <c:v>-11.166070425158415</c:v>
                </c:pt>
                <c:pt idx="3">
                  <c:v>-35.44265016540826</c:v>
                </c:pt>
                <c:pt idx="4">
                  <c:v>-39.436740976791853</c:v>
                </c:pt>
                <c:pt idx="5">
                  <c:v>-35.789925093549513</c:v>
                </c:pt>
                <c:pt idx="6">
                  <c:v>-22.712528068231428</c:v>
                </c:pt>
                <c:pt idx="7">
                  <c:v>-16.884655356105817</c:v>
                </c:pt>
                <c:pt idx="8">
                  <c:v>-11.695627553506982</c:v>
                </c:pt>
                <c:pt idx="9">
                  <c:v>-4.2059697869550883</c:v>
                </c:pt>
                <c:pt idx="10">
                  <c:v>-2.4858162510627446</c:v>
                </c:pt>
                <c:pt idx="11">
                  <c:v>4.9511042580463904</c:v>
                </c:pt>
                <c:pt idx="12">
                  <c:v>-3.334541013896386</c:v>
                </c:pt>
                <c:pt idx="13">
                  <c:v>12.760649894470788</c:v>
                </c:pt>
                <c:pt idx="14">
                  <c:v>41.409243852701707</c:v>
                </c:pt>
                <c:pt idx="15">
                  <c:v>70.748239312387611</c:v>
                </c:pt>
                <c:pt idx="16">
                  <c:v>82.261773333039855</c:v>
                </c:pt>
                <c:pt idx="17">
                  <c:v>79.60964370400545</c:v>
                </c:pt>
                <c:pt idx="18">
                  <c:v>48.618547859661135</c:v>
                </c:pt>
                <c:pt idx="19">
                  <c:v>48.968345980000706</c:v>
                </c:pt>
                <c:pt idx="20">
                  <c:v>34.259213448754508</c:v>
                </c:pt>
                <c:pt idx="21">
                  <c:v>19.445027952645244</c:v>
                </c:pt>
                <c:pt idx="22">
                  <c:v>30.6468470021805</c:v>
                </c:pt>
                <c:pt idx="23">
                  <c:v>22.093688133375068</c:v>
                </c:pt>
                <c:pt idx="24">
                  <c:v>16.906000598404901</c:v>
                </c:pt>
                <c:pt idx="25">
                  <c:v>8.8078151608947728</c:v>
                </c:pt>
                <c:pt idx="26">
                  <c:v>8.0998543424384053</c:v>
                </c:pt>
                <c:pt idx="27">
                  <c:v>9.369564331209169</c:v>
                </c:pt>
                <c:pt idx="28">
                  <c:v>15.472735367118684</c:v>
                </c:pt>
                <c:pt idx="29">
                  <c:v>2.7527612008840796</c:v>
                </c:pt>
                <c:pt idx="30">
                  <c:v>4.5241111789428246</c:v>
                </c:pt>
                <c:pt idx="31">
                  <c:v>8.6364875870389</c:v>
                </c:pt>
                <c:pt idx="32">
                  <c:v>5.7521529980714137</c:v>
                </c:pt>
                <c:pt idx="33">
                  <c:v>6.3208533225753039</c:v>
                </c:pt>
                <c:pt idx="34">
                  <c:v>-5.0999999999999996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8-E8DC-4099-B751-5CC707C136A5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Hoja1!$D$2:$D$48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E8DC-4099-B751-5CC707C13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5"/>
            </a:pPr>
            <a:endParaRPr lang="es-PE"/>
          </a:p>
        </c:txPr>
        <c:crossAx val="144873344"/>
        <c:crosses val="autoZero"/>
        <c:auto val="1"/>
        <c:lblAlgn val="ctr"/>
        <c:lblOffset val="100"/>
        <c:tickLblSkip val="1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31A-4FC6-8022-02FC6E293B5E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31A-4FC6-8022-02FC6E293B5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31A-4FC6-8022-02FC6E293B5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31A-4FC6-8022-02FC6E293B5E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31A-4FC6-8022-02FC6E293B5E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631A-4FC6-8022-02FC6E293B5E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31A-4FC6-8022-02FC6E293B5E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31A-4FC6-8022-02FC6E293B5E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631A-4FC6-8022-02FC6E293B5E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631A-4FC6-8022-02FC6E293B5E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631A-4FC6-8022-02FC6E293B5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31A-4FC6-8022-02FC6E293B5E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631A-4FC6-8022-02FC6E293B5E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631A-4FC6-8022-02FC6E293B5E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631A-4FC6-8022-02FC6E293B5E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631A-4FC6-8022-02FC6E293B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631A-4FC6-8022-02FC6E293B5E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631A-4FC6-8022-02FC6E293B5E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631A-4FC6-8022-02FC6E293B5E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631A-4FC6-8022-02FC6E293B5E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631A-4FC6-8022-02FC6E293B5E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631A-4FC6-8022-02FC6E293B5E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631A-4FC6-8022-02FC6E293B5E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631A-4FC6-8022-02FC6E293B5E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631A-4FC6-8022-02FC6E293B5E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631A-4FC6-8022-02FC6E293B5E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631A-4FC6-8022-02FC6E293B5E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631A-4FC6-8022-02FC6E293B5E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631A-4FC6-8022-02FC6E293B5E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631A-4FC6-8022-02FC6E293B5E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631A-4FC6-8022-02FC6E293B5E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631A-4FC6-8022-02FC6E293B5E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3-631A-4FC6-8022-02FC6E293B5E}"/>
              </c:ext>
            </c:extLst>
          </c:dPt>
          <c:dLbls>
            <c:dLbl>
              <c:idx val="10"/>
              <c:layout>
                <c:manualLayout>
                  <c:x val="-2.5746652935118909E-3"/>
                  <c:y val="-0.242985247324269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1A-4FC6-8022-02FC6E293B5E}"/>
                </c:ext>
              </c:extLst>
            </c:dLbl>
            <c:dLbl>
              <c:idx val="22"/>
              <c:layout>
                <c:manualLayout>
                  <c:x val="0"/>
                  <c:y val="-0.266126699450390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31A-4FC6-8022-02FC6E293B5E}"/>
                </c:ext>
              </c:extLst>
            </c:dLbl>
            <c:dLbl>
              <c:idx val="34"/>
              <c:layout>
                <c:manualLayout>
                  <c:x val="0"/>
                  <c:y val="-0.28348278854498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31A-4FC6-8022-02FC6E293B5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Hoja1!$B$2:$B$48</c:f>
              <c:numCache>
                <c:formatCode>_ * #,##0_ ;_ * \-#,##0_ ;_ * "-"??_ ;_ @_ </c:formatCode>
                <c:ptCount val="35"/>
                <c:pt idx="0">
                  <c:v>935.73666637714086</c:v>
                </c:pt>
                <c:pt idx="1">
                  <c:v>670.25454108416898</c:v>
                </c:pt>
                <c:pt idx="2">
                  <c:v>703.93996938972214</c:v>
                </c:pt>
                <c:pt idx="3">
                  <c:v>333.90574693000008</c:v>
                </c:pt>
                <c:pt idx="4">
                  <c:v>243.40620640313321</c:v>
                </c:pt>
                <c:pt idx="5">
                  <c:v>325.13818020017226</c:v>
                </c:pt>
                <c:pt idx="6">
                  <c:v>464.2191174820374</c:v>
                </c:pt>
                <c:pt idx="7">
                  <c:v>554.78797501999998</c:v>
                </c:pt>
                <c:pt idx="8">
                  <c:v>518.07364408000001</c:v>
                </c:pt>
                <c:pt idx="9">
                  <c:v>588.19092655245822</c:v>
                </c:pt>
                <c:pt idx="10">
                  <c:v>758.6447469183297</c:v>
                </c:pt>
                <c:pt idx="11">
                  <c:v>824.1886012253151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709.48963996000009</c:v>
                </c:pt>
                <c:pt idx="15">
                  <c:v>703.13503943581031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723.59360617889786</c:v>
                </c:pt>
                <c:pt idx="19">
                  <c:v>819.25913312518537</c:v>
                </c:pt>
                <c:pt idx="20">
                  <c:v>741.81619597376709</c:v>
                </c:pt>
                <c:pt idx="21">
                  <c:v>801.93143897999983</c:v>
                </c:pt>
                <c:pt idx="22">
                  <c:v>851.47573002000013</c:v>
                </c:pt>
                <c:pt idx="23">
                  <c:v>867.65660188000015</c:v>
                </c:pt>
                <c:pt idx="24">
                  <c:v>923.88320605000024</c:v>
                </c:pt>
                <c:pt idx="25">
                  <c:v>803.16341792999981</c:v>
                </c:pt>
                <c:pt idx="26">
                  <c:v>645.61854926722674</c:v>
                </c:pt>
                <c:pt idx="27">
                  <c:v>843.29256933836484</c:v>
                </c:pt>
                <c:pt idx="28">
                  <c:v>572.39659660570931</c:v>
                </c:pt>
                <c:pt idx="29">
                  <c:v>530.68923541580955</c:v>
                </c:pt>
                <c:pt idx="30">
                  <c:v>549.08954086638744</c:v>
                </c:pt>
                <c:pt idx="31">
                  <c:v>812.19624291999992</c:v>
                </c:pt>
                <c:pt idx="32">
                  <c:v>842.70229718576149</c:v>
                </c:pt>
                <c:pt idx="33">
                  <c:v>818.86550607999993</c:v>
                </c:pt>
                <c:pt idx="34">
                  <c:v>861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631A-4FC6-8022-02FC6E293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31A-4FC6-8022-02FC6E293B5E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31A-4FC6-8022-02FC6E293B5E}"/>
                </c:ext>
              </c:extLst>
            </c:dLbl>
            <c:dLbl>
              <c:idx val="34"/>
              <c:layout>
                <c:manualLayout>
                  <c:x val="-5.4067971163748715E-2"/>
                  <c:y val="-5.7853630315302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31A-4FC6-8022-02FC6E293B5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Hoja1!$C$2:$C$48</c:f>
              <c:numCache>
                <c:formatCode>0.0</c:formatCode>
                <c:ptCount val="35"/>
                <c:pt idx="0">
                  <c:v>20.698992013434172</c:v>
                </c:pt>
                <c:pt idx="1">
                  <c:v>-1.2116522123832629</c:v>
                </c:pt>
                <c:pt idx="2">
                  <c:v>15.052253054357756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-23.977954222639397</c:v>
                </c:pt>
                <c:pt idx="7">
                  <c:v>-21.24770996750328</c:v>
                </c:pt>
                <c:pt idx="8">
                  <c:v>-28.237003436531836</c:v>
                </c:pt>
                <c:pt idx="9">
                  <c:v>-21.514409416518355</c:v>
                </c:pt>
                <c:pt idx="10">
                  <c:v>5.0136848725186312</c:v>
                </c:pt>
                <c:pt idx="11">
                  <c:v>15.613220742796852</c:v>
                </c:pt>
                <c:pt idx="12">
                  <c:v>-8.069978575230973</c:v>
                </c:pt>
                <c:pt idx="13">
                  <c:v>1.5208894792315464</c:v>
                </c:pt>
                <c:pt idx="14">
                  <c:v>-1.7639810346156248</c:v>
                </c:pt>
                <c:pt idx="15">
                  <c:v>105.66653872100247</c:v>
                </c:pt>
                <c:pt idx="16">
                  <c:v>164.83453510400574</c:v>
                </c:pt>
                <c:pt idx="17">
                  <c:v>102.43522824162588</c:v>
                </c:pt>
                <c:pt idx="18">
                  <c:v>50.145827577159416</c:v>
                </c:pt>
                <c:pt idx="19">
                  <c:v>40.701978352222248</c:v>
                </c:pt>
                <c:pt idx="20">
                  <c:v>36.071445207742833</c:v>
                </c:pt>
                <c:pt idx="21">
                  <c:v>28.832815338460161</c:v>
                </c:pt>
                <c:pt idx="22">
                  <c:v>6.2290154874449666</c:v>
                </c:pt>
                <c:pt idx="23">
                  <c:v>-1.0864862412733767</c:v>
                </c:pt>
                <c:pt idx="24">
                  <c:v>-1.0248800782660328</c:v>
                </c:pt>
                <c:pt idx="25">
                  <c:v>8.5913379001206103</c:v>
                </c:pt>
                <c:pt idx="26">
                  <c:v>-14.813235208001995</c:v>
                </c:pt>
                <c:pt idx="27">
                  <c:v>11.090639201731921</c:v>
                </c:pt>
                <c:pt idx="28">
                  <c:v>-19.813826110330147</c:v>
                </c:pt>
                <c:pt idx="29">
                  <c:v>-28.23751650283074</c:v>
                </c:pt>
                <c:pt idx="30">
                  <c:v>-30.216011274288888</c:v>
                </c:pt>
                <c:pt idx="31">
                  <c:v>-8.54268231434936</c:v>
                </c:pt>
                <c:pt idx="32">
                  <c:v>4.6715500556891554</c:v>
                </c:pt>
                <c:pt idx="33">
                  <c:v>-5.7</c:v>
                </c:pt>
                <c:pt idx="34">
                  <c:v>-6.8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8-631A-4FC6-8022-02FC6E293B5E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Hoja1!$D$2:$D$48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631A-4FC6-8022-02FC6E293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0"/>
            </a:pPr>
            <a:endParaRPr lang="es-PE"/>
          </a:p>
        </c:txPr>
        <c:crossAx val="147747200"/>
        <c:crosses val="autoZero"/>
        <c:auto val="1"/>
        <c:lblAlgn val="ctr"/>
        <c:lblOffset val="100"/>
        <c:tickLblSkip val="1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2020 - 2022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3E2-43C6-A621-5C93882875D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3E2-43C6-A621-5C93882875D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3E2-43C6-A621-5C93882875D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3E2-43C6-A621-5C93882875D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3E2-43C6-A621-5C93882875D2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3E2-43C6-A621-5C93882875D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3E2-43C6-A621-5C93882875D2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E2-43C6-A621-5C93882875D2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03E2-43C6-A621-5C93882875D2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3E2-43C6-A621-5C93882875D2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03E2-43C6-A621-5C93882875D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03E2-43C6-A621-5C93882875D2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3E2-43C6-A621-5C93882875D2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03E2-43C6-A621-5C93882875D2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3E2-43C6-A621-5C93882875D2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03E2-43C6-A621-5C93882875D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03E2-43C6-A621-5C93882875D2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03E2-43C6-A621-5C93882875D2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03E2-43C6-A621-5C93882875D2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03E2-43C6-A621-5C93882875D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03E2-43C6-A621-5C93882875D2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03E2-43C6-A621-5C93882875D2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03E2-43C6-A621-5C93882875D2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03E2-43C6-A621-5C93882875D2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03E2-43C6-A621-5C93882875D2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03E2-43C6-A621-5C93882875D2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03E2-43C6-A621-5C93882875D2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03E2-43C6-A621-5C93882875D2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03E2-43C6-A621-5C93882875D2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03E2-43C6-A621-5C93882875D2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03E2-43C6-A621-5C93882875D2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03E2-43C6-A621-5C93882875D2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3-03E2-43C6-A621-5C93882875D2}"/>
              </c:ext>
            </c:extLst>
          </c:dPt>
          <c:dLbls>
            <c:dLbl>
              <c:idx val="10"/>
              <c:layout>
                <c:manualLayout>
                  <c:x val="-5.2541704978327029E-3"/>
                  <c:y val="-0.19032082653616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3E2-43C6-A621-5C93882875D2}"/>
                </c:ext>
              </c:extLst>
            </c:dLbl>
            <c:dLbl>
              <c:idx val="22"/>
              <c:layout>
                <c:manualLayout>
                  <c:x val="-5.2541704978326543E-3"/>
                  <c:y val="-0.157694399129961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3E2-43C6-A621-5C93882875D2}"/>
                </c:ext>
              </c:extLst>
            </c:dLbl>
            <c:dLbl>
              <c:idx val="34"/>
              <c:layout>
                <c:manualLayout>
                  <c:x val="-9.6325346368310996E-17"/>
                  <c:y val="-0.244698205546492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03E2-43C6-A621-5C93882875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Hoja1!$B$2:$B$48</c:f>
              <c:numCache>
                <c:formatCode>_ * #,##0_ ;_ * \-#,##0_ ;_ * "-"??_ ;_ @_ </c:formatCode>
                <c:ptCount val="35"/>
                <c:pt idx="0">
                  <c:v>1346</c:v>
                </c:pt>
                <c:pt idx="1">
                  <c:v>1511</c:v>
                </c:pt>
                <c:pt idx="2">
                  <c:v>1432</c:v>
                </c:pt>
                <c:pt idx="3">
                  <c:v>1399</c:v>
                </c:pt>
                <c:pt idx="4">
                  <c:v>1057</c:v>
                </c:pt>
                <c:pt idx="5">
                  <c:v>1374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</c:v>
                </c:pt>
                <c:pt idx="10">
                  <c:v>1555</c:v>
                </c:pt>
                <c:pt idx="11">
                  <c:v>1645</c:v>
                </c:pt>
                <c:pt idx="12">
                  <c:v>1371.1450600999999</c:v>
                </c:pt>
                <c:pt idx="13">
                  <c:v>1170.1521685299999</c:v>
                </c:pt>
                <c:pt idx="14">
                  <c:v>1877.9982875500002</c:v>
                </c:pt>
                <c:pt idx="15">
                  <c:v>1652.3172830199999</c:v>
                </c:pt>
                <c:pt idx="16">
                  <c:v>1442.1443238600002</c:v>
                </c:pt>
                <c:pt idx="17">
                  <c:v>1983.1557679</c:v>
                </c:pt>
                <c:pt idx="18">
                  <c:v>1998.9975050599999</c:v>
                </c:pt>
                <c:pt idx="19">
                  <c:v>1510.6622531200001</c:v>
                </c:pt>
                <c:pt idx="20">
                  <c:v>1565.4263235399999</c:v>
                </c:pt>
                <c:pt idx="21">
                  <c:v>1710.8572098900001</c:v>
                </c:pt>
                <c:pt idx="22">
                  <c:v>1522.4275231599997</c:v>
                </c:pt>
                <c:pt idx="23">
                  <c:v>2018.2218230799999</c:v>
                </c:pt>
                <c:pt idx="24">
                  <c:v>2205.9801578299998</c:v>
                </c:pt>
                <c:pt idx="25">
                  <c:v>1743.8910244000001</c:v>
                </c:pt>
                <c:pt idx="26">
                  <c:v>2900.9628683400001</c:v>
                </c:pt>
                <c:pt idx="27">
                  <c:v>2440.4010071399998</c:v>
                </c:pt>
                <c:pt idx="28">
                  <c:v>1720.1364200099999</c:v>
                </c:pt>
                <c:pt idx="29">
                  <c:v>2155.3456029200001</c:v>
                </c:pt>
                <c:pt idx="30">
                  <c:v>1843.85264674</c:v>
                </c:pt>
                <c:pt idx="31">
                  <c:v>2280.4926827899999</c:v>
                </c:pt>
                <c:pt idx="32">
                  <c:v>1638.34736266</c:v>
                </c:pt>
                <c:pt idx="33">
                  <c:v>2487.2657001100001</c:v>
                </c:pt>
                <c:pt idx="34">
                  <c:v>2002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4-03E2-43C6-A621-5C93882875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03E2-43C6-A621-5C93882875D2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03E2-43C6-A621-5C93882875D2}"/>
                </c:ext>
              </c:extLst>
            </c:dLbl>
            <c:dLbl>
              <c:idx val="34"/>
              <c:layout>
                <c:manualLayout>
                  <c:x val="-3.6779193484828485E-2"/>
                  <c:y val="7.6128330614464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03E2-43C6-A621-5C93882875D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Hoja1!$C$2:$C$48</c:f>
              <c:numCache>
                <c:formatCode>0.0</c:formatCode>
                <c:ptCount val="35"/>
                <c:pt idx="0">
                  <c:v>-2.7</c:v>
                </c:pt>
                <c:pt idx="1">
                  <c:v>5.6</c:v>
                </c:pt>
                <c:pt idx="2">
                  <c:v>-6.8</c:v>
                </c:pt>
                <c:pt idx="3">
                  <c:v>-12.2</c:v>
                </c:pt>
                <c:pt idx="4">
                  <c:v>-26.5</c:v>
                </c:pt>
                <c:pt idx="5">
                  <c:v>-8.4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-0.82101437509206621</c:v>
                </c:pt>
                <c:pt idx="13">
                  <c:v>-24.35659177823527</c:v>
                </c:pt>
                <c:pt idx="14">
                  <c:v>27.784294173044643</c:v>
                </c:pt>
                <c:pt idx="15">
                  <c:v>15.348413298586493</c:v>
                </c:pt>
                <c:pt idx="16">
                  <c:v>33.126202870686704</c:v>
                </c:pt>
                <c:pt idx="17">
                  <c:v>39.751415253202047</c:v>
                </c:pt>
                <c:pt idx="18">
                  <c:v>43.462133499045223</c:v>
                </c:pt>
                <c:pt idx="19">
                  <c:v>6.3696825883116315</c:v>
                </c:pt>
                <c:pt idx="20">
                  <c:v>-4.0946208618087514</c:v>
                </c:pt>
                <c:pt idx="21">
                  <c:v>7.5815538950552153E-2</c:v>
                </c:pt>
                <c:pt idx="22">
                  <c:v>-7.3604658316815179</c:v>
                </c:pt>
                <c:pt idx="23">
                  <c:v>15.308066622823535</c:v>
                </c:pt>
                <c:pt idx="24">
                  <c:v>52.231732308452528</c:v>
                </c:pt>
                <c:pt idx="25">
                  <c:v>40.400642007724997</c:v>
                </c:pt>
                <c:pt idx="26">
                  <c:v>44.606948482440686</c:v>
                </c:pt>
                <c:pt idx="27">
                  <c:v>36.806169430291867</c:v>
                </c:pt>
                <c:pt idx="28">
                  <c:v>10.347899665355897</c:v>
                </c:pt>
                <c:pt idx="29">
                  <c:v>-0.11948545414367517</c:v>
                </c:pt>
                <c:pt idx="30">
                  <c:v>-15.175502088740133</c:v>
                </c:pt>
                <c:pt idx="31">
                  <c:v>39.264389885606654</c:v>
                </c:pt>
                <c:pt idx="32">
                  <c:v>-3.5673408504720228</c:v>
                </c:pt>
                <c:pt idx="33">
                  <c:v>34.299999999999997</c:v>
                </c:pt>
                <c:pt idx="34">
                  <c:v>21.2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8-03E2-43C6-A621-5C93882875D2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Hoja1!$A$2:$A$48</c:f>
              <c:strCache>
                <c:ptCount val="3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Hoja1!$D$2:$D$48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03E2-43C6-A621-5C93882875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  <c:min val="-4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E5AC1-606F-480C-9F08-C900A761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E-RECA-DE</dc:creator>
  <cp:keywords/>
  <dc:description/>
  <cp:lastModifiedBy>Manzaneda Miranda Gardy Raul</cp:lastModifiedBy>
  <cp:revision>3</cp:revision>
  <cp:lastPrinted>2022-10-03T17:58:00Z</cp:lastPrinted>
  <dcterms:created xsi:type="dcterms:W3CDTF">2022-12-27T01:27:00Z</dcterms:created>
  <dcterms:modified xsi:type="dcterms:W3CDTF">2022-12-27T01:38:00Z</dcterms:modified>
</cp:coreProperties>
</file>