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058E1" w14:textId="77777777" w:rsidR="00B413D1" w:rsidRPr="00B413D1" w:rsidRDefault="00B413D1" w:rsidP="00B413D1">
      <w:pPr>
        <w:spacing w:after="120"/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</w:pPr>
      <w:r w:rsidRPr="00B413D1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 xml:space="preserve">Nota de Prensa </w:t>
      </w:r>
      <w:proofErr w:type="spellStart"/>
      <w:r w:rsidRPr="00B413D1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N°</w:t>
      </w:r>
      <w:proofErr w:type="spellEnd"/>
      <w:r w:rsidRPr="00B413D1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 xml:space="preserve"> 059</w:t>
      </w:r>
    </w:p>
    <w:p w14:paraId="68072C63" w14:textId="2CD23823" w:rsidR="00740AAC" w:rsidRPr="00074CCE" w:rsidRDefault="009F0246" w:rsidP="00740AAC">
      <w:pPr>
        <w:spacing w:after="120"/>
        <w:jc w:val="both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PE"/>
        </w:rPr>
      </w:pPr>
      <w:r w:rsidRPr="00074CCE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PE"/>
        </w:rPr>
        <w:t xml:space="preserve"> </w:t>
      </w:r>
      <w:r w:rsidR="00EE1CD2" w:rsidRPr="00074CCE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PE"/>
        </w:rPr>
        <w:t>En las</w:t>
      </w:r>
      <w:r w:rsidR="00F32C59" w:rsidRPr="00074CCE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PE"/>
        </w:rPr>
        <w:t xml:space="preserve"> que </w:t>
      </w:r>
      <w:r w:rsidR="002D4D7E" w:rsidRPr="00074CCE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PE"/>
        </w:rPr>
        <w:t xml:space="preserve">evaluaría </w:t>
      </w:r>
      <w:r w:rsidR="00F32C59" w:rsidRPr="00074CCE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PE"/>
        </w:rPr>
        <w:t xml:space="preserve">aplicar la </w:t>
      </w:r>
      <w:r w:rsidR="00ED495E" w:rsidRPr="00074CCE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PE"/>
        </w:rPr>
        <w:t>N</w:t>
      </w:r>
      <w:r w:rsidR="00F32C59" w:rsidRPr="00074CCE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PE"/>
        </w:rPr>
        <w:t xml:space="preserve">orma </w:t>
      </w:r>
      <w:r w:rsidR="00A45F91" w:rsidRPr="00074CCE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PE"/>
        </w:rPr>
        <w:t>XVI del Código Tributario</w:t>
      </w:r>
    </w:p>
    <w:p w14:paraId="763EADF9" w14:textId="21B3A952" w:rsidR="00740AAC" w:rsidRPr="009A4A53" w:rsidRDefault="00740AAC" w:rsidP="00740AAC">
      <w:pPr>
        <w:spacing w:after="0"/>
        <w:jc w:val="center"/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</w:pPr>
      <w:r w:rsidRPr="000D79BF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>SUNAT</w:t>
      </w:r>
      <w:r w:rsidR="00F32C59" w:rsidRPr="000D79BF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 xml:space="preserve"> </w:t>
      </w:r>
      <w:r w:rsidR="008C7A3D" w:rsidRPr="000D79BF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 xml:space="preserve">AMPLÍA </w:t>
      </w:r>
      <w:r w:rsidR="00EE1CD2" w:rsidRPr="000D79BF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 xml:space="preserve">A </w:t>
      </w:r>
      <w:r w:rsidR="00AF5CB9" w:rsidRPr="000D79BF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>TRECE</w:t>
      </w:r>
      <w:r w:rsidR="00EE1CD2" w:rsidRPr="000D79BF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 xml:space="preserve"> EL </w:t>
      </w:r>
      <w:r w:rsidR="008C7A3D" w:rsidRPr="000D79BF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 xml:space="preserve">NÚMERO DE </w:t>
      </w:r>
      <w:r w:rsidRPr="000D79BF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 xml:space="preserve">ESQUEMAS </w:t>
      </w:r>
      <w:r w:rsidR="00F32C59" w:rsidRPr="000D79BF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>DE ALTO RIESGO FISCAL</w:t>
      </w:r>
    </w:p>
    <w:p w14:paraId="5DA52BC1" w14:textId="77777777" w:rsidR="00740AAC" w:rsidRPr="00B123BF" w:rsidRDefault="00740AAC" w:rsidP="00740AAC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248C8686" w14:textId="49E0BFFD" w:rsidR="00A83851" w:rsidRPr="00B123BF" w:rsidRDefault="00F32C59" w:rsidP="00B123BF">
      <w:pPr>
        <w:pStyle w:val="Prrafodelista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 w:rsidRPr="00B123BF"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 xml:space="preserve">Contribuyentes </w:t>
      </w:r>
      <w:r w:rsidR="00E723A9" w:rsidRPr="00B123BF"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>pueden</w:t>
      </w:r>
      <w:r w:rsidR="00A83851" w:rsidRPr="00B123BF"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 xml:space="preserve"> consulta</w:t>
      </w:r>
      <w:r w:rsidR="00E723A9" w:rsidRPr="00B123BF"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 xml:space="preserve">r </w:t>
      </w:r>
      <w:r w:rsidR="00D52A7B" w:rsidRPr="00B123BF"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 xml:space="preserve">en el portal de la SUNAT </w:t>
      </w:r>
      <w:r w:rsidR="00E723A9" w:rsidRPr="00B123BF"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 xml:space="preserve">el catálogo </w:t>
      </w:r>
      <w:r w:rsidR="00D52A7B" w:rsidRPr="00B123BF"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 xml:space="preserve">actualizado </w:t>
      </w:r>
      <w:r w:rsidR="00E723A9" w:rsidRPr="00B123BF"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>de modalidades</w:t>
      </w:r>
      <w:r w:rsidR="00A83851" w:rsidRPr="00B123BF"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 xml:space="preserve"> para prevenir o evitar incurrir en </w:t>
      </w:r>
      <w:r w:rsidR="00EE1CD2" w:rsidRPr="00B123BF"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 xml:space="preserve">la </w:t>
      </w:r>
      <w:r w:rsidR="00A83851" w:rsidRPr="00B123BF"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>obtención de ventajas tributarias indebidas</w:t>
      </w:r>
      <w:r w:rsidR="00B123BF" w:rsidRPr="00B123BF"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>.</w:t>
      </w:r>
      <w:r w:rsidR="008C7A3D" w:rsidRPr="00B123BF">
        <w:rPr>
          <w:rFonts w:ascii="Arial" w:eastAsia="Times New Roman" w:hAnsi="Arial" w:cs="Arial"/>
          <w:color w:val="222222"/>
          <w:lang w:eastAsia="es-PE"/>
        </w:rPr>
        <w:t xml:space="preserve"> </w:t>
      </w:r>
    </w:p>
    <w:p w14:paraId="3FDD4378" w14:textId="77777777" w:rsidR="008C7A3D" w:rsidRPr="00B123BF" w:rsidRDefault="008C7A3D" w:rsidP="00740AAC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7B90FF5B" w14:textId="595D265B" w:rsidR="00881C79" w:rsidRDefault="008C7A3D" w:rsidP="00AE056C">
      <w:pPr>
        <w:spacing w:after="0" w:line="240" w:lineRule="auto"/>
        <w:jc w:val="both"/>
      </w:pPr>
      <w:r w:rsidRPr="00B123BF">
        <w:rPr>
          <w:rFonts w:ascii="Arial" w:eastAsia="Times New Roman" w:hAnsi="Arial" w:cs="Arial"/>
          <w:color w:val="222222"/>
          <w:lang w:eastAsia="es-PE"/>
        </w:rPr>
        <w:t xml:space="preserve">La Superintendencia Nacional de Aduanas y de Administración Tributaria (SUNAT) actualizó su </w:t>
      </w:r>
      <w:r w:rsidRPr="000D79BF">
        <w:rPr>
          <w:rFonts w:ascii="Arial" w:eastAsia="Times New Roman" w:hAnsi="Arial" w:cs="Arial"/>
          <w:color w:val="222222"/>
          <w:lang w:eastAsia="es-PE"/>
        </w:rPr>
        <w:t>“Catálogo de Esquemas de Alto Riesgo Fiscal</w:t>
      </w:r>
      <w:r w:rsidR="00496D99" w:rsidRPr="000D79BF">
        <w:rPr>
          <w:rFonts w:ascii="Arial" w:eastAsia="Times New Roman" w:hAnsi="Arial" w:cs="Arial"/>
          <w:color w:val="222222"/>
          <w:lang w:eastAsia="es-PE"/>
        </w:rPr>
        <w:t>”</w:t>
      </w:r>
      <w:r w:rsidRPr="000D79BF">
        <w:rPr>
          <w:rFonts w:ascii="Arial" w:eastAsia="Times New Roman" w:hAnsi="Arial" w:cs="Arial"/>
          <w:color w:val="222222"/>
          <w:lang w:eastAsia="es-PE"/>
        </w:rPr>
        <w:t xml:space="preserve">, con </w:t>
      </w:r>
      <w:r w:rsidR="00AF5CB9" w:rsidRPr="000D79BF">
        <w:rPr>
          <w:rFonts w:ascii="Arial" w:eastAsia="Times New Roman" w:hAnsi="Arial" w:cs="Arial"/>
          <w:color w:val="222222"/>
          <w:lang w:eastAsia="es-PE"/>
        </w:rPr>
        <w:t>8</w:t>
      </w:r>
      <w:r w:rsidR="00E24D82" w:rsidRPr="000D79BF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Pr="000D79BF">
        <w:rPr>
          <w:rFonts w:ascii="Arial" w:eastAsia="Times New Roman" w:hAnsi="Arial" w:cs="Arial"/>
          <w:color w:val="222222"/>
          <w:lang w:eastAsia="es-PE"/>
        </w:rPr>
        <w:t>modalidades adicionales de obtención de ventajas tributarias indebidas</w:t>
      </w:r>
      <w:r w:rsidR="004C562F" w:rsidRPr="000D79BF">
        <w:rPr>
          <w:rFonts w:ascii="Arial" w:eastAsia="Times New Roman" w:hAnsi="Arial" w:cs="Arial"/>
          <w:color w:val="222222"/>
          <w:lang w:eastAsia="es-PE"/>
        </w:rPr>
        <w:t xml:space="preserve">. En </w:t>
      </w:r>
      <w:r w:rsidR="009916BE" w:rsidRPr="000D79BF">
        <w:rPr>
          <w:rFonts w:ascii="Arial" w:eastAsia="Times New Roman" w:hAnsi="Arial" w:cs="Arial"/>
          <w:color w:val="222222"/>
          <w:lang w:eastAsia="es-PE"/>
        </w:rPr>
        <w:t>7</w:t>
      </w:r>
      <w:r w:rsidR="004C562F" w:rsidRPr="000D79BF">
        <w:rPr>
          <w:rFonts w:ascii="Arial" w:eastAsia="Times New Roman" w:hAnsi="Arial" w:cs="Arial"/>
          <w:color w:val="222222"/>
          <w:lang w:eastAsia="es-PE"/>
        </w:rPr>
        <w:t xml:space="preserve"> de ell</w:t>
      </w:r>
      <w:r w:rsidR="00CC7DFC">
        <w:rPr>
          <w:rFonts w:ascii="Arial" w:eastAsia="Times New Roman" w:hAnsi="Arial" w:cs="Arial"/>
          <w:color w:val="222222"/>
          <w:lang w:eastAsia="es-PE"/>
        </w:rPr>
        <w:t>a</w:t>
      </w:r>
      <w:r w:rsidR="004C562F" w:rsidRPr="000D79BF">
        <w:rPr>
          <w:rFonts w:ascii="Arial" w:eastAsia="Times New Roman" w:hAnsi="Arial" w:cs="Arial"/>
          <w:color w:val="222222"/>
          <w:lang w:eastAsia="es-PE"/>
        </w:rPr>
        <w:t>s y</w:t>
      </w:r>
      <w:r w:rsidR="00FF20EA" w:rsidRPr="000D79BF">
        <w:rPr>
          <w:rFonts w:ascii="Arial" w:eastAsia="Times New Roman" w:hAnsi="Arial" w:cs="Arial"/>
          <w:color w:val="222222"/>
          <w:lang w:eastAsia="es-PE"/>
        </w:rPr>
        <w:t>,</w:t>
      </w:r>
      <w:r w:rsidRPr="000D79BF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="004C562F" w:rsidRPr="000D79BF">
        <w:rPr>
          <w:rFonts w:ascii="Arial" w:eastAsia="Times New Roman" w:hAnsi="Arial" w:cs="Arial"/>
          <w:color w:val="222222"/>
          <w:lang w:eastAsia="es-PE"/>
        </w:rPr>
        <w:t xml:space="preserve">bajo </w:t>
      </w:r>
      <w:r w:rsidR="00B202EF" w:rsidRPr="000D79BF">
        <w:rPr>
          <w:rFonts w:ascii="Arial" w:eastAsia="Times New Roman" w:hAnsi="Arial" w:cs="Arial"/>
          <w:color w:val="222222"/>
          <w:lang w:eastAsia="es-PE"/>
        </w:rPr>
        <w:t>ciertas condiciones</w:t>
      </w:r>
      <w:r w:rsidR="00D52A7B" w:rsidRPr="000D79BF">
        <w:rPr>
          <w:rFonts w:ascii="Arial" w:eastAsia="Times New Roman" w:hAnsi="Arial" w:cs="Arial"/>
          <w:color w:val="222222"/>
          <w:lang w:eastAsia="es-PE"/>
        </w:rPr>
        <w:t>,</w:t>
      </w:r>
      <w:r w:rsidR="00B202EF" w:rsidRPr="000D79BF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Pr="000D79BF">
        <w:rPr>
          <w:rFonts w:ascii="Arial" w:eastAsia="Times New Roman" w:hAnsi="Arial" w:cs="Arial"/>
          <w:color w:val="222222"/>
          <w:lang w:eastAsia="es-PE"/>
        </w:rPr>
        <w:t>podría aplicar</w:t>
      </w:r>
      <w:r w:rsidR="007326B9" w:rsidRPr="000D79BF">
        <w:rPr>
          <w:rFonts w:ascii="Arial" w:eastAsia="Times New Roman" w:hAnsi="Arial" w:cs="Arial"/>
          <w:color w:val="222222"/>
          <w:lang w:eastAsia="es-PE"/>
        </w:rPr>
        <w:t>se</w:t>
      </w:r>
      <w:r w:rsidRPr="000D79BF">
        <w:rPr>
          <w:rFonts w:ascii="Arial" w:eastAsia="Times New Roman" w:hAnsi="Arial" w:cs="Arial"/>
          <w:color w:val="222222"/>
          <w:lang w:eastAsia="es-PE"/>
        </w:rPr>
        <w:t xml:space="preserve"> la</w:t>
      </w:r>
      <w:r w:rsidR="00A45F91" w:rsidRPr="000D79BF">
        <w:rPr>
          <w:rFonts w:ascii="Arial" w:eastAsia="Times New Roman" w:hAnsi="Arial" w:cs="Arial"/>
          <w:color w:val="222222"/>
          <w:lang w:eastAsia="es-PE"/>
        </w:rPr>
        <w:t xml:space="preserve"> Norma XVI del Título</w:t>
      </w:r>
      <w:r w:rsidR="00A45F91" w:rsidRPr="000D79BF">
        <w:t xml:space="preserve"> </w:t>
      </w:r>
      <w:r w:rsidR="00A45F91" w:rsidRPr="000D79BF">
        <w:rPr>
          <w:rFonts w:ascii="Arial" w:eastAsia="Times New Roman" w:hAnsi="Arial" w:cs="Arial"/>
          <w:color w:val="222222"/>
          <w:lang w:eastAsia="es-PE"/>
        </w:rPr>
        <w:t>Preliminar del Código Tributario.</w:t>
      </w:r>
      <w:r w:rsidR="00D02135" w:rsidRPr="00B123BF">
        <w:t xml:space="preserve"> </w:t>
      </w:r>
    </w:p>
    <w:p w14:paraId="3B75BA0D" w14:textId="77777777" w:rsidR="00881C79" w:rsidRDefault="00881C79" w:rsidP="00AE056C">
      <w:pPr>
        <w:spacing w:after="0" w:line="240" w:lineRule="auto"/>
        <w:jc w:val="both"/>
      </w:pPr>
    </w:p>
    <w:p w14:paraId="26722F35" w14:textId="497AD1A7" w:rsidR="008C7A3D" w:rsidRPr="00B123BF" w:rsidRDefault="004C562F" w:rsidP="00AE056C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es-PE"/>
        </w:rPr>
      </w:pPr>
      <w:r w:rsidRPr="00B123BF">
        <w:rPr>
          <w:rFonts w:ascii="Arial" w:eastAsia="Times New Roman" w:hAnsi="Arial" w:cs="Arial"/>
          <w:color w:val="222222"/>
          <w:lang w:eastAsia="es-PE"/>
        </w:rPr>
        <w:t xml:space="preserve">Adicionalmente, </w:t>
      </w:r>
      <w:r w:rsidR="00D02135" w:rsidRPr="00B123BF">
        <w:rPr>
          <w:rFonts w:ascii="Arial" w:eastAsia="Times New Roman" w:hAnsi="Arial" w:cs="Arial"/>
          <w:color w:val="222222"/>
          <w:lang w:eastAsia="es-PE"/>
        </w:rPr>
        <w:t>en uno de los</w:t>
      </w:r>
      <w:r w:rsidRPr="00B123BF">
        <w:rPr>
          <w:rFonts w:ascii="Arial" w:eastAsia="Times New Roman" w:hAnsi="Arial" w:cs="Arial"/>
          <w:color w:val="222222"/>
          <w:lang w:eastAsia="es-PE"/>
        </w:rPr>
        <w:t xml:space="preserve"> casos</w:t>
      </w:r>
      <w:r w:rsidR="00881C79">
        <w:rPr>
          <w:rFonts w:ascii="Arial" w:eastAsia="Times New Roman" w:hAnsi="Arial" w:cs="Arial"/>
          <w:color w:val="222222"/>
          <w:lang w:eastAsia="es-PE"/>
        </w:rPr>
        <w:t xml:space="preserve"> se</w:t>
      </w:r>
      <w:r w:rsidR="00D02135" w:rsidRPr="00B123BF">
        <w:rPr>
          <w:rFonts w:ascii="Arial" w:eastAsia="Times New Roman" w:hAnsi="Arial" w:cs="Arial"/>
          <w:color w:val="222222"/>
          <w:lang w:eastAsia="es-PE"/>
        </w:rPr>
        <w:t xml:space="preserve"> estableció la existencia de elementos suficientes para aplicar la norma anti</w:t>
      </w:r>
      <w:r w:rsidR="00074CCE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="00D02135" w:rsidRPr="00B123BF">
        <w:rPr>
          <w:rFonts w:ascii="Arial" w:eastAsia="Times New Roman" w:hAnsi="Arial" w:cs="Arial"/>
          <w:color w:val="222222"/>
          <w:lang w:eastAsia="es-PE"/>
        </w:rPr>
        <w:t>elusiva general</w:t>
      </w:r>
      <w:r w:rsidR="00D52A7B" w:rsidRPr="00B123BF">
        <w:rPr>
          <w:rFonts w:ascii="Arial" w:eastAsia="Times New Roman" w:hAnsi="Arial" w:cs="Arial"/>
          <w:color w:val="222222"/>
          <w:lang w:eastAsia="es-PE"/>
        </w:rPr>
        <w:t>,</w:t>
      </w:r>
      <w:r w:rsidR="00D02135" w:rsidRPr="00B123BF">
        <w:rPr>
          <w:rFonts w:ascii="Arial" w:eastAsia="Times New Roman" w:hAnsi="Arial" w:cs="Arial"/>
          <w:color w:val="222222"/>
          <w:lang w:eastAsia="es-PE"/>
        </w:rPr>
        <w:t xml:space="preserve"> el </w:t>
      </w:r>
      <w:r w:rsidR="00234815" w:rsidRPr="00B123BF">
        <w:rPr>
          <w:rFonts w:ascii="Arial" w:eastAsia="Times New Roman" w:hAnsi="Arial" w:cs="Arial"/>
          <w:color w:val="222222"/>
          <w:lang w:eastAsia="es-PE"/>
        </w:rPr>
        <w:t xml:space="preserve">mismo </w:t>
      </w:r>
      <w:r w:rsidR="00D02135" w:rsidRPr="00B123BF">
        <w:rPr>
          <w:rFonts w:ascii="Arial" w:eastAsia="Times New Roman" w:hAnsi="Arial" w:cs="Arial"/>
          <w:color w:val="222222"/>
          <w:lang w:eastAsia="es-PE"/>
        </w:rPr>
        <w:t xml:space="preserve">que se publica </w:t>
      </w:r>
      <w:r w:rsidR="009916BE" w:rsidRPr="00881C79">
        <w:rPr>
          <w:rFonts w:ascii="Arial" w:eastAsia="Times New Roman" w:hAnsi="Arial" w:cs="Arial"/>
          <w:color w:val="222222"/>
          <w:lang w:eastAsia="es-PE"/>
        </w:rPr>
        <w:t>según</w:t>
      </w:r>
      <w:r w:rsidR="009916BE" w:rsidRPr="00B123BF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="00D02135" w:rsidRPr="00B123BF">
        <w:rPr>
          <w:rFonts w:ascii="Arial" w:eastAsia="Times New Roman" w:hAnsi="Arial" w:cs="Arial"/>
          <w:color w:val="222222"/>
          <w:lang w:eastAsia="es-PE"/>
        </w:rPr>
        <w:t xml:space="preserve">lo </w:t>
      </w:r>
      <w:r w:rsidR="00074CCE">
        <w:rPr>
          <w:rFonts w:ascii="Arial" w:eastAsia="Times New Roman" w:hAnsi="Arial" w:cs="Arial"/>
          <w:color w:val="222222"/>
          <w:lang w:eastAsia="es-PE"/>
        </w:rPr>
        <w:t>establecido</w:t>
      </w:r>
      <w:r w:rsidR="00D02135" w:rsidRPr="00B123BF">
        <w:rPr>
          <w:rFonts w:ascii="Arial" w:eastAsia="Times New Roman" w:hAnsi="Arial" w:cs="Arial"/>
          <w:color w:val="222222"/>
          <w:lang w:eastAsia="es-PE"/>
        </w:rPr>
        <w:t xml:space="preserve"> en la segunda disposición complementaria final del Decreto Supremo N.º 145-2019-EF.</w:t>
      </w:r>
    </w:p>
    <w:p w14:paraId="0589CB37" w14:textId="77777777" w:rsidR="00FE4EAD" w:rsidRPr="00B123BF" w:rsidRDefault="00FE4EAD" w:rsidP="00AE056C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1245B0FC" w14:textId="12E9F727" w:rsidR="007326B9" w:rsidRPr="00881C79" w:rsidRDefault="007326B9" w:rsidP="00AE056C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es-PE"/>
        </w:rPr>
      </w:pPr>
      <w:r w:rsidRPr="00B123BF">
        <w:rPr>
          <w:rFonts w:ascii="Arial" w:eastAsia="Times New Roman" w:hAnsi="Arial" w:cs="Arial"/>
          <w:color w:val="222222"/>
          <w:lang w:eastAsia="es-PE"/>
        </w:rPr>
        <w:t>El propósito</w:t>
      </w:r>
      <w:r w:rsidR="00FF20EA" w:rsidRPr="00B123BF">
        <w:rPr>
          <w:rFonts w:ascii="Arial" w:eastAsia="Times New Roman" w:hAnsi="Arial" w:cs="Arial"/>
          <w:color w:val="222222"/>
          <w:lang w:eastAsia="es-PE"/>
        </w:rPr>
        <w:t xml:space="preserve"> de </w:t>
      </w:r>
      <w:r w:rsidR="00496D99" w:rsidRPr="00B123BF">
        <w:rPr>
          <w:rFonts w:ascii="Arial" w:eastAsia="Times New Roman" w:hAnsi="Arial" w:cs="Arial"/>
          <w:color w:val="222222"/>
          <w:lang w:eastAsia="es-PE"/>
        </w:rPr>
        <w:t>l</w:t>
      </w:r>
      <w:r w:rsidR="00FF20EA" w:rsidRPr="00B123BF">
        <w:rPr>
          <w:rFonts w:ascii="Arial" w:eastAsia="Times New Roman" w:hAnsi="Arial" w:cs="Arial"/>
          <w:color w:val="222222"/>
          <w:lang w:eastAsia="es-PE"/>
        </w:rPr>
        <w:t>a publicación</w:t>
      </w:r>
      <w:r w:rsidRPr="00B123BF">
        <w:rPr>
          <w:rFonts w:ascii="Arial" w:eastAsia="Times New Roman" w:hAnsi="Arial" w:cs="Arial"/>
          <w:color w:val="222222"/>
          <w:lang w:eastAsia="es-PE"/>
        </w:rPr>
        <w:t xml:space="preserve"> es que </w:t>
      </w:r>
      <w:r w:rsidR="00740AAC" w:rsidRPr="00B123BF">
        <w:rPr>
          <w:rFonts w:ascii="Arial" w:eastAsia="Times New Roman" w:hAnsi="Arial" w:cs="Arial"/>
          <w:color w:val="222222"/>
          <w:lang w:eastAsia="es-PE"/>
        </w:rPr>
        <w:t>todos los contribuyentes</w:t>
      </w:r>
      <w:r w:rsidR="009916BE" w:rsidRPr="00B123BF">
        <w:rPr>
          <w:rFonts w:ascii="Arial" w:eastAsia="Times New Roman" w:hAnsi="Arial" w:cs="Arial"/>
          <w:color w:val="222222"/>
          <w:lang w:eastAsia="es-PE"/>
        </w:rPr>
        <w:t>,</w:t>
      </w:r>
      <w:r w:rsidR="00740AAC" w:rsidRPr="00B123BF">
        <w:rPr>
          <w:rFonts w:ascii="Arial" w:eastAsia="Times New Roman" w:hAnsi="Arial" w:cs="Arial"/>
          <w:color w:val="222222"/>
          <w:lang w:eastAsia="es-PE"/>
        </w:rPr>
        <w:t xml:space="preserve"> asesores legales y tributarios</w:t>
      </w:r>
      <w:r w:rsidR="00A530F4">
        <w:rPr>
          <w:rFonts w:ascii="Arial" w:eastAsia="Times New Roman" w:hAnsi="Arial" w:cs="Arial"/>
          <w:color w:val="222222"/>
          <w:lang w:eastAsia="es-PE"/>
        </w:rPr>
        <w:t>,</w:t>
      </w:r>
      <w:r w:rsidR="00740AAC" w:rsidRPr="00B123BF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="00DC5D75" w:rsidRPr="00B123BF">
        <w:rPr>
          <w:rFonts w:ascii="Arial" w:eastAsia="Times New Roman" w:hAnsi="Arial" w:cs="Arial"/>
          <w:color w:val="222222"/>
          <w:lang w:eastAsia="es-PE"/>
        </w:rPr>
        <w:t xml:space="preserve">así </w:t>
      </w:r>
      <w:r w:rsidR="00DC5D75" w:rsidRPr="00881C79">
        <w:rPr>
          <w:rFonts w:ascii="Arial" w:eastAsia="Times New Roman" w:hAnsi="Arial" w:cs="Arial"/>
          <w:color w:val="222222"/>
          <w:lang w:eastAsia="es-PE"/>
        </w:rPr>
        <w:t>como</w:t>
      </w:r>
      <w:r w:rsidR="00D52A7B" w:rsidRPr="00881C79">
        <w:rPr>
          <w:rFonts w:ascii="Arial" w:eastAsia="Times New Roman" w:hAnsi="Arial" w:cs="Arial"/>
          <w:color w:val="222222"/>
          <w:lang w:eastAsia="es-PE"/>
        </w:rPr>
        <w:t xml:space="preserve"> la academia </w:t>
      </w:r>
      <w:r w:rsidRPr="00881C79">
        <w:rPr>
          <w:rFonts w:ascii="Arial" w:eastAsia="Times New Roman" w:hAnsi="Arial" w:cs="Arial"/>
          <w:color w:val="222222"/>
          <w:lang w:eastAsia="es-PE"/>
        </w:rPr>
        <w:t>conozcan es</w:t>
      </w:r>
      <w:r w:rsidR="00A45F91" w:rsidRPr="00881C79">
        <w:rPr>
          <w:rFonts w:ascii="Arial" w:eastAsia="Times New Roman" w:hAnsi="Arial" w:cs="Arial"/>
          <w:color w:val="222222"/>
          <w:lang w:eastAsia="es-PE"/>
        </w:rPr>
        <w:t>t</w:t>
      </w:r>
      <w:r w:rsidRPr="00881C79">
        <w:rPr>
          <w:rFonts w:ascii="Arial" w:eastAsia="Times New Roman" w:hAnsi="Arial" w:cs="Arial"/>
          <w:color w:val="222222"/>
          <w:lang w:eastAsia="es-PE"/>
        </w:rPr>
        <w:t xml:space="preserve">os esquemas para evitar incurrir en </w:t>
      </w:r>
      <w:r w:rsidR="00133646" w:rsidRPr="00881C79">
        <w:rPr>
          <w:rFonts w:ascii="Arial" w:eastAsia="Times New Roman" w:hAnsi="Arial" w:cs="Arial"/>
          <w:color w:val="222222"/>
          <w:lang w:eastAsia="es-PE"/>
        </w:rPr>
        <w:t xml:space="preserve">tales </w:t>
      </w:r>
      <w:r w:rsidRPr="00881C79">
        <w:rPr>
          <w:rFonts w:ascii="Arial" w:eastAsia="Times New Roman" w:hAnsi="Arial" w:cs="Arial"/>
          <w:color w:val="222222"/>
          <w:lang w:eastAsia="es-PE"/>
        </w:rPr>
        <w:t xml:space="preserve">prácticas, las cuales </w:t>
      </w:r>
      <w:r w:rsidR="00FF20EA" w:rsidRPr="00881C79">
        <w:rPr>
          <w:rFonts w:ascii="Arial" w:eastAsia="Times New Roman" w:hAnsi="Arial" w:cs="Arial"/>
          <w:color w:val="222222"/>
          <w:lang w:eastAsia="es-PE"/>
        </w:rPr>
        <w:t>son</w:t>
      </w:r>
      <w:r w:rsidRPr="00881C79">
        <w:rPr>
          <w:rFonts w:ascii="Arial" w:eastAsia="Times New Roman" w:hAnsi="Arial" w:cs="Arial"/>
          <w:color w:val="222222"/>
          <w:lang w:eastAsia="es-PE"/>
        </w:rPr>
        <w:t xml:space="preserve"> objeto de evaluación</w:t>
      </w:r>
      <w:r w:rsidR="00FF20EA" w:rsidRPr="00881C79">
        <w:rPr>
          <w:rFonts w:ascii="Arial" w:eastAsia="Times New Roman" w:hAnsi="Arial" w:cs="Arial"/>
          <w:color w:val="222222"/>
          <w:lang w:eastAsia="es-PE"/>
        </w:rPr>
        <w:t xml:space="preserve"> y fiscalización</w:t>
      </w:r>
      <w:r w:rsidRPr="00881C79">
        <w:rPr>
          <w:rFonts w:ascii="Arial" w:eastAsia="Times New Roman" w:hAnsi="Arial" w:cs="Arial"/>
          <w:color w:val="222222"/>
          <w:lang w:eastAsia="es-PE"/>
        </w:rPr>
        <w:t xml:space="preserve"> prioritaria por parte de la </w:t>
      </w:r>
      <w:r w:rsidR="009916BE" w:rsidRPr="00881C79">
        <w:rPr>
          <w:rFonts w:ascii="Arial" w:eastAsia="Times New Roman" w:hAnsi="Arial" w:cs="Arial"/>
          <w:color w:val="222222"/>
          <w:lang w:eastAsia="es-PE"/>
        </w:rPr>
        <w:t>SUNAT</w:t>
      </w:r>
      <w:r w:rsidRPr="00881C79">
        <w:rPr>
          <w:rFonts w:ascii="Arial" w:eastAsia="Times New Roman" w:hAnsi="Arial" w:cs="Arial"/>
          <w:color w:val="222222"/>
          <w:lang w:eastAsia="es-PE"/>
        </w:rPr>
        <w:t>, por generar perjuicio a los recursos que percibe el Estado.</w:t>
      </w:r>
    </w:p>
    <w:p w14:paraId="16A36946" w14:textId="77777777" w:rsidR="007326B9" w:rsidRPr="00881C79" w:rsidRDefault="007326B9" w:rsidP="00AE056C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160A5EFA" w14:textId="42A3E1D9" w:rsidR="00DF7171" w:rsidRPr="00881C79" w:rsidRDefault="00FF20EA" w:rsidP="00AE056C">
      <w:pPr>
        <w:spacing w:after="0" w:line="240" w:lineRule="auto"/>
        <w:ind w:right="-1"/>
        <w:jc w:val="both"/>
        <w:rPr>
          <w:rFonts w:ascii="Arial" w:eastAsia="Times New Roman" w:hAnsi="Arial" w:cs="Arial"/>
          <w:color w:val="222222"/>
          <w:lang w:eastAsia="es-PE"/>
        </w:rPr>
      </w:pPr>
      <w:r w:rsidRPr="00881C79">
        <w:rPr>
          <w:rFonts w:ascii="Arial" w:eastAsia="Times New Roman" w:hAnsi="Arial" w:cs="Arial"/>
          <w:color w:val="222222"/>
          <w:lang w:eastAsia="es-PE"/>
        </w:rPr>
        <w:t xml:space="preserve">Con esta </w:t>
      </w:r>
      <w:r w:rsidR="00DF7171" w:rsidRPr="00881C79">
        <w:rPr>
          <w:rFonts w:ascii="Arial" w:eastAsia="Times New Roman" w:hAnsi="Arial" w:cs="Arial"/>
          <w:color w:val="222222"/>
          <w:lang w:eastAsia="es-PE"/>
        </w:rPr>
        <w:t>actualización</w:t>
      </w:r>
      <w:r w:rsidRPr="00881C79">
        <w:rPr>
          <w:rFonts w:ascii="Arial" w:eastAsia="Times New Roman" w:hAnsi="Arial" w:cs="Arial"/>
          <w:color w:val="222222"/>
          <w:lang w:eastAsia="es-PE"/>
        </w:rPr>
        <w:t xml:space="preserve">, </w:t>
      </w:r>
      <w:r w:rsidR="00DF7171" w:rsidRPr="00881C79">
        <w:rPr>
          <w:rFonts w:ascii="Arial" w:eastAsia="Times New Roman" w:hAnsi="Arial" w:cs="Arial"/>
          <w:color w:val="222222"/>
          <w:lang w:eastAsia="es-PE"/>
        </w:rPr>
        <w:t xml:space="preserve">publicada </w:t>
      </w:r>
      <w:r w:rsidRPr="00881C79">
        <w:rPr>
          <w:rFonts w:ascii="Arial" w:eastAsia="Times New Roman" w:hAnsi="Arial" w:cs="Arial"/>
          <w:color w:val="222222"/>
          <w:lang w:eastAsia="es-PE"/>
        </w:rPr>
        <w:t>en el</w:t>
      </w:r>
      <w:r w:rsidR="007326B9" w:rsidRPr="00881C79">
        <w:rPr>
          <w:rFonts w:ascii="Arial" w:eastAsia="Times New Roman" w:hAnsi="Arial" w:cs="Arial"/>
          <w:color w:val="222222"/>
          <w:lang w:eastAsia="es-PE"/>
        </w:rPr>
        <w:t xml:space="preserve"> portal institucional de la entidad,</w:t>
      </w:r>
      <w:r w:rsidRPr="00881C79">
        <w:rPr>
          <w:rFonts w:ascii="Arial" w:eastAsia="Times New Roman" w:hAnsi="Arial" w:cs="Arial"/>
          <w:color w:val="222222"/>
          <w:lang w:eastAsia="es-PE"/>
        </w:rPr>
        <w:t xml:space="preserve"> suman 1</w:t>
      </w:r>
      <w:r w:rsidR="00AF5CB9" w:rsidRPr="00881C79">
        <w:rPr>
          <w:rFonts w:ascii="Arial" w:eastAsia="Times New Roman" w:hAnsi="Arial" w:cs="Arial"/>
          <w:color w:val="222222"/>
          <w:lang w:eastAsia="es-PE"/>
        </w:rPr>
        <w:t>3</w:t>
      </w:r>
      <w:r w:rsidRPr="00881C79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="0024322D" w:rsidRPr="00881C79">
        <w:rPr>
          <w:rFonts w:ascii="Arial" w:eastAsia="Times New Roman" w:hAnsi="Arial" w:cs="Arial"/>
          <w:color w:val="222222"/>
          <w:lang w:eastAsia="es-PE"/>
        </w:rPr>
        <w:t>los esquemas</w:t>
      </w:r>
      <w:r w:rsidRPr="00881C79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="0024322D" w:rsidRPr="00881C79">
        <w:rPr>
          <w:rFonts w:ascii="Arial" w:eastAsia="Times New Roman" w:hAnsi="Arial" w:cs="Arial"/>
          <w:color w:val="222222"/>
          <w:lang w:eastAsia="es-PE"/>
        </w:rPr>
        <w:t xml:space="preserve">fiscales </w:t>
      </w:r>
      <w:r w:rsidRPr="00881C79">
        <w:rPr>
          <w:rFonts w:ascii="Arial" w:eastAsia="Times New Roman" w:hAnsi="Arial" w:cs="Arial"/>
          <w:color w:val="222222"/>
          <w:lang w:eastAsia="es-PE"/>
        </w:rPr>
        <w:t>descrit</w:t>
      </w:r>
      <w:r w:rsidR="0024322D" w:rsidRPr="00881C79">
        <w:rPr>
          <w:rFonts w:ascii="Arial" w:eastAsia="Times New Roman" w:hAnsi="Arial" w:cs="Arial"/>
          <w:color w:val="222222"/>
          <w:lang w:eastAsia="es-PE"/>
        </w:rPr>
        <w:t>o</w:t>
      </w:r>
      <w:r w:rsidRPr="00881C79">
        <w:rPr>
          <w:rFonts w:ascii="Arial" w:eastAsia="Times New Roman" w:hAnsi="Arial" w:cs="Arial"/>
          <w:color w:val="222222"/>
          <w:lang w:eastAsia="es-PE"/>
        </w:rPr>
        <w:t>s por la SUNAT</w:t>
      </w:r>
      <w:r w:rsidR="00E023FA" w:rsidRPr="00881C79">
        <w:rPr>
          <w:rFonts w:ascii="Arial" w:eastAsia="Times New Roman" w:hAnsi="Arial" w:cs="Arial"/>
          <w:color w:val="222222"/>
          <w:lang w:eastAsia="es-PE"/>
        </w:rPr>
        <w:t xml:space="preserve"> y</w:t>
      </w:r>
      <w:r w:rsidR="007F2107" w:rsidRPr="00881C79">
        <w:rPr>
          <w:rFonts w:ascii="Arial" w:eastAsia="Times New Roman" w:hAnsi="Arial" w:cs="Arial"/>
          <w:color w:val="222222"/>
          <w:lang w:eastAsia="es-PE"/>
        </w:rPr>
        <w:t xml:space="preserve"> con l</w:t>
      </w:r>
      <w:r w:rsidR="00FE4EAD" w:rsidRPr="00881C79">
        <w:rPr>
          <w:rFonts w:ascii="Arial" w:eastAsia="Times New Roman" w:hAnsi="Arial" w:cs="Arial"/>
          <w:color w:val="222222"/>
          <w:lang w:eastAsia="es-PE"/>
        </w:rPr>
        <w:t>o</w:t>
      </w:r>
      <w:r w:rsidR="007F2107" w:rsidRPr="00881C79">
        <w:rPr>
          <w:rFonts w:ascii="Arial" w:eastAsia="Times New Roman" w:hAnsi="Arial" w:cs="Arial"/>
          <w:color w:val="222222"/>
          <w:lang w:eastAsia="es-PE"/>
        </w:rPr>
        <w:t xml:space="preserve"> cual se espera motivar el cumplimiento voluntario </w:t>
      </w:r>
      <w:r w:rsidR="0059668B" w:rsidRPr="00881C79">
        <w:rPr>
          <w:rFonts w:ascii="Arial" w:eastAsia="Times New Roman" w:hAnsi="Arial" w:cs="Arial"/>
          <w:color w:val="222222"/>
          <w:lang w:eastAsia="es-PE"/>
        </w:rPr>
        <w:t xml:space="preserve">y oportuno </w:t>
      </w:r>
      <w:r w:rsidR="007F2107" w:rsidRPr="00881C79">
        <w:rPr>
          <w:rFonts w:ascii="Arial" w:eastAsia="Times New Roman" w:hAnsi="Arial" w:cs="Arial"/>
          <w:color w:val="222222"/>
          <w:lang w:eastAsia="es-PE"/>
        </w:rPr>
        <w:t>de las obligaciones tributarias</w:t>
      </w:r>
      <w:r w:rsidR="00E023FA" w:rsidRPr="00881C79">
        <w:rPr>
          <w:rFonts w:ascii="Arial" w:eastAsia="Times New Roman" w:hAnsi="Arial" w:cs="Arial"/>
          <w:color w:val="222222"/>
          <w:lang w:eastAsia="es-PE"/>
        </w:rPr>
        <w:t xml:space="preserve"> de los contribuyentes</w:t>
      </w:r>
      <w:r w:rsidR="007F2107" w:rsidRPr="00881C79">
        <w:rPr>
          <w:rFonts w:ascii="Arial" w:eastAsia="Times New Roman" w:hAnsi="Arial" w:cs="Arial"/>
          <w:color w:val="222222"/>
          <w:lang w:eastAsia="es-PE"/>
        </w:rPr>
        <w:t>.</w:t>
      </w:r>
    </w:p>
    <w:p w14:paraId="26EA474E" w14:textId="77777777" w:rsidR="00A45F91" w:rsidRPr="00881C79" w:rsidRDefault="00A45F91" w:rsidP="00740AAC">
      <w:pPr>
        <w:spacing w:after="0"/>
        <w:jc w:val="both"/>
        <w:rPr>
          <w:rFonts w:ascii="Arial" w:eastAsia="Times New Roman" w:hAnsi="Arial" w:cs="Arial"/>
          <w:b/>
          <w:color w:val="222222"/>
          <w:lang w:eastAsia="es-PE"/>
        </w:rPr>
      </w:pPr>
    </w:p>
    <w:p w14:paraId="04BE54CE" w14:textId="77777777" w:rsidR="00740AAC" w:rsidRPr="00881C79" w:rsidRDefault="00FF20EA" w:rsidP="00740AAC">
      <w:pPr>
        <w:spacing w:after="0"/>
        <w:jc w:val="both"/>
        <w:rPr>
          <w:rFonts w:ascii="Arial" w:eastAsia="Times New Roman" w:hAnsi="Arial" w:cs="Arial"/>
          <w:b/>
          <w:color w:val="222222"/>
          <w:lang w:eastAsia="es-PE"/>
        </w:rPr>
      </w:pPr>
      <w:r w:rsidRPr="00881C79">
        <w:rPr>
          <w:rFonts w:ascii="Arial" w:eastAsia="Times New Roman" w:hAnsi="Arial" w:cs="Arial"/>
          <w:b/>
          <w:color w:val="222222"/>
          <w:lang w:eastAsia="es-PE"/>
        </w:rPr>
        <w:t xml:space="preserve">Esquemas riesgosos </w:t>
      </w:r>
    </w:p>
    <w:p w14:paraId="14C811AB" w14:textId="77777777" w:rsidR="00FF20EA" w:rsidRPr="00881C79" w:rsidRDefault="00FF20EA" w:rsidP="00740AAC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71C2D8AE" w14:textId="21310CAB" w:rsidR="005E365B" w:rsidRDefault="0024322D" w:rsidP="00AE056C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es-PE"/>
        </w:rPr>
      </w:pPr>
      <w:r w:rsidRPr="000D79BF">
        <w:rPr>
          <w:rFonts w:ascii="Arial" w:eastAsia="Times New Roman" w:hAnsi="Arial" w:cs="Arial"/>
          <w:color w:val="222222"/>
          <w:lang w:eastAsia="es-PE"/>
        </w:rPr>
        <w:t>Entre las modalidades de</w:t>
      </w:r>
      <w:r w:rsidR="00A45F91" w:rsidRPr="000D79BF">
        <w:rPr>
          <w:rFonts w:ascii="Arial" w:eastAsia="Times New Roman" w:hAnsi="Arial" w:cs="Arial"/>
          <w:color w:val="222222"/>
          <w:lang w:eastAsia="es-PE"/>
        </w:rPr>
        <w:t xml:space="preserve"> potencial incumplimiento tributario</w:t>
      </w:r>
      <w:r w:rsidRPr="000D79BF">
        <w:rPr>
          <w:rFonts w:ascii="Arial" w:eastAsia="Times New Roman" w:hAnsi="Arial" w:cs="Arial"/>
          <w:color w:val="222222"/>
          <w:lang w:eastAsia="es-PE"/>
        </w:rPr>
        <w:t xml:space="preserve"> figura </w:t>
      </w:r>
      <w:r w:rsidR="00E21221" w:rsidRPr="000D79BF">
        <w:rPr>
          <w:rFonts w:ascii="Arial" w:eastAsia="Times New Roman" w:hAnsi="Arial" w:cs="Arial"/>
          <w:color w:val="222222"/>
          <w:lang w:eastAsia="es-PE"/>
        </w:rPr>
        <w:t>la intermediación en la venta de minerales a través de una sociedad sin sustancia económica</w:t>
      </w:r>
      <w:r w:rsidR="000E28AC" w:rsidRPr="000D79BF">
        <w:rPr>
          <w:rFonts w:ascii="Arial" w:eastAsia="Times New Roman" w:hAnsi="Arial" w:cs="Arial"/>
          <w:color w:val="222222"/>
          <w:lang w:eastAsia="es-PE"/>
        </w:rPr>
        <w:t>.</w:t>
      </w:r>
      <w:r w:rsidR="000E28AC" w:rsidRPr="00881C79">
        <w:rPr>
          <w:rFonts w:ascii="Arial" w:eastAsia="Times New Roman" w:hAnsi="Arial" w:cs="Arial"/>
          <w:color w:val="222222"/>
          <w:lang w:eastAsia="es-PE"/>
        </w:rPr>
        <w:t xml:space="preserve"> </w:t>
      </w:r>
    </w:p>
    <w:p w14:paraId="19352C04" w14:textId="77777777" w:rsidR="005E365B" w:rsidRDefault="005E365B" w:rsidP="00AE056C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5A5A94C0" w14:textId="7451D374" w:rsidR="009B139E" w:rsidRPr="00881C79" w:rsidRDefault="000E28AC" w:rsidP="00AE056C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881C79">
        <w:rPr>
          <w:rFonts w:ascii="Arial" w:eastAsia="Times New Roman" w:hAnsi="Arial" w:cs="Arial"/>
          <w:color w:val="222222"/>
          <w:lang w:eastAsia="es-PE"/>
        </w:rPr>
        <w:t>En este esquema</w:t>
      </w:r>
      <w:r w:rsidR="00B40612" w:rsidRPr="00881C79">
        <w:rPr>
          <w:rFonts w:ascii="Arial" w:eastAsia="Times New Roman" w:hAnsi="Arial" w:cs="Arial"/>
          <w:color w:val="222222"/>
          <w:lang w:eastAsia="es-PE"/>
        </w:rPr>
        <w:t>,</w:t>
      </w:r>
      <w:r w:rsidR="00C46BE5" w:rsidRPr="00881C79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="00C46BE5" w:rsidRPr="00881C79">
        <w:rPr>
          <w:rFonts w:ascii="Arial" w:hAnsi="Arial" w:cs="Arial"/>
          <w:lang w:val="es-ES"/>
        </w:rPr>
        <w:t xml:space="preserve">una compañía domiciliada en el Perú vende concentrado de mineral </w:t>
      </w:r>
      <w:r w:rsidR="00066D4F" w:rsidRPr="00881C79">
        <w:rPr>
          <w:rFonts w:ascii="Arial" w:hAnsi="Arial" w:cs="Arial"/>
          <w:lang w:val="es-ES"/>
        </w:rPr>
        <w:t xml:space="preserve">pactando un </w:t>
      </w:r>
      <w:r w:rsidR="00C46BE5" w:rsidRPr="00881C79">
        <w:rPr>
          <w:rFonts w:ascii="Arial" w:hAnsi="Arial" w:cs="Arial"/>
          <w:lang w:val="es-ES"/>
        </w:rPr>
        <w:t xml:space="preserve">precio subvaluado </w:t>
      </w:r>
      <w:r w:rsidR="00066D4F" w:rsidRPr="00881C79">
        <w:rPr>
          <w:rFonts w:ascii="Arial" w:hAnsi="Arial" w:cs="Arial"/>
          <w:lang w:val="es-ES"/>
        </w:rPr>
        <w:t>a una</w:t>
      </w:r>
      <w:r w:rsidR="00C46BE5" w:rsidRPr="00881C79">
        <w:rPr>
          <w:rFonts w:ascii="Arial" w:hAnsi="Arial" w:cs="Arial"/>
          <w:lang w:val="es-ES"/>
        </w:rPr>
        <w:t xml:space="preserve"> empresa </w:t>
      </w:r>
      <w:r w:rsidR="00192E30">
        <w:rPr>
          <w:rFonts w:ascii="Arial" w:hAnsi="Arial" w:cs="Arial"/>
          <w:lang w:val="es-ES"/>
        </w:rPr>
        <w:t>que</w:t>
      </w:r>
      <w:r w:rsidR="00066D4F" w:rsidRPr="00881C79">
        <w:rPr>
          <w:rFonts w:ascii="Arial" w:hAnsi="Arial" w:cs="Arial"/>
          <w:lang w:val="es-ES"/>
        </w:rPr>
        <w:t xml:space="preserve"> no tiene</w:t>
      </w:r>
      <w:r w:rsidR="00C46BE5" w:rsidRPr="00881C79">
        <w:rPr>
          <w:rFonts w:ascii="Arial" w:hAnsi="Arial" w:cs="Arial"/>
          <w:lang w:val="es-ES"/>
        </w:rPr>
        <w:t xml:space="preserve"> sustancia </w:t>
      </w:r>
      <w:r w:rsidR="004452A9" w:rsidRPr="00881C79">
        <w:rPr>
          <w:rFonts w:ascii="Arial" w:hAnsi="Arial" w:cs="Arial"/>
          <w:lang w:val="es-ES"/>
        </w:rPr>
        <w:t>económica</w:t>
      </w:r>
      <w:r w:rsidR="00066D4F" w:rsidRPr="00881C79">
        <w:rPr>
          <w:rFonts w:ascii="Arial" w:hAnsi="Arial" w:cs="Arial"/>
          <w:lang w:val="es-ES"/>
        </w:rPr>
        <w:t xml:space="preserve"> </w:t>
      </w:r>
      <w:r w:rsidR="00543A40" w:rsidRPr="00881C79">
        <w:rPr>
          <w:rFonts w:ascii="Arial" w:hAnsi="Arial" w:cs="Arial"/>
          <w:lang w:val="es-ES"/>
        </w:rPr>
        <w:t>y</w:t>
      </w:r>
      <w:r w:rsidR="00066D4F" w:rsidRPr="00881C79">
        <w:rPr>
          <w:rFonts w:ascii="Arial" w:hAnsi="Arial" w:cs="Arial"/>
          <w:lang w:val="es-ES"/>
        </w:rPr>
        <w:t xml:space="preserve"> está</w:t>
      </w:r>
      <w:r w:rsidR="004452A9" w:rsidRPr="00881C79">
        <w:rPr>
          <w:rFonts w:ascii="Arial" w:hAnsi="Arial" w:cs="Arial"/>
          <w:lang w:val="es-ES"/>
        </w:rPr>
        <w:t xml:space="preserve"> </w:t>
      </w:r>
      <w:r w:rsidR="00C46BE5" w:rsidRPr="00881C79">
        <w:rPr>
          <w:rFonts w:ascii="Arial" w:hAnsi="Arial" w:cs="Arial"/>
          <w:lang w:val="es-ES"/>
        </w:rPr>
        <w:t>ubicada en un paraíso fiscal</w:t>
      </w:r>
      <w:r w:rsidR="005E365B">
        <w:rPr>
          <w:rFonts w:ascii="Arial" w:hAnsi="Arial" w:cs="Arial"/>
          <w:lang w:val="es-ES"/>
        </w:rPr>
        <w:t>;</w:t>
      </w:r>
      <w:r w:rsidR="009B139E" w:rsidRPr="00881C79">
        <w:rPr>
          <w:rFonts w:ascii="Arial" w:hAnsi="Arial" w:cs="Arial"/>
          <w:lang w:val="es-ES"/>
        </w:rPr>
        <w:t xml:space="preserve"> p</w:t>
      </w:r>
      <w:r w:rsidR="00C46BE5" w:rsidRPr="00881C79">
        <w:rPr>
          <w:rFonts w:ascii="Arial" w:hAnsi="Arial" w:cs="Arial"/>
          <w:lang w:val="es-ES"/>
        </w:rPr>
        <w:t xml:space="preserve">osteriormente la empresa </w:t>
      </w:r>
      <w:r w:rsidR="00192E30">
        <w:rPr>
          <w:rFonts w:ascii="Arial" w:hAnsi="Arial" w:cs="Arial"/>
          <w:lang w:val="es-ES"/>
        </w:rPr>
        <w:t>adquiriente</w:t>
      </w:r>
      <w:r w:rsidR="00192E30" w:rsidRPr="00881C79">
        <w:rPr>
          <w:rFonts w:ascii="Arial" w:hAnsi="Arial" w:cs="Arial"/>
          <w:lang w:val="es-ES"/>
        </w:rPr>
        <w:t xml:space="preserve"> </w:t>
      </w:r>
      <w:r w:rsidR="00C46BE5" w:rsidRPr="00881C79">
        <w:rPr>
          <w:rFonts w:ascii="Arial" w:hAnsi="Arial" w:cs="Arial"/>
          <w:lang w:val="es-ES"/>
        </w:rPr>
        <w:t xml:space="preserve">vende el mismo mineral a un cliente </w:t>
      </w:r>
      <w:r w:rsidR="004452A9" w:rsidRPr="00881C79">
        <w:rPr>
          <w:rFonts w:ascii="Arial" w:hAnsi="Arial" w:cs="Arial"/>
          <w:lang w:val="es-ES"/>
        </w:rPr>
        <w:t>domiciliado en un tercer país</w:t>
      </w:r>
      <w:r w:rsidR="00435ED8" w:rsidRPr="00881C79">
        <w:rPr>
          <w:rFonts w:ascii="Arial" w:hAnsi="Arial" w:cs="Arial"/>
          <w:lang w:val="es-ES"/>
        </w:rPr>
        <w:t xml:space="preserve"> y a</w:t>
      </w:r>
      <w:r w:rsidR="001B19F8" w:rsidRPr="00881C79">
        <w:rPr>
          <w:rFonts w:ascii="Arial" w:hAnsi="Arial" w:cs="Arial"/>
          <w:lang w:val="es-ES"/>
        </w:rPr>
        <w:t xml:space="preserve"> un</w:t>
      </w:r>
      <w:r w:rsidR="00435ED8" w:rsidRPr="00881C79">
        <w:rPr>
          <w:rFonts w:ascii="Arial" w:hAnsi="Arial" w:cs="Arial"/>
          <w:lang w:val="es-ES"/>
        </w:rPr>
        <w:t xml:space="preserve"> </w:t>
      </w:r>
      <w:r w:rsidR="00AE056C" w:rsidRPr="00881C79">
        <w:rPr>
          <w:rFonts w:ascii="Arial" w:hAnsi="Arial" w:cs="Arial"/>
          <w:lang w:val="es-ES"/>
        </w:rPr>
        <w:t>precio</w:t>
      </w:r>
      <w:r w:rsidR="00435ED8" w:rsidRPr="00881C79">
        <w:rPr>
          <w:rFonts w:ascii="Arial" w:hAnsi="Arial" w:cs="Arial"/>
          <w:lang w:val="es-ES"/>
        </w:rPr>
        <w:t xml:space="preserve"> significativamente mayor</w:t>
      </w:r>
      <w:r w:rsidR="009B139E" w:rsidRPr="00881C79">
        <w:rPr>
          <w:rFonts w:ascii="Arial" w:hAnsi="Arial" w:cs="Arial"/>
          <w:lang w:val="es-ES"/>
        </w:rPr>
        <w:t xml:space="preserve">. </w:t>
      </w:r>
      <w:r w:rsidR="009B139E" w:rsidRPr="00881C79">
        <w:rPr>
          <w:rFonts w:ascii="Arial" w:hAnsi="Arial" w:cs="Arial"/>
          <w:color w:val="000000"/>
          <w:lang w:val="es-ES"/>
        </w:rPr>
        <w:t>El destino</w:t>
      </w:r>
      <w:r w:rsidR="00543A40" w:rsidRPr="00881C79">
        <w:rPr>
          <w:rFonts w:ascii="Arial" w:hAnsi="Arial" w:cs="Arial"/>
          <w:color w:val="000000"/>
          <w:lang w:val="es-ES"/>
        </w:rPr>
        <w:t xml:space="preserve"> final</w:t>
      </w:r>
      <w:r w:rsidR="009B139E" w:rsidRPr="00881C79">
        <w:rPr>
          <w:rFonts w:ascii="Arial" w:hAnsi="Arial" w:cs="Arial"/>
          <w:color w:val="000000"/>
          <w:lang w:val="es-ES"/>
        </w:rPr>
        <w:t xml:space="preserve"> de los bienes es distinto al facturado, el mineral sale del Perú y va directamente al cliente del </w:t>
      </w:r>
      <w:r w:rsidR="00543A40" w:rsidRPr="00881C79">
        <w:rPr>
          <w:rFonts w:ascii="Arial" w:hAnsi="Arial" w:cs="Arial"/>
          <w:color w:val="000000"/>
          <w:lang w:val="es-ES"/>
        </w:rPr>
        <w:t>tercer país</w:t>
      </w:r>
      <w:r w:rsidR="009B139E" w:rsidRPr="00881C79">
        <w:rPr>
          <w:rFonts w:ascii="Arial" w:hAnsi="Arial" w:cs="Arial"/>
          <w:color w:val="000000"/>
          <w:lang w:val="es-ES"/>
        </w:rPr>
        <w:t>.</w:t>
      </w:r>
    </w:p>
    <w:p w14:paraId="60097C77" w14:textId="77777777" w:rsidR="00AE056C" w:rsidRPr="00881C79" w:rsidRDefault="00AE056C" w:rsidP="00AE056C">
      <w:pPr>
        <w:spacing w:after="0" w:line="240" w:lineRule="auto"/>
        <w:jc w:val="both"/>
        <w:rPr>
          <w:rFonts w:ascii="Arial" w:hAnsi="Arial" w:cs="Arial"/>
          <w:color w:val="FF0000"/>
          <w:lang w:val="es-ES"/>
        </w:rPr>
      </w:pPr>
    </w:p>
    <w:p w14:paraId="66F8BE97" w14:textId="77777777" w:rsidR="00C46BE5" w:rsidRPr="00881C79" w:rsidRDefault="00C46BE5" w:rsidP="00AE056C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es-PE"/>
        </w:rPr>
      </w:pPr>
      <w:r w:rsidRPr="00881C79">
        <w:rPr>
          <w:rFonts w:ascii="Arial" w:eastAsia="Times New Roman" w:hAnsi="Arial" w:cs="Arial"/>
          <w:color w:val="222222"/>
          <w:lang w:eastAsia="es-PE"/>
        </w:rPr>
        <w:t xml:space="preserve">De esta manera, se traslada </w:t>
      </w:r>
      <w:r w:rsidR="00543A40" w:rsidRPr="00881C79">
        <w:rPr>
          <w:rFonts w:ascii="Arial" w:eastAsia="Times New Roman" w:hAnsi="Arial" w:cs="Arial"/>
          <w:color w:val="222222"/>
          <w:lang w:eastAsia="es-PE"/>
        </w:rPr>
        <w:t>parte d</w:t>
      </w:r>
      <w:r w:rsidRPr="00881C79">
        <w:rPr>
          <w:rFonts w:ascii="Arial" w:eastAsia="Times New Roman" w:hAnsi="Arial" w:cs="Arial"/>
          <w:color w:val="222222"/>
          <w:lang w:eastAsia="es-PE"/>
        </w:rPr>
        <w:t>el beneficio generado por la venta del concentrado de mineral al paraíso fiscal, lo que implica que</w:t>
      </w:r>
      <w:r w:rsidR="00543A40" w:rsidRPr="00881C79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="006054A8" w:rsidRPr="00881C79">
        <w:rPr>
          <w:rFonts w:ascii="Arial" w:eastAsia="Times New Roman" w:hAnsi="Arial" w:cs="Arial"/>
          <w:color w:val="222222"/>
          <w:lang w:eastAsia="es-PE"/>
        </w:rPr>
        <w:t xml:space="preserve">la </w:t>
      </w:r>
      <w:r w:rsidR="006054A8" w:rsidRPr="00881C79">
        <w:rPr>
          <w:rFonts w:ascii="Arial" w:hAnsi="Arial" w:cs="Arial"/>
          <w:lang w:val="es-ES"/>
        </w:rPr>
        <w:t xml:space="preserve">compañía domiciliada en el Perú </w:t>
      </w:r>
      <w:r w:rsidRPr="00881C79">
        <w:rPr>
          <w:rFonts w:ascii="Arial" w:eastAsia="Times New Roman" w:hAnsi="Arial" w:cs="Arial"/>
          <w:color w:val="222222"/>
          <w:lang w:eastAsia="es-PE"/>
        </w:rPr>
        <w:t>pag</w:t>
      </w:r>
      <w:r w:rsidR="00543A40" w:rsidRPr="00881C79">
        <w:rPr>
          <w:rFonts w:ascii="Arial" w:eastAsia="Times New Roman" w:hAnsi="Arial" w:cs="Arial"/>
          <w:color w:val="222222"/>
          <w:lang w:eastAsia="es-PE"/>
        </w:rPr>
        <w:t>ue</w:t>
      </w:r>
      <w:r w:rsidRPr="00881C79">
        <w:rPr>
          <w:rFonts w:ascii="Arial" w:eastAsia="Times New Roman" w:hAnsi="Arial" w:cs="Arial"/>
          <w:color w:val="222222"/>
          <w:lang w:eastAsia="es-PE"/>
        </w:rPr>
        <w:t xml:space="preserve"> un menor Impuesto a la Renta en el </w:t>
      </w:r>
      <w:r w:rsidR="00543A40" w:rsidRPr="00881C79">
        <w:rPr>
          <w:rFonts w:ascii="Arial" w:eastAsia="Times New Roman" w:hAnsi="Arial" w:cs="Arial"/>
          <w:color w:val="222222"/>
          <w:lang w:eastAsia="es-PE"/>
        </w:rPr>
        <w:t>país.</w:t>
      </w:r>
    </w:p>
    <w:p w14:paraId="6FB48D21" w14:textId="77777777" w:rsidR="001B2B3A" w:rsidRPr="00881C79" w:rsidRDefault="001B2B3A" w:rsidP="00AE056C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7C9728DD" w14:textId="2C22B887" w:rsidR="00AD7ACB" w:rsidRPr="00881C79" w:rsidRDefault="00AD7ACB" w:rsidP="00AE056C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es-PE"/>
        </w:rPr>
      </w:pPr>
      <w:r w:rsidRPr="000D79BF">
        <w:rPr>
          <w:rFonts w:ascii="Arial" w:eastAsia="Times New Roman" w:hAnsi="Arial" w:cs="Arial"/>
          <w:color w:val="222222"/>
          <w:lang w:eastAsia="es-PE"/>
        </w:rPr>
        <w:t>Según las declaraciones informativas de precios de transferencia</w:t>
      </w:r>
      <w:r w:rsidR="001B19F8" w:rsidRPr="000D79BF">
        <w:rPr>
          <w:rFonts w:ascii="Arial" w:eastAsia="Times New Roman" w:hAnsi="Arial" w:cs="Arial"/>
          <w:color w:val="222222"/>
          <w:lang w:eastAsia="es-PE"/>
        </w:rPr>
        <w:t xml:space="preserve"> -reportes país por país que son materia de intercambio automático con otras </w:t>
      </w:r>
      <w:r w:rsidR="00DC5D75" w:rsidRPr="000D79BF">
        <w:rPr>
          <w:rFonts w:ascii="Arial" w:eastAsia="Times New Roman" w:hAnsi="Arial" w:cs="Arial"/>
          <w:color w:val="222222"/>
          <w:lang w:eastAsia="es-PE"/>
        </w:rPr>
        <w:t>a</w:t>
      </w:r>
      <w:r w:rsidR="001B19F8" w:rsidRPr="000D79BF">
        <w:rPr>
          <w:rFonts w:ascii="Arial" w:eastAsia="Times New Roman" w:hAnsi="Arial" w:cs="Arial"/>
          <w:color w:val="222222"/>
          <w:lang w:eastAsia="es-PE"/>
        </w:rPr>
        <w:t xml:space="preserve">dministraciones </w:t>
      </w:r>
      <w:r w:rsidR="00DC5D75" w:rsidRPr="000D79BF">
        <w:rPr>
          <w:rFonts w:ascii="Arial" w:eastAsia="Times New Roman" w:hAnsi="Arial" w:cs="Arial"/>
          <w:color w:val="222222"/>
          <w:lang w:eastAsia="es-PE"/>
        </w:rPr>
        <w:t>t</w:t>
      </w:r>
      <w:r w:rsidR="001B19F8" w:rsidRPr="000D79BF">
        <w:rPr>
          <w:rFonts w:ascii="Arial" w:eastAsia="Times New Roman" w:hAnsi="Arial" w:cs="Arial"/>
          <w:color w:val="222222"/>
          <w:lang w:eastAsia="es-PE"/>
        </w:rPr>
        <w:t>ributarias del mundo-</w:t>
      </w:r>
      <w:r w:rsidRPr="000D79BF">
        <w:rPr>
          <w:rFonts w:ascii="Arial" w:eastAsia="Times New Roman" w:hAnsi="Arial" w:cs="Arial"/>
          <w:color w:val="222222"/>
          <w:lang w:eastAsia="es-PE"/>
        </w:rPr>
        <w:t xml:space="preserve">, las transacciones que involucran venta de minerales con paraísos fiscales ascienden a un promedio anual de US$ </w:t>
      </w:r>
      <w:r w:rsidR="009E35D3" w:rsidRPr="000D79BF">
        <w:rPr>
          <w:rFonts w:ascii="Arial" w:eastAsia="Times New Roman" w:hAnsi="Arial" w:cs="Arial"/>
          <w:color w:val="222222"/>
          <w:lang w:eastAsia="es-PE"/>
        </w:rPr>
        <w:t>2</w:t>
      </w:r>
      <w:r w:rsidR="00133646" w:rsidRPr="000D79BF">
        <w:rPr>
          <w:rFonts w:ascii="Arial" w:eastAsia="Times New Roman" w:hAnsi="Arial" w:cs="Arial"/>
          <w:color w:val="222222"/>
          <w:lang w:eastAsia="es-PE"/>
        </w:rPr>
        <w:t xml:space="preserve"> mil</w:t>
      </w:r>
      <w:r w:rsidR="006028FE" w:rsidRPr="000D79BF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Pr="000D79BF">
        <w:rPr>
          <w:rFonts w:ascii="Arial" w:eastAsia="Times New Roman" w:hAnsi="Arial" w:cs="Arial"/>
          <w:color w:val="222222"/>
          <w:lang w:eastAsia="es-PE"/>
        </w:rPr>
        <w:t xml:space="preserve">millones, mientras que de acuerdo con la información aduanera solo se registran exportaciones a dichos países o territorios por  US$ </w:t>
      </w:r>
      <w:r w:rsidR="009E35D3" w:rsidRPr="000D79BF">
        <w:rPr>
          <w:rFonts w:ascii="Arial" w:eastAsia="Times New Roman" w:hAnsi="Arial" w:cs="Arial"/>
          <w:color w:val="222222"/>
          <w:lang w:eastAsia="es-PE"/>
        </w:rPr>
        <w:t>8</w:t>
      </w:r>
      <w:r w:rsidRPr="000D79BF">
        <w:rPr>
          <w:rFonts w:ascii="Arial" w:eastAsia="Times New Roman" w:hAnsi="Arial" w:cs="Arial"/>
          <w:color w:val="222222"/>
          <w:lang w:eastAsia="es-PE"/>
        </w:rPr>
        <w:t xml:space="preserve"> millones anuales</w:t>
      </w:r>
      <w:r w:rsidR="00A530F4" w:rsidRPr="000D79BF">
        <w:rPr>
          <w:rFonts w:ascii="Arial" w:eastAsia="Times New Roman" w:hAnsi="Arial" w:cs="Arial"/>
          <w:color w:val="222222"/>
          <w:lang w:eastAsia="es-PE"/>
        </w:rPr>
        <w:t xml:space="preserve">, en promedio, </w:t>
      </w:r>
      <w:r w:rsidRPr="000D79BF">
        <w:rPr>
          <w:rFonts w:ascii="Arial" w:eastAsia="Times New Roman" w:hAnsi="Arial" w:cs="Arial"/>
          <w:color w:val="222222"/>
          <w:lang w:eastAsia="es-PE"/>
        </w:rPr>
        <w:t xml:space="preserve">diferencias que </w:t>
      </w:r>
      <w:r w:rsidR="00A530F4" w:rsidRPr="000D79BF">
        <w:rPr>
          <w:rFonts w:ascii="Arial" w:eastAsia="Times New Roman" w:hAnsi="Arial" w:cs="Arial"/>
          <w:color w:val="222222"/>
          <w:lang w:eastAsia="es-PE"/>
        </w:rPr>
        <w:t>están</w:t>
      </w:r>
      <w:r w:rsidRPr="000D79BF">
        <w:rPr>
          <w:rFonts w:ascii="Arial" w:eastAsia="Times New Roman" w:hAnsi="Arial" w:cs="Arial"/>
          <w:color w:val="222222"/>
          <w:lang w:eastAsia="es-PE"/>
        </w:rPr>
        <w:t xml:space="preserve"> siendo analizadas </w:t>
      </w:r>
      <w:r w:rsidR="00133646" w:rsidRPr="000D79BF">
        <w:rPr>
          <w:rFonts w:ascii="Arial" w:eastAsia="Times New Roman" w:hAnsi="Arial" w:cs="Arial"/>
          <w:color w:val="222222"/>
          <w:lang w:eastAsia="es-PE"/>
        </w:rPr>
        <w:t>y fiscalizadas</w:t>
      </w:r>
      <w:r w:rsidRPr="000D79BF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="00470380" w:rsidRPr="000D79BF">
        <w:rPr>
          <w:rFonts w:ascii="Arial" w:eastAsia="Times New Roman" w:hAnsi="Arial" w:cs="Arial"/>
          <w:color w:val="222222"/>
          <w:lang w:eastAsia="es-PE"/>
        </w:rPr>
        <w:t xml:space="preserve">por la SUNAT </w:t>
      </w:r>
      <w:r w:rsidRPr="000D79BF">
        <w:rPr>
          <w:rFonts w:ascii="Arial" w:eastAsia="Times New Roman" w:hAnsi="Arial" w:cs="Arial"/>
          <w:color w:val="222222"/>
          <w:lang w:eastAsia="es-PE"/>
        </w:rPr>
        <w:t>para determinar el correcto cumplimiento de las obligaciones tributarias.</w:t>
      </w:r>
    </w:p>
    <w:p w14:paraId="4E07AC7B" w14:textId="77777777" w:rsidR="002A21C7" w:rsidRPr="00881C79" w:rsidRDefault="002A21C7" w:rsidP="00AE056C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5E078524" w14:textId="3A1C5625" w:rsidR="00E105A3" w:rsidRPr="00881C79" w:rsidRDefault="005B4619" w:rsidP="00AE056C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es-PE"/>
        </w:rPr>
      </w:pPr>
      <w:r w:rsidRPr="000D79BF">
        <w:rPr>
          <w:rFonts w:ascii="Arial" w:eastAsia="Times New Roman" w:hAnsi="Arial" w:cs="Arial"/>
          <w:color w:val="222222"/>
          <w:lang w:eastAsia="es-PE"/>
        </w:rPr>
        <w:lastRenderedPageBreak/>
        <w:t xml:space="preserve">Otra </w:t>
      </w:r>
      <w:r w:rsidR="0024322D" w:rsidRPr="000D79BF">
        <w:rPr>
          <w:rFonts w:ascii="Arial" w:eastAsia="Times New Roman" w:hAnsi="Arial" w:cs="Arial"/>
          <w:color w:val="222222"/>
          <w:lang w:eastAsia="es-PE"/>
        </w:rPr>
        <w:t xml:space="preserve">modalidad </w:t>
      </w:r>
      <w:r w:rsidRPr="000D79BF">
        <w:rPr>
          <w:rFonts w:ascii="Arial" w:eastAsia="Times New Roman" w:hAnsi="Arial" w:cs="Arial"/>
          <w:color w:val="222222"/>
          <w:lang w:eastAsia="es-PE"/>
        </w:rPr>
        <w:t xml:space="preserve">para </w:t>
      </w:r>
      <w:r w:rsidR="000152C8" w:rsidRPr="000D79BF">
        <w:rPr>
          <w:rFonts w:ascii="Arial" w:eastAsia="Times New Roman" w:hAnsi="Arial" w:cs="Arial"/>
          <w:color w:val="222222"/>
          <w:lang w:eastAsia="es-PE"/>
        </w:rPr>
        <w:t>reducir</w:t>
      </w:r>
      <w:r w:rsidR="00BF434D" w:rsidRPr="000D79BF">
        <w:rPr>
          <w:rFonts w:ascii="Arial" w:eastAsia="Times New Roman" w:hAnsi="Arial" w:cs="Arial"/>
          <w:color w:val="222222"/>
          <w:lang w:eastAsia="es-PE"/>
        </w:rPr>
        <w:t xml:space="preserve"> indebidamente</w:t>
      </w:r>
      <w:r w:rsidR="000152C8" w:rsidRPr="000D79BF">
        <w:rPr>
          <w:rFonts w:ascii="Arial" w:eastAsia="Times New Roman" w:hAnsi="Arial" w:cs="Arial"/>
          <w:color w:val="222222"/>
          <w:lang w:eastAsia="es-PE"/>
        </w:rPr>
        <w:t xml:space="preserve"> los</w:t>
      </w:r>
      <w:r w:rsidRPr="000D79BF">
        <w:rPr>
          <w:rFonts w:ascii="Arial" w:eastAsia="Times New Roman" w:hAnsi="Arial" w:cs="Arial"/>
          <w:color w:val="222222"/>
          <w:lang w:eastAsia="es-PE"/>
        </w:rPr>
        <w:t xml:space="preserve"> impuestos </w:t>
      </w:r>
      <w:r w:rsidR="000152C8" w:rsidRPr="000D79BF">
        <w:rPr>
          <w:rFonts w:ascii="Arial" w:eastAsia="Times New Roman" w:hAnsi="Arial" w:cs="Arial"/>
          <w:color w:val="222222"/>
          <w:lang w:eastAsia="es-PE"/>
        </w:rPr>
        <w:t>es la de</w:t>
      </w:r>
      <w:r w:rsidRPr="000D79BF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="000152C8" w:rsidRPr="000D79BF">
        <w:rPr>
          <w:rFonts w:ascii="Arial" w:eastAsia="Times New Roman" w:hAnsi="Arial" w:cs="Arial"/>
          <w:color w:val="222222"/>
          <w:lang w:eastAsia="es-PE"/>
        </w:rPr>
        <w:t>v</w:t>
      </w:r>
      <w:r w:rsidR="00E105A3" w:rsidRPr="000D79BF">
        <w:rPr>
          <w:rFonts w:ascii="Arial" w:eastAsia="Times New Roman" w:hAnsi="Arial" w:cs="Arial"/>
          <w:color w:val="222222"/>
          <w:lang w:eastAsia="es-PE"/>
        </w:rPr>
        <w:t>enta y posterior recompra de un vehículo de lujo bajo la apariencia de anulación de dicha venta.</w:t>
      </w:r>
      <w:r w:rsidR="00E105A3" w:rsidRPr="00881C79">
        <w:rPr>
          <w:rFonts w:ascii="Arial" w:eastAsia="Times New Roman" w:hAnsi="Arial" w:cs="Arial"/>
          <w:color w:val="222222"/>
          <w:lang w:eastAsia="es-PE"/>
        </w:rPr>
        <w:t xml:space="preserve"> </w:t>
      </w:r>
    </w:p>
    <w:p w14:paraId="32202A9D" w14:textId="77777777" w:rsidR="00133646" w:rsidRPr="00881C79" w:rsidRDefault="00133646" w:rsidP="00AE056C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618B9E27" w14:textId="1B9D892C" w:rsidR="00E105A3" w:rsidRPr="00881C79" w:rsidRDefault="00E105A3" w:rsidP="00AE056C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es-PE"/>
        </w:rPr>
      </w:pPr>
      <w:r w:rsidRPr="00881C79">
        <w:rPr>
          <w:rFonts w:ascii="Arial" w:eastAsia="Times New Roman" w:hAnsi="Arial" w:cs="Arial"/>
          <w:color w:val="222222"/>
          <w:lang w:eastAsia="es-PE"/>
        </w:rPr>
        <w:t xml:space="preserve">Esta consiste en que una compañía comercializadora importa y vende un vehículo de lujo, el mismo que es devuelto </w:t>
      </w:r>
      <w:r w:rsidR="005B4619" w:rsidRPr="00881C79">
        <w:rPr>
          <w:rFonts w:ascii="Arial" w:eastAsia="Times New Roman" w:hAnsi="Arial" w:cs="Arial"/>
          <w:color w:val="222222"/>
          <w:lang w:eastAsia="es-PE"/>
        </w:rPr>
        <w:t xml:space="preserve">por el comprador </w:t>
      </w:r>
      <w:r w:rsidRPr="00881C79">
        <w:rPr>
          <w:rFonts w:ascii="Arial" w:eastAsia="Times New Roman" w:hAnsi="Arial" w:cs="Arial"/>
          <w:color w:val="222222"/>
          <w:lang w:eastAsia="es-PE"/>
        </w:rPr>
        <w:t>después de</w:t>
      </w:r>
      <w:r w:rsidR="00E023FA" w:rsidRPr="00881C79">
        <w:rPr>
          <w:rFonts w:ascii="Arial" w:eastAsia="Times New Roman" w:hAnsi="Arial" w:cs="Arial"/>
          <w:color w:val="222222"/>
          <w:lang w:eastAsia="es-PE"/>
        </w:rPr>
        <w:t xml:space="preserve"> haberlo usado por</w:t>
      </w:r>
      <w:r w:rsidRPr="00881C79">
        <w:rPr>
          <w:rFonts w:ascii="Arial" w:eastAsia="Times New Roman" w:hAnsi="Arial" w:cs="Arial"/>
          <w:color w:val="222222"/>
          <w:lang w:eastAsia="es-PE"/>
        </w:rPr>
        <w:t xml:space="preserve"> 11 meses, por lo cual la compañía emite una nota de crédito anulando la transacción</w:t>
      </w:r>
      <w:r w:rsidR="00E023FA" w:rsidRPr="00881C79">
        <w:rPr>
          <w:rFonts w:ascii="Arial" w:eastAsia="Times New Roman" w:hAnsi="Arial" w:cs="Arial"/>
          <w:color w:val="222222"/>
          <w:lang w:eastAsia="es-PE"/>
        </w:rPr>
        <w:t>;</w:t>
      </w:r>
      <w:r w:rsidRPr="00881C79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="00BF434D" w:rsidRPr="00881C79">
        <w:rPr>
          <w:rFonts w:ascii="Arial" w:eastAsia="Times New Roman" w:hAnsi="Arial" w:cs="Arial"/>
          <w:color w:val="222222"/>
          <w:lang w:eastAsia="es-PE"/>
        </w:rPr>
        <w:t>sin embargo</w:t>
      </w:r>
      <w:r w:rsidR="00E023FA" w:rsidRPr="00881C79">
        <w:rPr>
          <w:rFonts w:ascii="Arial" w:eastAsia="Times New Roman" w:hAnsi="Arial" w:cs="Arial"/>
          <w:color w:val="222222"/>
          <w:lang w:eastAsia="es-PE"/>
        </w:rPr>
        <w:t>,</w:t>
      </w:r>
      <w:r w:rsidRPr="00881C79">
        <w:rPr>
          <w:rFonts w:ascii="Arial" w:eastAsia="Times New Roman" w:hAnsi="Arial" w:cs="Arial"/>
          <w:color w:val="222222"/>
          <w:lang w:eastAsia="es-PE"/>
        </w:rPr>
        <w:t xml:space="preserve"> le vende </w:t>
      </w:r>
      <w:r w:rsidR="00133646" w:rsidRPr="00881C79">
        <w:rPr>
          <w:rFonts w:ascii="Arial" w:eastAsia="Times New Roman" w:hAnsi="Arial" w:cs="Arial"/>
          <w:color w:val="222222"/>
          <w:lang w:eastAsia="es-PE"/>
        </w:rPr>
        <w:t xml:space="preserve">a ese mismo comprador </w:t>
      </w:r>
      <w:r w:rsidRPr="00881C79">
        <w:rPr>
          <w:rFonts w:ascii="Arial" w:eastAsia="Times New Roman" w:hAnsi="Arial" w:cs="Arial"/>
          <w:color w:val="222222"/>
          <w:lang w:eastAsia="es-PE"/>
        </w:rPr>
        <w:t>otro auto</w:t>
      </w:r>
      <w:r w:rsidR="00E023FA" w:rsidRPr="00881C79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="00BF434D" w:rsidRPr="00881C79">
        <w:rPr>
          <w:rFonts w:ascii="Arial" w:eastAsia="Times New Roman" w:hAnsi="Arial" w:cs="Arial"/>
          <w:color w:val="222222"/>
          <w:lang w:eastAsia="es-PE"/>
        </w:rPr>
        <w:t xml:space="preserve">aplicando como </w:t>
      </w:r>
      <w:r w:rsidRPr="00881C79">
        <w:rPr>
          <w:rFonts w:ascii="Arial" w:eastAsia="Times New Roman" w:hAnsi="Arial" w:cs="Arial"/>
          <w:color w:val="222222"/>
          <w:lang w:eastAsia="es-PE"/>
        </w:rPr>
        <w:t>desc</w:t>
      </w:r>
      <w:r w:rsidR="00BF434D" w:rsidRPr="00881C79">
        <w:rPr>
          <w:rFonts w:ascii="Arial" w:eastAsia="Times New Roman" w:hAnsi="Arial" w:cs="Arial"/>
          <w:color w:val="222222"/>
          <w:lang w:eastAsia="es-PE"/>
        </w:rPr>
        <w:t>uento una parte d</w:t>
      </w:r>
      <w:r w:rsidRPr="00881C79">
        <w:rPr>
          <w:rFonts w:ascii="Arial" w:eastAsia="Times New Roman" w:hAnsi="Arial" w:cs="Arial"/>
          <w:color w:val="222222"/>
          <w:lang w:eastAsia="es-PE"/>
        </w:rPr>
        <w:t xml:space="preserve">el valor </w:t>
      </w:r>
      <w:r w:rsidR="00BF434D" w:rsidRPr="00881C79">
        <w:rPr>
          <w:rFonts w:ascii="Arial" w:eastAsia="Times New Roman" w:hAnsi="Arial" w:cs="Arial"/>
          <w:color w:val="222222"/>
          <w:lang w:eastAsia="es-PE"/>
        </w:rPr>
        <w:t xml:space="preserve">original </w:t>
      </w:r>
      <w:r w:rsidRPr="00881C79">
        <w:rPr>
          <w:rFonts w:ascii="Arial" w:eastAsia="Times New Roman" w:hAnsi="Arial" w:cs="Arial"/>
          <w:color w:val="222222"/>
          <w:lang w:eastAsia="es-PE"/>
        </w:rPr>
        <w:t>del vehículo devuelto.</w:t>
      </w:r>
    </w:p>
    <w:p w14:paraId="443F2379" w14:textId="77777777" w:rsidR="00E105A3" w:rsidRPr="00881C79" w:rsidRDefault="00E105A3" w:rsidP="00AE056C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4540A29D" w14:textId="69C3F401" w:rsidR="00E105A3" w:rsidRPr="00881C79" w:rsidRDefault="00E105A3" w:rsidP="00AE056C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es-PE"/>
        </w:rPr>
      </w:pPr>
      <w:r w:rsidRPr="00881C79">
        <w:rPr>
          <w:rFonts w:ascii="Arial" w:eastAsia="Times New Roman" w:hAnsi="Arial" w:cs="Arial"/>
          <w:color w:val="222222"/>
          <w:lang w:eastAsia="es-PE"/>
        </w:rPr>
        <w:t xml:space="preserve">Con la emisión de la nota de crédito, la compañía disminuye el importe de sus ingresos para efectos del Impuesto a la Renta </w:t>
      </w:r>
      <w:r w:rsidR="00133646" w:rsidRPr="00881C79">
        <w:rPr>
          <w:rFonts w:ascii="Arial" w:eastAsia="Times New Roman" w:hAnsi="Arial" w:cs="Arial"/>
          <w:color w:val="222222"/>
          <w:lang w:eastAsia="es-PE"/>
        </w:rPr>
        <w:t xml:space="preserve">e </w:t>
      </w:r>
      <w:r w:rsidRPr="00881C79">
        <w:rPr>
          <w:rFonts w:ascii="Arial" w:eastAsia="Times New Roman" w:hAnsi="Arial" w:cs="Arial"/>
          <w:color w:val="222222"/>
          <w:lang w:eastAsia="es-PE"/>
        </w:rPr>
        <w:t xml:space="preserve">IGV, </w:t>
      </w:r>
      <w:r w:rsidR="003C2E42" w:rsidRPr="00881C79">
        <w:rPr>
          <w:rFonts w:ascii="Arial" w:eastAsia="Times New Roman" w:hAnsi="Arial" w:cs="Arial"/>
          <w:color w:val="222222"/>
          <w:lang w:eastAsia="es-PE"/>
        </w:rPr>
        <w:t xml:space="preserve">generando un perjuicio </w:t>
      </w:r>
      <w:r w:rsidRPr="00881C79">
        <w:rPr>
          <w:rFonts w:ascii="Arial" w:eastAsia="Times New Roman" w:hAnsi="Arial" w:cs="Arial"/>
          <w:color w:val="222222"/>
          <w:lang w:eastAsia="es-PE"/>
        </w:rPr>
        <w:t>al fisco. Paralelamente, la compañía vende el vehículo devuelto a otro cliente en calidad de usado a mitad de precio, generando más ventajas a su favor</w:t>
      </w:r>
      <w:r w:rsidR="00133646" w:rsidRPr="00881C79">
        <w:rPr>
          <w:rFonts w:ascii="Arial" w:eastAsia="Times New Roman" w:hAnsi="Arial" w:cs="Arial"/>
          <w:color w:val="222222"/>
          <w:lang w:eastAsia="es-PE"/>
        </w:rPr>
        <w:t>,</w:t>
      </w:r>
      <w:r w:rsidR="006B166D" w:rsidRPr="00881C79">
        <w:rPr>
          <w:rFonts w:ascii="Arial" w:eastAsia="Times New Roman" w:hAnsi="Arial" w:cs="Arial"/>
          <w:color w:val="222222"/>
          <w:lang w:eastAsia="es-PE"/>
        </w:rPr>
        <w:t xml:space="preserve"> pues</w:t>
      </w:r>
      <w:r w:rsidR="00133646" w:rsidRPr="00881C79">
        <w:rPr>
          <w:rFonts w:ascii="Arial" w:eastAsia="Times New Roman" w:hAnsi="Arial" w:cs="Arial"/>
          <w:color w:val="222222"/>
          <w:lang w:eastAsia="es-PE"/>
        </w:rPr>
        <w:t>,</w:t>
      </w:r>
      <w:r w:rsidR="006B166D" w:rsidRPr="00881C79">
        <w:rPr>
          <w:rFonts w:ascii="Arial" w:eastAsia="Times New Roman" w:hAnsi="Arial" w:cs="Arial"/>
          <w:color w:val="222222"/>
          <w:lang w:eastAsia="es-PE"/>
        </w:rPr>
        <w:t xml:space="preserve"> paga menos Impuesto a la R</w:t>
      </w:r>
      <w:r w:rsidR="00FD5275" w:rsidRPr="00881C79">
        <w:rPr>
          <w:rFonts w:ascii="Arial" w:eastAsia="Times New Roman" w:hAnsi="Arial" w:cs="Arial"/>
          <w:color w:val="222222"/>
          <w:lang w:eastAsia="es-PE"/>
        </w:rPr>
        <w:t>enta</w:t>
      </w:r>
      <w:r w:rsidR="00E023FA" w:rsidRPr="00881C79">
        <w:rPr>
          <w:rFonts w:ascii="Arial" w:eastAsia="Times New Roman" w:hAnsi="Arial" w:cs="Arial"/>
          <w:color w:val="222222"/>
          <w:lang w:eastAsia="es-PE"/>
        </w:rPr>
        <w:t>, al utilizar indebidamente el costo original y no el costo de recompra</w:t>
      </w:r>
      <w:r w:rsidRPr="00881C79">
        <w:rPr>
          <w:rFonts w:ascii="Arial" w:eastAsia="Times New Roman" w:hAnsi="Arial" w:cs="Arial"/>
          <w:color w:val="222222"/>
          <w:lang w:eastAsia="es-PE"/>
        </w:rPr>
        <w:t>.</w:t>
      </w:r>
      <w:r w:rsidR="00325966" w:rsidRPr="00881C79">
        <w:rPr>
          <w:rFonts w:ascii="Arial" w:eastAsia="Times New Roman" w:hAnsi="Arial" w:cs="Arial"/>
          <w:color w:val="222222"/>
          <w:lang w:eastAsia="es-PE"/>
        </w:rPr>
        <w:t xml:space="preserve"> </w:t>
      </w:r>
    </w:p>
    <w:p w14:paraId="5BAB29B7" w14:textId="77777777" w:rsidR="001A0239" w:rsidRPr="00881C79" w:rsidRDefault="001A0239" w:rsidP="00AE056C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506C32A9" w14:textId="77777777" w:rsidR="001A0239" w:rsidRPr="00881C79" w:rsidRDefault="001A0239" w:rsidP="00AE056C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es-PE"/>
        </w:rPr>
      </w:pPr>
      <w:r w:rsidRPr="000D79BF">
        <w:rPr>
          <w:rFonts w:ascii="Arial" w:eastAsia="Times New Roman" w:hAnsi="Arial" w:cs="Arial"/>
          <w:color w:val="222222"/>
          <w:lang w:eastAsia="es-PE"/>
        </w:rPr>
        <w:t>Cada año en el Perú se importan</w:t>
      </w:r>
      <w:r w:rsidR="008656A1" w:rsidRPr="000D79BF">
        <w:rPr>
          <w:rFonts w:ascii="Arial" w:eastAsia="Times New Roman" w:hAnsi="Arial" w:cs="Arial"/>
          <w:color w:val="222222"/>
          <w:lang w:eastAsia="es-PE"/>
        </w:rPr>
        <w:t xml:space="preserve"> en promedio 1</w:t>
      </w:r>
      <w:r w:rsidR="004D743D" w:rsidRPr="000D79BF">
        <w:rPr>
          <w:rFonts w:ascii="Arial" w:eastAsia="Times New Roman" w:hAnsi="Arial" w:cs="Arial"/>
          <w:color w:val="222222"/>
          <w:lang w:eastAsia="es-PE"/>
        </w:rPr>
        <w:t>40</w:t>
      </w:r>
      <w:r w:rsidR="008656A1" w:rsidRPr="000D79BF">
        <w:rPr>
          <w:rFonts w:ascii="Arial" w:eastAsia="Times New Roman" w:hAnsi="Arial" w:cs="Arial"/>
          <w:color w:val="222222"/>
          <w:lang w:eastAsia="es-PE"/>
        </w:rPr>
        <w:t>,</w:t>
      </w:r>
      <w:r w:rsidR="004D743D" w:rsidRPr="000D79BF">
        <w:rPr>
          <w:rFonts w:ascii="Arial" w:eastAsia="Times New Roman" w:hAnsi="Arial" w:cs="Arial"/>
          <w:color w:val="222222"/>
          <w:lang w:eastAsia="es-PE"/>
        </w:rPr>
        <w:t>63</w:t>
      </w:r>
      <w:r w:rsidR="008656A1" w:rsidRPr="000D79BF">
        <w:rPr>
          <w:rFonts w:ascii="Arial" w:eastAsia="Times New Roman" w:hAnsi="Arial" w:cs="Arial"/>
          <w:color w:val="222222"/>
          <w:lang w:eastAsia="es-PE"/>
        </w:rPr>
        <w:t>0</w:t>
      </w:r>
      <w:r w:rsidRPr="000D79BF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="000E367C" w:rsidRPr="000D79BF">
        <w:rPr>
          <w:rFonts w:ascii="Arial" w:eastAsia="Times New Roman" w:hAnsi="Arial" w:cs="Arial"/>
          <w:color w:val="222222"/>
          <w:lang w:eastAsia="es-PE"/>
        </w:rPr>
        <w:t>vehículos de uso particular</w:t>
      </w:r>
      <w:r w:rsidRPr="000D79BF">
        <w:rPr>
          <w:rFonts w:ascii="Arial" w:eastAsia="Times New Roman" w:hAnsi="Arial" w:cs="Arial"/>
          <w:color w:val="222222"/>
          <w:lang w:eastAsia="es-PE"/>
        </w:rPr>
        <w:t xml:space="preserve"> por un valor de </w:t>
      </w:r>
      <w:r w:rsidR="008656A1" w:rsidRPr="000D79BF">
        <w:rPr>
          <w:rFonts w:ascii="Arial" w:eastAsia="Times New Roman" w:hAnsi="Arial" w:cs="Arial"/>
          <w:color w:val="222222"/>
          <w:lang w:eastAsia="es-PE"/>
        </w:rPr>
        <w:t>US$</w:t>
      </w:r>
      <w:r w:rsidRPr="000D79BF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="008656A1" w:rsidRPr="000D79BF">
        <w:rPr>
          <w:rFonts w:ascii="Arial" w:eastAsia="Times New Roman" w:hAnsi="Arial" w:cs="Arial"/>
          <w:color w:val="222222"/>
          <w:lang w:eastAsia="es-PE"/>
        </w:rPr>
        <w:t>1,</w:t>
      </w:r>
      <w:r w:rsidR="004D743D" w:rsidRPr="000D79BF">
        <w:rPr>
          <w:rFonts w:ascii="Arial" w:eastAsia="Times New Roman" w:hAnsi="Arial" w:cs="Arial"/>
          <w:color w:val="222222"/>
          <w:lang w:eastAsia="es-PE"/>
        </w:rPr>
        <w:t>8</w:t>
      </w:r>
      <w:r w:rsidR="008656A1" w:rsidRPr="000D79BF">
        <w:rPr>
          <w:rFonts w:ascii="Arial" w:eastAsia="Times New Roman" w:hAnsi="Arial" w:cs="Arial"/>
          <w:color w:val="222222"/>
          <w:lang w:eastAsia="es-PE"/>
        </w:rPr>
        <w:t>3</w:t>
      </w:r>
      <w:r w:rsidR="004D743D" w:rsidRPr="000D79BF">
        <w:rPr>
          <w:rFonts w:ascii="Arial" w:eastAsia="Times New Roman" w:hAnsi="Arial" w:cs="Arial"/>
          <w:color w:val="222222"/>
          <w:lang w:eastAsia="es-PE"/>
        </w:rPr>
        <w:t xml:space="preserve">6 </w:t>
      </w:r>
      <w:r w:rsidRPr="000D79BF">
        <w:rPr>
          <w:rFonts w:ascii="Arial" w:eastAsia="Times New Roman" w:hAnsi="Arial" w:cs="Arial"/>
          <w:color w:val="222222"/>
          <w:lang w:eastAsia="es-PE"/>
        </w:rPr>
        <w:t xml:space="preserve">millones </w:t>
      </w:r>
      <w:r w:rsidR="000E367C" w:rsidRPr="000D79BF">
        <w:rPr>
          <w:rFonts w:ascii="Arial" w:eastAsia="Times New Roman" w:hAnsi="Arial" w:cs="Arial"/>
          <w:color w:val="222222"/>
          <w:lang w:eastAsia="es-PE"/>
        </w:rPr>
        <w:t>anuales</w:t>
      </w:r>
      <w:r w:rsidR="009F74E9" w:rsidRPr="000D79BF">
        <w:rPr>
          <w:rFonts w:ascii="Arial" w:eastAsia="Times New Roman" w:hAnsi="Arial" w:cs="Arial"/>
          <w:color w:val="222222"/>
          <w:lang w:eastAsia="es-PE"/>
        </w:rPr>
        <w:t>;</w:t>
      </w:r>
      <w:r w:rsidRPr="000D79BF">
        <w:rPr>
          <w:rFonts w:ascii="Arial" w:eastAsia="Times New Roman" w:hAnsi="Arial" w:cs="Arial"/>
          <w:color w:val="222222"/>
          <w:lang w:eastAsia="es-PE"/>
        </w:rPr>
        <w:t xml:space="preserve"> por lo que</w:t>
      </w:r>
      <w:r w:rsidR="009F74E9" w:rsidRPr="000D79BF">
        <w:rPr>
          <w:rFonts w:ascii="Arial" w:eastAsia="Times New Roman" w:hAnsi="Arial" w:cs="Arial"/>
          <w:color w:val="222222"/>
          <w:lang w:eastAsia="es-PE"/>
        </w:rPr>
        <w:t>,</w:t>
      </w:r>
      <w:r w:rsidRPr="000D79BF">
        <w:rPr>
          <w:rFonts w:ascii="Arial" w:eastAsia="Times New Roman" w:hAnsi="Arial" w:cs="Arial"/>
          <w:color w:val="222222"/>
          <w:lang w:eastAsia="es-PE"/>
        </w:rPr>
        <w:t xml:space="preserve"> prácticas como la descrita afectan significativamente la recaudación</w:t>
      </w:r>
      <w:r w:rsidRPr="00881C79">
        <w:rPr>
          <w:rFonts w:ascii="Arial" w:eastAsia="Times New Roman" w:hAnsi="Arial" w:cs="Arial"/>
          <w:color w:val="222222"/>
          <w:lang w:eastAsia="es-PE"/>
        </w:rPr>
        <w:t xml:space="preserve"> destina</w:t>
      </w:r>
      <w:r w:rsidR="000E367C" w:rsidRPr="00881C79">
        <w:rPr>
          <w:rFonts w:ascii="Arial" w:eastAsia="Times New Roman" w:hAnsi="Arial" w:cs="Arial"/>
          <w:color w:val="222222"/>
          <w:lang w:eastAsia="es-PE"/>
        </w:rPr>
        <w:t>da</w:t>
      </w:r>
      <w:r w:rsidRPr="00881C79">
        <w:rPr>
          <w:rFonts w:ascii="Arial" w:eastAsia="Times New Roman" w:hAnsi="Arial" w:cs="Arial"/>
          <w:color w:val="222222"/>
          <w:lang w:eastAsia="es-PE"/>
        </w:rPr>
        <w:t xml:space="preserve"> a cubrir el presupuesto de la nación.</w:t>
      </w:r>
    </w:p>
    <w:p w14:paraId="61E06DC9" w14:textId="77777777" w:rsidR="0024322D" w:rsidRPr="00881C79" w:rsidRDefault="0024322D" w:rsidP="00AE056C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5DF3028B" w14:textId="627C04A9" w:rsidR="00A530F4" w:rsidRPr="00A530F4" w:rsidRDefault="00A530F4" w:rsidP="00AE056C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lang w:eastAsia="es-PE"/>
        </w:rPr>
      </w:pPr>
      <w:r w:rsidRPr="00A530F4">
        <w:rPr>
          <w:rFonts w:ascii="Arial" w:eastAsia="Times New Roman" w:hAnsi="Arial" w:cs="Arial"/>
          <w:b/>
          <w:color w:val="222222"/>
          <w:lang w:eastAsia="es-PE"/>
        </w:rPr>
        <w:t>Otras modalidades</w:t>
      </w:r>
    </w:p>
    <w:p w14:paraId="4ACBB29E" w14:textId="77777777" w:rsidR="00A530F4" w:rsidRDefault="00A530F4" w:rsidP="00AE056C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79E0A38A" w14:textId="31BDEB27" w:rsidR="000152C8" w:rsidRPr="00881C79" w:rsidRDefault="0024322D" w:rsidP="00AE056C">
      <w:pPr>
        <w:spacing w:after="0" w:line="240" w:lineRule="auto"/>
        <w:jc w:val="both"/>
        <w:rPr>
          <w:rFonts w:ascii="Arial" w:eastAsia="Times New Roman" w:hAnsi="Arial" w:cs="Arial"/>
          <w:lang w:eastAsia="es-PE"/>
        </w:rPr>
      </w:pPr>
      <w:r w:rsidRPr="00881C79">
        <w:rPr>
          <w:rFonts w:ascii="Arial" w:eastAsia="Times New Roman" w:hAnsi="Arial" w:cs="Arial"/>
          <w:color w:val="222222"/>
          <w:lang w:eastAsia="es-PE"/>
        </w:rPr>
        <w:t>Las otras modalidades son</w:t>
      </w:r>
      <w:r w:rsidR="00E600EB" w:rsidRPr="00881C79">
        <w:rPr>
          <w:rFonts w:ascii="Arial" w:eastAsia="Times New Roman" w:hAnsi="Arial" w:cs="Arial"/>
          <w:color w:val="222222"/>
          <w:lang w:eastAsia="es-PE"/>
        </w:rPr>
        <w:t>:</w:t>
      </w:r>
      <w:r w:rsidRPr="00881C79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="000152C8" w:rsidRPr="000D79BF">
        <w:rPr>
          <w:rFonts w:ascii="Arial" w:eastAsia="Times New Roman" w:hAnsi="Arial" w:cs="Arial"/>
          <w:lang w:eastAsia="es-PE"/>
        </w:rPr>
        <w:t>co</w:t>
      </w:r>
      <w:r w:rsidR="00E600EB" w:rsidRPr="000D79BF">
        <w:rPr>
          <w:rFonts w:ascii="Arial" w:eastAsia="Times New Roman" w:hAnsi="Arial" w:cs="Arial"/>
          <w:lang w:eastAsia="es-PE"/>
        </w:rPr>
        <w:t>ntrato de cesión</w:t>
      </w:r>
      <w:r w:rsidR="007F2107" w:rsidRPr="000D79BF">
        <w:rPr>
          <w:rFonts w:ascii="Arial" w:eastAsia="Times New Roman" w:hAnsi="Arial" w:cs="Arial"/>
          <w:lang w:eastAsia="es-PE"/>
        </w:rPr>
        <w:t xml:space="preserve"> de una concesión de una industria extractiva c</w:t>
      </w:r>
      <w:r w:rsidR="00E600EB" w:rsidRPr="000D79BF">
        <w:rPr>
          <w:rFonts w:ascii="Arial" w:eastAsia="Times New Roman" w:hAnsi="Arial" w:cs="Arial"/>
          <w:lang w:eastAsia="es-PE"/>
        </w:rPr>
        <w:t xml:space="preserve">on pagos encubiertos en una compraventa de acciones resuelta, </w:t>
      </w:r>
      <w:r w:rsidR="00E21221" w:rsidRPr="000D79BF">
        <w:rPr>
          <w:rFonts w:ascii="Arial" w:eastAsia="Times New Roman" w:hAnsi="Arial" w:cs="Arial"/>
          <w:color w:val="222222"/>
          <w:lang w:eastAsia="es-PE"/>
        </w:rPr>
        <w:t>transferencia de beneficios a régimen fiscal preferencial</w:t>
      </w:r>
      <w:r w:rsidR="00E600EB" w:rsidRPr="000D79BF">
        <w:rPr>
          <w:rFonts w:ascii="Arial" w:eastAsia="Times New Roman" w:hAnsi="Arial" w:cs="Arial"/>
          <w:lang w:eastAsia="es-PE"/>
        </w:rPr>
        <w:t xml:space="preserve">, </w:t>
      </w:r>
      <w:r w:rsidR="000152C8" w:rsidRPr="000D79BF">
        <w:rPr>
          <w:rFonts w:ascii="Arial" w:eastAsia="Times New Roman" w:hAnsi="Arial" w:cs="Arial"/>
          <w:lang w:eastAsia="es-PE"/>
        </w:rPr>
        <w:t>y el p</w:t>
      </w:r>
      <w:r w:rsidR="00E600EB" w:rsidRPr="000D79BF">
        <w:rPr>
          <w:rFonts w:ascii="Arial" w:eastAsia="Times New Roman" w:hAnsi="Arial" w:cs="Arial"/>
          <w:lang w:eastAsia="es-PE"/>
        </w:rPr>
        <w:t>réstamo con apariencia de arrendamiento financiero</w:t>
      </w:r>
      <w:r w:rsidR="007F2107" w:rsidRPr="000D79BF">
        <w:rPr>
          <w:rFonts w:ascii="Arial" w:eastAsia="Times New Roman" w:hAnsi="Arial" w:cs="Arial"/>
          <w:lang w:eastAsia="es-PE"/>
        </w:rPr>
        <w:t>.</w:t>
      </w:r>
    </w:p>
    <w:p w14:paraId="39EED813" w14:textId="77777777" w:rsidR="000152C8" w:rsidRPr="00881C79" w:rsidRDefault="000152C8" w:rsidP="00AE056C">
      <w:pPr>
        <w:spacing w:after="0" w:line="240" w:lineRule="auto"/>
        <w:jc w:val="both"/>
        <w:rPr>
          <w:rFonts w:ascii="Arial" w:eastAsia="Times New Roman" w:hAnsi="Arial" w:cs="Arial"/>
          <w:lang w:eastAsia="es-PE"/>
        </w:rPr>
      </w:pPr>
    </w:p>
    <w:p w14:paraId="1AE41CF5" w14:textId="5B4432A0" w:rsidR="00E600EB" w:rsidRPr="00881C79" w:rsidRDefault="000152C8" w:rsidP="00AE056C">
      <w:pPr>
        <w:spacing w:after="0" w:line="240" w:lineRule="auto"/>
        <w:jc w:val="both"/>
        <w:rPr>
          <w:rFonts w:ascii="Arial" w:eastAsia="Times New Roman" w:hAnsi="Arial" w:cs="Arial"/>
          <w:lang w:eastAsia="es-PE"/>
        </w:rPr>
      </w:pPr>
      <w:r w:rsidRPr="00881C79">
        <w:rPr>
          <w:rFonts w:ascii="Arial" w:eastAsia="Times New Roman" w:hAnsi="Arial" w:cs="Arial"/>
          <w:lang w:eastAsia="es-PE"/>
        </w:rPr>
        <w:t>También</w:t>
      </w:r>
      <w:r w:rsidR="007F2107" w:rsidRPr="00881C79">
        <w:rPr>
          <w:rFonts w:ascii="Arial" w:eastAsia="Times New Roman" w:hAnsi="Arial" w:cs="Arial"/>
          <w:lang w:eastAsia="es-PE"/>
        </w:rPr>
        <w:t xml:space="preserve"> se describe</w:t>
      </w:r>
      <w:r w:rsidRPr="00881C79">
        <w:rPr>
          <w:rFonts w:ascii="Arial" w:eastAsia="Times New Roman" w:hAnsi="Arial" w:cs="Arial"/>
          <w:lang w:eastAsia="es-PE"/>
        </w:rPr>
        <w:t xml:space="preserve"> la</w:t>
      </w:r>
      <w:r w:rsidR="007F2107" w:rsidRPr="00881C79">
        <w:rPr>
          <w:rFonts w:ascii="Arial" w:eastAsia="Times New Roman" w:hAnsi="Arial" w:cs="Arial"/>
          <w:lang w:eastAsia="es-PE"/>
        </w:rPr>
        <w:t xml:space="preserve"> </w:t>
      </w:r>
      <w:r w:rsidR="007F2107" w:rsidRPr="000D79BF">
        <w:rPr>
          <w:rFonts w:ascii="Arial" w:eastAsia="Times New Roman" w:hAnsi="Arial" w:cs="Arial"/>
          <w:lang w:eastAsia="es-PE"/>
        </w:rPr>
        <w:t>modalidad de</w:t>
      </w:r>
      <w:r w:rsidRPr="000D79BF">
        <w:rPr>
          <w:rFonts w:ascii="Arial" w:eastAsia="Times New Roman" w:hAnsi="Arial" w:cs="Arial"/>
          <w:lang w:eastAsia="es-PE"/>
        </w:rPr>
        <w:t xml:space="preserve"> e</w:t>
      </w:r>
      <w:r w:rsidR="00E600EB" w:rsidRPr="000D79BF">
        <w:rPr>
          <w:rFonts w:ascii="Arial" w:eastAsia="Times New Roman" w:hAnsi="Arial" w:cs="Arial"/>
          <w:lang w:eastAsia="es-PE"/>
        </w:rPr>
        <w:t xml:space="preserve">najenación directa de acciones de sociedad peruana </w:t>
      </w:r>
      <w:r w:rsidR="00442CC5" w:rsidRPr="000D79BF">
        <w:rPr>
          <w:rFonts w:ascii="Arial" w:eastAsia="Times New Roman" w:hAnsi="Arial" w:cs="Arial"/>
          <w:lang w:eastAsia="es-PE"/>
        </w:rPr>
        <w:t xml:space="preserve">de forma </w:t>
      </w:r>
      <w:r w:rsidR="00E600EB" w:rsidRPr="000D79BF">
        <w:rPr>
          <w:rFonts w:ascii="Arial" w:eastAsia="Times New Roman" w:hAnsi="Arial" w:cs="Arial"/>
          <w:lang w:eastAsia="es-PE"/>
        </w:rPr>
        <w:t>encubierta por un aporte de capital y posterior reducción de este</w:t>
      </w:r>
      <w:r w:rsidR="00E600EB" w:rsidRPr="00881C79">
        <w:rPr>
          <w:rFonts w:ascii="Arial" w:eastAsia="Times New Roman" w:hAnsi="Arial" w:cs="Arial"/>
          <w:lang w:eastAsia="es-PE"/>
        </w:rPr>
        <w:t xml:space="preserve">, y </w:t>
      </w:r>
      <w:r w:rsidRPr="00881C79">
        <w:rPr>
          <w:rFonts w:ascii="Arial" w:eastAsia="Times New Roman" w:hAnsi="Arial" w:cs="Arial"/>
          <w:lang w:eastAsia="es-PE"/>
        </w:rPr>
        <w:t>la de d</w:t>
      </w:r>
      <w:r w:rsidR="00E600EB" w:rsidRPr="00881C79">
        <w:rPr>
          <w:rFonts w:ascii="Arial" w:eastAsia="Times New Roman" w:hAnsi="Arial" w:cs="Arial"/>
          <w:lang w:eastAsia="es-PE"/>
        </w:rPr>
        <w:t>istribución indirecta de rentas de una entidad sin fines de lucro</w:t>
      </w:r>
      <w:r w:rsidR="009916BE" w:rsidRPr="00881C79">
        <w:rPr>
          <w:rFonts w:ascii="Arial" w:eastAsia="Times New Roman" w:hAnsi="Arial" w:cs="Arial"/>
          <w:lang w:eastAsia="es-PE"/>
        </w:rPr>
        <w:t xml:space="preserve"> bajo la apariencia de </w:t>
      </w:r>
      <w:r w:rsidR="00E600EB" w:rsidRPr="00881C79">
        <w:rPr>
          <w:rFonts w:ascii="Arial" w:eastAsia="Times New Roman" w:hAnsi="Arial" w:cs="Arial"/>
          <w:lang w:eastAsia="es-PE"/>
        </w:rPr>
        <w:t xml:space="preserve">pagos </w:t>
      </w:r>
      <w:r w:rsidR="00BF0D57" w:rsidRPr="00881C79">
        <w:rPr>
          <w:rFonts w:ascii="Arial" w:eastAsia="Times New Roman" w:hAnsi="Arial" w:cs="Arial"/>
          <w:lang w:eastAsia="es-PE"/>
        </w:rPr>
        <w:t xml:space="preserve">a </w:t>
      </w:r>
      <w:r w:rsidR="008A4F12" w:rsidRPr="00881C79">
        <w:rPr>
          <w:rFonts w:ascii="Arial" w:eastAsia="Times New Roman" w:hAnsi="Arial" w:cs="Arial"/>
          <w:lang w:eastAsia="es-PE"/>
        </w:rPr>
        <w:t xml:space="preserve">un </w:t>
      </w:r>
      <w:r w:rsidR="00BF0D57" w:rsidRPr="00881C79">
        <w:rPr>
          <w:rFonts w:ascii="Arial" w:eastAsia="Times New Roman" w:hAnsi="Arial" w:cs="Arial"/>
          <w:lang w:eastAsia="es-PE"/>
        </w:rPr>
        <w:t>proveedor</w:t>
      </w:r>
      <w:r w:rsidR="00E600EB" w:rsidRPr="00881C79">
        <w:rPr>
          <w:rFonts w:ascii="Arial" w:eastAsia="Times New Roman" w:hAnsi="Arial" w:cs="Arial"/>
          <w:lang w:eastAsia="es-PE"/>
        </w:rPr>
        <w:t xml:space="preserve"> del exterior</w:t>
      </w:r>
      <w:r w:rsidR="007A16DD" w:rsidRPr="00881C79">
        <w:rPr>
          <w:rFonts w:ascii="Arial" w:eastAsia="Times New Roman" w:hAnsi="Arial" w:cs="Arial"/>
          <w:lang w:eastAsia="es-PE"/>
        </w:rPr>
        <w:t xml:space="preserve"> que, a su vez, es una parte vinculada a un asociado de la referida entidad</w:t>
      </w:r>
      <w:r w:rsidR="00E600EB" w:rsidRPr="00881C79">
        <w:rPr>
          <w:rFonts w:ascii="Arial" w:eastAsia="Times New Roman" w:hAnsi="Arial" w:cs="Arial"/>
          <w:lang w:eastAsia="es-PE"/>
        </w:rPr>
        <w:t>.</w:t>
      </w:r>
    </w:p>
    <w:p w14:paraId="3C37A47E" w14:textId="77777777" w:rsidR="00415BA1" w:rsidRPr="00881C79" w:rsidRDefault="00415BA1" w:rsidP="00AE056C">
      <w:pPr>
        <w:spacing w:after="0" w:line="240" w:lineRule="auto"/>
        <w:jc w:val="both"/>
        <w:rPr>
          <w:rFonts w:ascii="Arial" w:eastAsia="Times New Roman" w:hAnsi="Arial" w:cs="Arial"/>
          <w:lang w:eastAsia="es-PE"/>
        </w:rPr>
      </w:pPr>
    </w:p>
    <w:p w14:paraId="4D53679E" w14:textId="6442615F" w:rsidR="00A530F4" w:rsidRDefault="009C4DE7" w:rsidP="00AE056C">
      <w:pPr>
        <w:spacing w:after="0" w:line="240" w:lineRule="auto"/>
        <w:jc w:val="both"/>
        <w:rPr>
          <w:rFonts w:ascii="Arial" w:eastAsia="Times New Roman" w:hAnsi="Arial" w:cs="Arial"/>
          <w:lang w:eastAsia="es-PE"/>
        </w:rPr>
      </w:pPr>
      <w:r w:rsidRPr="00881C79">
        <w:rPr>
          <w:rFonts w:ascii="Arial" w:eastAsia="Times New Roman" w:hAnsi="Arial" w:cs="Arial"/>
          <w:lang w:eastAsia="es-PE"/>
        </w:rPr>
        <w:t xml:space="preserve">Por último, se incluye un caso en el que la SUNAT estableció la existencia de elementos suficientes para aplicar la </w:t>
      </w:r>
      <w:r w:rsidRPr="000D79BF">
        <w:rPr>
          <w:rFonts w:ascii="Arial" w:eastAsia="Times New Roman" w:hAnsi="Arial" w:cs="Arial"/>
          <w:lang w:eastAsia="es-PE"/>
        </w:rPr>
        <w:t>norma anti</w:t>
      </w:r>
      <w:r w:rsidR="00074CCE" w:rsidRPr="000D79BF">
        <w:rPr>
          <w:rFonts w:ascii="Arial" w:eastAsia="Times New Roman" w:hAnsi="Arial" w:cs="Arial"/>
          <w:lang w:eastAsia="es-PE"/>
        </w:rPr>
        <w:t xml:space="preserve"> </w:t>
      </w:r>
      <w:r w:rsidRPr="000D79BF">
        <w:rPr>
          <w:rFonts w:ascii="Arial" w:eastAsia="Times New Roman" w:hAnsi="Arial" w:cs="Arial"/>
          <w:lang w:eastAsia="es-PE"/>
        </w:rPr>
        <w:t>elusiva general. En este caso, una empresa vend</w:t>
      </w:r>
      <w:r w:rsidR="008A4F12" w:rsidRPr="000D79BF">
        <w:rPr>
          <w:rFonts w:ascii="Arial" w:eastAsia="Times New Roman" w:hAnsi="Arial" w:cs="Arial"/>
          <w:lang w:eastAsia="es-PE"/>
        </w:rPr>
        <w:t>ió</w:t>
      </w:r>
      <w:r w:rsidRPr="000D79BF">
        <w:rPr>
          <w:rFonts w:ascii="Arial" w:eastAsia="Times New Roman" w:hAnsi="Arial" w:cs="Arial"/>
          <w:lang w:eastAsia="es-PE"/>
        </w:rPr>
        <w:t xml:space="preserve"> a plazos un grupo de inmuebles a favor de su accionista mayoritario y su cónyuge,</w:t>
      </w:r>
      <w:r w:rsidRPr="00881C79">
        <w:rPr>
          <w:rFonts w:ascii="Arial" w:eastAsia="Times New Roman" w:hAnsi="Arial" w:cs="Arial"/>
          <w:lang w:eastAsia="es-PE"/>
        </w:rPr>
        <w:t xml:space="preserve"> quienes de manera inmediata arr</w:t>
      </w:r>
      <w:r w:rsidR="008A4F12" w:rsidRPr="00881C79">
        <w:rPr>
          <w:rFonts w:ascii="Arial" w:eastAsia="Times New Roman" w:hAnsi="Arial" w:cs="Arial"/>
          <w:lang w:eastAsia="es-PE"/>
        </w:rPr>
        <w:t>endaro</w:t>
      </w:r>
      <w:r w:rsidRPr="00881C79">
        <w:rPr>
          <w:rFonts w:ascii="Arial" w:eastAsia="Times New Roman" w:hAnsi="Arial" w:cs="Arial"/>
          <w:lang w:eastAsia="es-PE"/>
        </w:rPr>
        <w:t xml:space="preserve">n dichos inmuebles a la misma empresa, pagándose por el arrendamiento montos superiores a las cuotas mensuales establecidas </w:t>
      </w:r>
      <w:r w:rsidR="008A4F12" w:rsidRPr="00881C79">
        <w:rPr>
          <w:rFonts w:ascii="Arial" w:eastAsia="Times New Roman" w:hAnsi="Arial" w:cs="Arial"/>
          <w:lang w:eastAsia="es-PE"/>
        </w:rPr>
        <w:t>por</w:t>
      </w:r>
      <w:r w:rsidRPr="00881C79">
        <w:rPr>
          <w:rFonts w:ascii="Arial" w:eastAsia="Times New Roman" w:hAnsi="Arial" w:cs="Arial"/>
          <w:lang w:eastAsia="es-PE"/>
        </w:rPr>
        <w:t xml:space="preserve"> la venta de los inmuebles. </w:t>
      </w:r>
    </w:p>
    <w:p w14:paraId="05B5424B" w14:textId="77777777" w:rsidR="00A530F4" w:rsidRDefault="00A530F4" w:rsidP="00AE056C">
      <w:pPr>
        <w:spacing w:after="0" w:line="240" w:lineRule="auto"/>
        <w:jc w:val="both"/>
        <w:rPr>
          <w:rFonts w:ascii="Arial" w:eastAsia="Times New Roman" w:hAnsi="Arial" w:cs="Arial"/>
          <w:lang w:eastAsia="es-PE"/>
        </w:rPr>
      </w:pPr>
    </w:p>
    <w:p w14:paraId="3DAE462C" w14:textId="022A05E6" w:rsidR="00415BA1" w:rsidRPr="00881C79" w:rsidRDefault="008A4F12" w:rsidP="00AE056C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es-PE"/>
        </w:rPr>
      </w:pPr>
      <w:r w:rsidRPr="00881C79">
        <w:rPr>
          <w:rFonts w:ascii="Arial" w:eastAsia="Times New Roman" w:hAnsi="Arial" w:cs="Arial"/>
          <w:lang w:eastAsia="es-PE"/>
        </w:rPr>
        <w:t>L</w:t>
      </w:r>
      <w:r w:rsidR="009C4DE7" w:rsidRPr="00881C79">
        <w:rPr>
          <w:rFonts w:ascii="Arial" w:eastAsia="Times New Roman" w:hAnsi="Arial" w:cs="Arial"/>
          <w:lang w:eastAsia="es-PE"/>
        </w:rPr>
        <w:t xml:space="preserve">a empresa continuó utilizando los inmuebles de la misma manera que lo hacía antes de </w:t>
      </w:r>
      <w:r w:rsidRPr="00881C79">
        <w:rPr>
          <w:rFonts w:ascii="Arial" w:eastAsia="Times New Roman" w:hAnsi="Arial" w:cs="Arial"/>
          <w:lang w:eastAsia="es-PE"/>
        </w:rPr>
        <w:t>su</w:t>
      </w:r>
      <w:r w:rsidR="009C4DE7" w:rsidRPr="00881C79">
        <w:rPr>
          <w:rFonts w:ascii="Arial" w:eastAsia="Times New Roman" w:hAnsi="Arial" w:cs="Arial"/>
          <w:lang w:eastAsia="es-PE"/>
        </w:rPr>
        <w:t xml:space="preserve"> venta. De esta forma, la empresa generó un gasto </w:t>
      </w:r>
      <w:r w:rsidR="00470380">
        <w:rPr>
          <w:rFonts w:ascii="Arial" w:eastAsia="Times New Roman" w:hAnsi="Arial" w:cs="Arial"/>
          <w:lang w:eastAsia="es-PE"/>
        </w:rPr>
        <w:t xml:space="preserve">mayor </w:t>
      </w:r>
      <w:r w:rsidR="009C4DE7" w:rsidRPr="00881C79">
        <w:rPr>
          <w:rFonts w:ascii="Arial" w:eastAsia="Times New Roman" w:hAnsi="Arial" w:cs="Arial"/>
          <w:lang w:eastAsia="es-PE"/>
        </w:rPr>
        <w:t>reduciendo indebidamente el Impuesto a la Renta que le correspondía pagar.</w:t>
      </w:r>
      <w:r w:rsidR="000F210F" w:rsidRPr="00881C79">
        <w:rPr>
          <w:rFonts w:ascii="Arial" w:eastAsia="Times New Roman" w:hAnsi="Arial" w:cs="Arial"/>
          <w:lang w:eastAsia="es-PE"/>
        </w:rPr>
        <w:t xml:space="preserve"> </w:t>
      </w:r>
    </w:p>
    <w:p w14:paraId="61C6DC00" w14:textId="77777777" w:rsidR="0024322D" w:rsidRPr="00881C79" w:rsidRDefault="0024322D" w:rsidP="00AE056C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24F2D9EC" w14:textId="2D1C8142" w:rsidR="008E137C" w:rsidRPr="00B123BF" w:rsidRDefault="00E6615C" w:rsidP="00AE056C">
      <w:pPr>
        <w:spacing w:after="0" w:line="240" w:lineRule="auto"/>
        <w:jc w:val="both"/>
        <w:rPr>
          <w:rFonts w:ascii="Arial" w:hAnsi="Arial" w:cs="Arial"/>
        </w:rPr>
      </w:pPr>
      <w:r w:rsidRPr="00881C79">
        <w:rPr>
          <w:rFonts w:ascii="Arial" w:hAnsi="Arial" w:cs="Arial"/>
        </w:rPr>
        <w:t>Cada</w:t>
      </w:r>
      <w:r w:rsidR="000841D4" w:rsidRPr="00881C79">
        <w:rPr>
          <w:rFonts w:ascii="Arial" w:hAnsi="Arial" w:cs="Arial"/>
        </w:rPr>
        <w:t xml:space="preserve"> </w:t>
      </w:r>
      <w:r w:rsidRPr="00881C79">
        <w:rPr>
          <w:rFonts w:ascii="Arial" w:hAnsi="Arial" w:cs="Arial"/>
        </w:rPr>
        <w:t xml:space="preserve">año, </w:t>
      </w:r>
      <w:r w:rsidR="000841D4" w:rsidRPr="00881C79">
        <w:rPr>
          <w:rFonts w:ascii="Arial" w:hAnsi="Arial" w:cs="Arial"/>
        </w:rPr>
        <w:t xml:space="preserve">la SUNAT añadirá </w:t>
      </w:r>
      <w:r w:rsidR="00FE4EAD" w:rsidRPr="00881C79">
        <w:rPr>
          <w:rFonts w:ascii="Arial" w:hAnsi="Arial" w:cs="Arial"/>
        </w:rPr>
        <w:t>al Catálogo nuevas caracterizaciones que pueden implicar un potencial incumplimiento tributario y, en los casos que correspondan, la aplicación de la Norma XVI.</w:t>
      </w:r>
    </w:p>
    <w:p w14:paraId="139EF81F" w14:textId="6404668E" w:rsidR="00E6615C" w:rsidRDefault="00E6615C" w:rsidP="00AE056C">
      <w:pPr>
        <w:spacing w:after="0" w:line="240" w:lineRule="auto"/>
        <w:jc w:val="both"/>
        <w:rPr>
          <w:rFonts w:ascii="Arial" w:hAnsi="Arial" w:cs="Arial"/>
        </w:rPr>
      </w:pPr>
    </w:p>
    <w:p w14:paraId="17DF429C" w14:textId="77777777" w:rsidR="00C92E06" w:rsidRPr="00B123BF" w:rsidRDefault="00C92E06" w:rsidP="00AE056C">
      <w:pPr>
        <w:spacing w:after="0" w:line="240" w:lineRule="auto"/>
        <w:jc w:val="both"/>
        <w:rPr>
          <w:rFonts w:ascii="Arial" w:hAnsi="Arial" w:cs="Arial"/>
        </w:rPr>
      </w:pPr>
    </w:p>
    <w:p w14:paraId="51940724" w14:textId="77777777" w:rsidR="00E6615C" w:rsidRPr="00B123BF" w:rsidRDefault="00E6615C" w:rsidP="000841D4">
      <w:pPr>
        <w:spacing w:after="0"/>
        <w:jc w:val="both"/>
        <w:rPr>
          <w:rFonts w:ascii="Arial" w:hAnsi="Arial" w:cs="Arial"/>
          <w:b/>
          <w:bCs/>
        </w:rPr>
      </w:pPr>
      <w:r w:rsidRPr="00B123BF">
        <w:rPr>
          <w:rFonts w:ascii="Arial" w:hAnsi="Arial" w:cs="Arial"/>
          <w:b/>
          <w:bCs/>
        </w:rPr>
        <w:t>Gerencia de comunicaciones e Imagen Institucional</w:t>
      </w:r>
    </w:p>
    <w:p w14:paraId="35970BFA" w14:textId="50922D8A" w:rsidR="0024322D" w:rsidRPr="00B123BF" w:rsidRDefault="00E6615C" w:rsidP="000841D4">
      <w:pPr>
        <w:spacing w:after="0"/>
        <w:jc w:val="both"/>
        <w:rPr>
          <w:rFonts w:ascii="Arial" w:hAnsi="Arial" w:cs="Arial"/>
        </w:rPr>
      </w:pPr>
      <w:r w:rsidRPr="00B123BF">
        <w:rPr>
          <w:rFonts w:ascii="Arial" w:hAnsi="Arial" w:cs="Arial"/>
        </w:rPr>
        <w:t xml:space="preserve">Lima, </w:t>
      </w:r>
      <w:r w:rsidR="00A530F4">
        <w:rPr>
          <w:rFonts w:ascii="Arial" w:hAnsi="Arial" w:cs="Arial"/>
        </w:rPr>
        <w:t xml:space="preserve">martes </w:t>
      </w:r>
      <w:r w:rsidR="00DF7364" w:rsidRPr="00B123BF">
        <w:rPr>
          <w:rFonts w:ascii="Arial" w:hAnsi="Arial" w:cs="Arial"/>
        </w:rPr>
        <w:t>11</w:t>
      </w:r>
      <w:r w:rsidRPr="00B123BF">
        <w:rPr>
          <w:rFonts w:ascii="Arial" w:hAnsi="Arial" w:cs="Arial"/>
        </w:rPr>
        <w:t xml:space="preserve"> de </w:t>
      </w:r>
      <w:r w:rsidR="00A530F4">
        <w:rPr>
          <w:rFonts w:ascii="Arial" w:hAnsi="Arial" w:cs="Arial"/>
        </w:rPr>
        <w:t>octubre</w:t>
      </w:r>
      <w:r w:rsidR="009F74E9" w:rsidRPr="00B123BF">
        <w:rPr>
          <w:rFonts w:ascii="Arial" w:hAnsi="Arial" w:cs="Arial"/>
        </w:rPr>
        <w:t xml:space="preserve"> </w:t>
      </w:r>
      <w:r w:rsidRPr="00B123BF">
        <w:rPr>
          <w:rFonts w:ascii="Arial" w:hAnsi="Arial" w:cs="Arial"/>
        </w:rPr>
        <w:t>de</w:t>
      </w:r>
      <w:r w:rsidR="00A530F4">
        <w:rPr>
          <w:rFonts w:ascii="Arial" w:hAnsi="Arial" w:cs="Arial"/>
        </w:rPr>
        <w:t>l</w:t>
      </w:r>
      <w:r w:rsidRPr="00B123BF">
        <w:rPr>
          <w:rFonts w:ascii="Arial" w:hAnsi="Arial" w:cs="Arial"/>
        </w:rPr>
        <w:t xml:space="preserve"> 202</w:t>
      </w:r>
      <w:r w:rsidR="00FE4EAD" w:rsidRPr="00B123BF">
        <w:rPr>
          <w:rFonts w:ascii="Arial" w:hAnsi="Arial" w:cs="Arial"/>
        </w:rPr>
        <w:t>2.</w:t>
      </w:r>
    </w:p>
    <w:sectPr w:rsidR="0024322D" w:rsidRPr="00B123BF" w:rsidSect="00A40E65">
      <w:headerReference w:type="default" r:id="rId8"/>
      <w:footerReference w:type="default" r:id="rId9"/>
      <w:pgSz w:w="11906" w:h="16838"/>
      <w:pgMar w:top="1134" w:right="1701" w:bottom="426" w:left="1701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DAE71" w14:textId="77777777" w:rsidR="00750D3C" w:rsidRDefault="00750D3C" w:rsidP="00A62652">
      <w:pPr>
        <w:spacing w:after="0" w:line="240" w:lineRule="auto"/>
      </w:pPr>
      <w:r>
        <w:separator/>
      </w:r>
    </w:p>
  </w:endnote>
  <w:endnote w:type="continuationSeparator" w:id="0">
    <w:p w14:paraId="5B36E20E" w14:textId="77777777" w:rsidR="00750D3C" w:rsidRDefault="00750D3C" w:rsidP="00A6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D2DCA" w14:textId="77777777" w:rsidR="008E137C" w:rsidRDefault="00912C36">
    <w:pPr>
      <w:pStyle w:val="Piedepgina"/>
    </w:pPr>
    <w:r>
      <w:rPr>
        <w:noProof/>
      </w:rPr>
      <w:drawing>
        <wp:inline distT="0" distB="0" distL="0" distR="0" wp14:anchorId="5C503707" wp14:editId="0C5BE1C3">
          <wp:extent cx="285750" cy="285750"/>
          <wp:effectExtent l="0" t="0" r="0" b="0"/>
          <wp:docPr id="4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E137C" w:rsidRPr="008E137C">
      <w:t>@SUNATOficial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5111D" w14:textId="77777777" w:rsidR="00750D3C" w:rsidRDefault="00750D3C" w:rsidP="00A62652">
      <w:pPr>
        <w:spacing w:after="0" w:line="240" w:lineRule="auto"/>
      </w:pPr>
      <w:r>
        <w:separator/>
      </w:r>
    </w:p>
  </w:footnote>
  <w:footnote w:type="continuationSeparator" w:id="0">
    <w:p w14:paraId="2F205B6E" w14:textId="77777777" w:rsidR="00750D3C" w:rsidRDefault="00750D3C" w:rsidP="00A6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FBD78" w14:textId="77777777" w:rsidR="00A62652" w:rsidRDefault="00912C36" w:rsidP="00A62652">
    <w:pPr>
      <w:pStyle w:val="Encabezado"/>
      <w:ind w:left="-284"/>
    </w:pPr>
    <w:r w:rsidRPr="000F63EA">
      <w:rPr>
        <w:noProof/>
        <w:lang w:eastAsia="es-PE"/>
      </w:rPr>
      <w:drawing>
        <wp:inline distT="0" distB="0" distL="0" distR="0" wp14:anchorId="687DCA54" wp14:editId="3CC7E95C">
          <wp:extent cx="2211705" cy="704850"/>
          <wp:effectExtent l="0" t="0" r="0" b="0"/>
          <wp:docPr id="3" name="Imagen 3" descr="Descripción: logoofici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oficia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70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663B"/>
    <w:multiLevelType w:val="hybridMultilevel"/>
    <w:tmpl w:val="6C1CF2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C5814"/>
    <w:multiLevelType w:val="hybridMultilevel"/>
    <w:tmpl w:val="8BE67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B42F6"/>
    <w:multiLevelType w:val="hybridMultilevel"/>
    <w:tmpl w:val="172C373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4589B"/>
    <w:multiLevelType w:val="hybridMultilevel"/>
    <w:tmpl w:val="E06C543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142C7"/>
    <w:multiLevelType w:val="hybridMultilevel"/>
    <w:tmpl w:val="313AE7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94"/>
    <w:rsid w:val="000152C8"/>
    <w:rsid w:val="00053920"/>
    <w:rsid w:val="00066D4F"/>
    <w:rsid w:val="00074CCE"/>
    <w:rsid w:val="00076794"/>
    <w:rsid w:val="000841D4"/>
    <w:rsid w:val="00086C1D"/>
    <w:rsid w:val="00094164"/>
    <w:rsid w:val="000D79BF"/>
    <w:rsid w:val="000E28AC"/>
    <w:rsid w:val="000E367C"/>
    <w:rsid w:val="000E66CA"/>
    <w:rsid w:val="000F210F"/>
    <w:rsid w:val="00113A01"/>
    <w:rsid w:val="00131153"/>
    <w:rsid w:val="00133646"/>
    <w:rsid w:val="00192E30"/>
    <w:rsid w:val="00196EE2"/>
    <w:rsid w:val="00197269"/>
    <w:rsid w:val="001A0239"/>
    <w:rsid w:val="001A4452"/>
    <w:rsid w:val="001B19F8"/>
    <w:rsid w:val="001B2B3A"/>
    <w:rsid w:val="001E1C40"/>
    <w:rsid w:val="001E5C9F"/>
    <w:rsid w:val="0020134D"/>
    <w:rsid w:val="0020636F"/>
    <w:rsid w:val="00220199"/>
    <w:rsid w:val="00231167"/>
    <w:rsid w:val="00234815"/>
    <w:rsid w:val="0024322D"/>
    <w:rsid w:val="00261C73"/>
    <w:rsid w:val="0027781F"/>
    <w:rsid w:val="00297A8C"/>
    <w:rsid w:val="002A21C7"/>
    <w:rsid w:val="002A4EFE"/>
    <w:rsid w:val="002D4D7E"/>
    <w:rsid w:val="002F374E"/>
    <w:rsid w:val="003131A0"/>
    <w:rsid w:val="00325966"/>
    <w:rsid w:val="0035439D"/>
    <w:rsid w:val="003858EA"/>
    <w:rsid w:val="003C2E42"/>
    <w:rsid w:val="003E4A0A"/>
    <w:rsid w:val="00415BA1"/>
    <w:rsid w:val="00430CBF"/>
    <w:rsid w:val="0043182A"/>
    <w:rsid w:val="00435ED8"/>
    <w:rsid w:val="00437FD9"/>
    <w:rsid w:val="00442CC5"/>
    <w:rsid w:val="004452A9"/>
    <w:rsid w:val="004460BC"/>
    <w:rsid w:val="00465464"/>
    <w:rsid w:val="00470380"/>
    <w:rsid w:val="00470F4E"/>
    <w:rsid w:val="00471DBE"/>
    <w:rsid w:val="00473323"/>
    <w:rsid w:val="00473CA5"/>
    <w:rsid w:val="00474F90"/>
    <w:rsid w:val="00477381"/>
    <w:rsid w:val="00496D99"/>
    <w:rsid w:val="004C562F"/>
    <w:rsid w:val="004D33B4"/>
    <w:rsid w:val="004D3968"/>
    <w:rsid w:val="004D743D"/>
    <w:rsid w:val="004E6C2E"/>
    <w:rsid w:val="004F3F49"/>
    <w:rsid w:val="005159AD"/>
    <w:rsid w:val="00543A40"/>
    <w:rsid w:val="00544063"/>
    <w:rsid w:val="00544E8C"/>
    <w:rsid w:val="00552F10"/>
    <w:rsid w:val="00582CD2"/>
    <w:rsid w:val="00590B90"/>
    <w:rsid w:val="0059668B"/>
    <w:rsid w:val="005B4619"/>
    <w:rsid w:val="005D17D0"/>
    <w:rsid w:val="005E365B"/>
    <w:rsid w:val="005E3F3A"/>
    <w:rsid w:val="005F0E12"/>
    <w:rsid w:val="005F1EBD"/>
    <w:rsid w:val="006028FE"/>
    <w:rsid w:val="006054A8"/>
    <w:rsid w:val="006246B5"/>
    <w:rsid w:val="00647632"/>
    <w:rsid w:val="00664958"/>
    <w:rsid w:val="00681235"/>
    <w:rsid w:val="006839B5"/>
    <w:rsid w:val="006902E6"/>
    <w:rsid w:val="006A78EE"/>
    <w:rsid w:val="006B166D"/>
    <w:rsid w:val="00710BB2"/>
    <w:rsid w:val="00717B56"/>
    <w:rsid w:val="00726B1A"/>
    <w:rsid w:val="007326B9"/>
    <w:rsid w:val="007407B6"/>
    <w:rsid w:val="00740AAC"/>
    <w:rsid w:val="00750D3C"/>
    <w:rsid w:val="007560A3"/>
    <w:rsid w:val="0075619C"/>
    <w:rsid w:val="00771D5F"/>
    <w:rsid w:val="0077322E"/>
    <w:rsid w:val="007753B7"/>
    <w:rsid w:val="007919EB"/>
    <w:rsid w:val="007A16DD"/>
    <w:rsid w:val="007A2AB4"/>
    <w:rsid w:val="007B12F4"/>
    <w:rsid w:val="007B3858"/>
    <w:rsid w:val="007B699B"/>
    <w:rsid w:val="007C7DD3"/>
    <w:rsid w:val="007D433B"/>
    <w:rsid w:val="007D5832"/>
    <w:rsid w:val="007E4C33"/>
    <w:rsid w:val="007F2107"/>
    <w:rsid w:val="00804227"/>
    <w:rsid w:val="00845CE7"/>
    <w:rsid w:val="00847A0D"/>
    <w:rsid w:val="00862FFA"/>
    <w:rsid w:val="008656A1"/>
    <w:rsid w:val="008669A1"/>
    <w:rsid w:val="00881C79"/>
    <w:rsid w:val="008A4F12"/>
    <w:rsid w:val="008C76EA"/>
    <w:rsid w:val="008C7A3D"/>
    <w:rsid w:val="008E137C"/>
    <w:rsid w:val="008E294A"/>
    <w:rsid w:val="008E7048"/>
    <w:rsid w:val="009019A4"/>
    <w:rsid w:val="00912C36"/>
    <w:rsid w:val="00916F55"/>
    <w:rsid w:val="00921D6C"/>
    <w:rsid w:val="00936D89"/>
    <w:rsid w:val="009505BC"/>
    <w:rsid w:val="00951CB3"/>
    <w:rsid w:val="0097481E"/>
    <w:rsid w:val="009916BE"/>
    <w:rsid w:val="009A4A53"/>
    <w:rsid w:val="009B139E"/>
    <w:rsid w:val="009C4DE7"/>
    <w:rsid w:val="009E35D3"/>
    <w:rsid w:val="009F0246"/>
    <w:rsid w:val="009F1083"/>
    <w:rsid w:val="009F74E9"/>
    <w:rsid w:val="00A40E65"/>
    <w:rsid w:val="00A45F91"/>
    <w:rsid w:val="00A47E2F"/>
    <w:rsid w:val="00A530F4"/>
    <w:rsid w:val="00A62652"/>
    <w:rsid w:val="00A77FAE"/>
    <w:rsid w:val="00A83851"/>
    <w:rsid w:val="00AA097D"/>
    <w:rsid w:val="00AD1AC0"/>
    <w:rsid w:val="00AD20BD"/>
    <w:rsid w:val="00AD7ACB"/>
    <w:rsid w:val="00AE056C"/>
    <w:rsid w:val="00AE31AB"/>
    <w:rsid w:val="00AF5CB9"/>
    <w:rsid w:val="00B0013C"/>
    <w:rsid w:val="00B04B8F"/>
    <w:rsid w:val="00B123BF"/>
    <w:rsid w:val="00B15120"/>
    <w:rsid w:val="00B202EF"/>
    <w:rsid w:val="00B2691E"/>
    <w:rsid w:val="00B40612"/>
    <w:rsid w:val="00B413D1"/>
    <w:rsid w:val="00B63B43"/>
    <w:rsid w:val="00B87679"/>
    <w:rsid w:val="00B9047E"/>
    <w:rsid w:val="00BC56FA"/>
    <w:rsid w:val="00BD35AC"/>
    <w:rsid w:val="00BF0D57"/>
    <w:rsid w:val="00BF4061"/>
    <w:rsid w:val="00BF434D"/>
    <w:rsid w:val="00C078D0"/>
    <w:rsid w:val="00C46BE5"/>
    <w:rsid w:val="00C71DB9"/>
    <w:rsid w:val="00C92E06"/>
    <w:rsid w:val="00CB1E69"/>
    <w:rsid w:val="00CC123C"/>
    <w:rsid w:val="00CC7934"/>
    <w:rsid w:val="00CC7DFC"/>
    <w:rsid w:val="00CD1F6E"/>
    <w:rsid w:val="00CD61EB"/>
    <w:rsid w:val="00D02135"/>
    <w:rsid w:val="00D11A9D"/>
    <w:rsid w:val="00D17EAA"/>
    <w:rsid w:val="00D20225"/>
    <w:rsid w:val="00D36E22"/>
    <w:rsid w:val="00D52A7B"/>
    <w:rsid w:val="00D53322"/>
    <w:rsid w:val="00D818B2"/>
    <w:rsid w:val="00D92273"/>
    <w:rsid w:val="00DA6676"/>
    <w:rsid w:val="00DC5D75"/>
    <w:rsid w:val="00DF44DD"/>
    <w:rsid w:val="00DF7171"/>
    <w:rsid w:val="00DF7364"/>
    <w:rsid w:val="00E023FA"/>
    <w:rsid w:val="00E105A3"/>
    <w:rsid w:val="00E21221"/>
    <w:rsid w:val="00E24D82"/>
    <w:rsid w:val="00E600EB"/>
    <w:rsid w:val="00E6615C"/>
    <w:rsid w:val="00E723A9"/>
    <w:rsid w:val="00E75E49"/>
    <w:rsid w:val="00E928BF"/>
    <w:rsid w:val="00EA34BD"/>
    <w:rsid w:val="00ED495E"/>
    <w:rsid w:val="00EE1CD2"/>
    <w:rsid w:val="00F25CA4"/>
    <w:rsid w:val="00F32C59"/>
    <w:rsid w:val="00F50938"/>
    <w:rsid w:val="00F72F60"/>
    <w:rsid w:val="00F9310C"/>
    <w:rsid w:val="00F93C03"/>
    <w:rsid w:val="00F976CD"/>
    <w:rsid w:val="00FD5275"/>
    <w:rsid w:val="00FE4EAD"/>
    <w:rsid w:val="00FF20EA"/>
    <w:rsid w:val="00FF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8DBEE46"/>
  <w15:docId w15:val="{A6649FFA-9CDD-264A-B158-12D5D22F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A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652"/>
  </w:style>
  <w:style w:type="paragraph" w:styleId="Piedepgina">
    <w:name w:val="footer"/>
    <w:basedOn w:val="Normal"/>
    <w:link w:val="Piedepgina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652"/>
  </w:style>
  <w:style w:type="character" w:styleId="Refdecomentario">
    <w:name w:val="annotation reference"/>
    <w:uiPriority w:val="99"/>
    <w:semiHidden/>
    <w:unhideWhenUsed/>
    <w:rsid w:val="007919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919E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7919E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19E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919EB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1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19EB"/>
    <w:rPr>
      <w:rFonts w:ascii="Segoe UI" w:hAnsi="Segoe UI" w:cs="Segoe UI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B12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21223-C07C-4B0F-AF95-7163351A3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896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Manzaneda Miranda Gardy Raul</cp:lastModifiedBy>
  <cp:revision>5</cp:revision>
  <dcterms:created xsi:type="dcterms:W3CDTF">2022-10-11T13:39:00Z</dcterms:created>
  <dcterms:modified xsi:type="dcterms:W3CDTF">2022-10-13T14:17:00Z</dcterms:modified>
</cp:coreProperties>
</file>