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7C5D" w14:textId="5774864A" w:rsidR="00A472AB" w:rsidRDefault="00A472AB" w:rsidP="00A472AB">
      <w:pPr>
        <w:pBdr>
          <w:top w:val="nil"/>
          <w:left w:val="nil"/>
          <w:bottom w:val="nil"/>
          <w:right w:val="nil"/>
          <w:between w:val="nil"/>
        </w:pBdr>
        <w:spacing w:after="0" w:line="240" w:lineRule="auto"/>
        <w:ind w:left="68"/>
        <w:contextualSpacing/>
        <w:jc w:val="right"/>
        <w:rPr>
          <w:rFonts w:ascii="Arial Nova" w:eastAsia="Arial" w:hAnsi="Arial Nova" w:cs="Arial"/>
          <w:bCs/>
          <w:iCs/>
          <w:caps/>
          <w:sz w:val="24"/>
          <w:szCs w:val="24"/>
        </w:rPr>
      </w:pPr>
      <w:r w:rsidRPr="00A472AB">
        <w:rPr>
          <w:rFonts w:ascii="Arial Nova" w:eastAsia="Arial" w:hAnsi="Arial Nova" w:cs="Arial"/>
          <w:bCs/>
          <w:iCs/>
          <w:caps/>
          <w:sz w:val="24"/>
          <w:szCs w:val="24"/>
        </w:rPr>
        <w:t xml:space="preserve">Nota de Prensa </w:t>
      </w:r>
      <w:proofErr w:type="spellStart"/>
      <w:r w:rsidRPr="00A472AB">
        <w:rPr>
          <w:rFonts w:ascii="Arial Nova" w:eastAsia="Arial" w:hAnsi="Arial Nova" w:cs="Arial"/>
          <w:bCs/>
          <w:iCs/>
          <w:caps/>
          <w:sz w:val="24"/>
          <w:szCs w:val="24"/>
        </w:rPr>
        <w:t>N°</w:t>
      </w:r>
      <w:proofErr w:type="spellEnd"/>
      <w:r w:rsidRPr="00A472AB">
        <w:rPr>
          <w:rFonts w:ascii="Arial Nova" w:eastAsia="Arial" w:hAnsi="Arial Nova" w:cs="Arial"/>
          <w:bCs/>
          <w:iCs/>
          <w:caps/>
          <w:sz w:val="24"/>
          <w:szCs w:val="24"/>
        </w:rPr>
        <w:t xml:space="preserve"> 054</w:t>
      </w:r>
    </w:p>
    <w:p w14:paraId="1D125CDD" w14:textId="77777777" w:rsidR="00A472AB" w:rsidRPr="00A472AB" w:rsidRDefault="00A472AB" w:rsidP="00A472AB">
      <w:pPr>
        <w:pBdr>
          <w:top w:val="nil"/>
          <w:left w:val="nil"/>
          <w:bottom w:val="nil"/>
          <w:right w:val="nil"/>
          <w:between w:val="nil"/>
        </w:pBdr>
        <w:spacing w:after="0" w:line="240" w:lineRule="auto"/>
        <w:ind w:left="68"/>
        <w:contextualSpacing/>
        <w:jc w:val="right"/>
        <w:rPr>
          <w:rFonts w:ascii="Arial Nova" w:eastAsia="Arial" w:hAnsi="Arial Nova" w:cs="Arial"/>
          <w:bCs/>
          <w:iCs/>
          <w:caps/>
          <w:sz w:val="24"/>
          <w:szCs w:val="24"/>
        </w:rPr>
      </w:pPr>
    </w:p>
    <w:p w14:paraId="32C6453D" w14:textId="48B00C7A" w:rsidR="009162C5" w:rsidRDefault="0021750A" w:rsidP="008411BC">
      <w:pPr>
        <w:pBdr>
          <w:top w:val="nil"/>
          <w:left w:val="nil"/>
          <w:bottom w:val="nil"/>
          <w:right w:val="nil"/>
          <w:between w:val="nil"/>
        </w:pBdr>
        <w:spacing w:after="0" w:line="240" w:lineRule="auto"/>
        <w:ind w:left="68"/>
        <w:contextualSpacing/>
        <w:jc w:val="center"/>
        <w:rPr>
          <w:rFonts w:ascii="Arial Nova" w:eastAsia="Arial" w:hAnsi="Arial Nova" w:cs="Arial"/>
          <w:b/>
          <w:iCs/>
          <w:caps/>
          <w:sz w:val="32"/>
          <w:szCs w:val="32"/>
        </w:rPr>
      </w:pPr>
      <w:r w:rsidRPr="008411BC">
        <w:rPr>
          <w:rFonts w:ascii="Arial Nova" w:eastAsia="Arial" w:hAnsi="Arial Nova" w:cs="Arial"/>
          <w:b/>
          <w:iCs/>
          <w:caps/>
          <w:sz w:val="32"/>
          <w:szCs w:val="32"/>
        </w:rPr>
        <w:t xml:space="preserve">INGRESOS </w:t>
      </w:r>
      <w:r w:rsidR="00754A2C" w:rsidRPr="008411BC">
        <w:rPr>
          <w:rFonts w:ascii="Arial Nova" w:eastAsia="Arial" w:hAnsi="Arial Nova" w:cs="Arial"/>
          <w:b/>
          <w:iCs/>
          <w:caps/>
          <w:sz w:val="32"/>
          <w:szCs w:val="32"/>
        </w:rPr>
        <w:t xml:space="preserve">TRIBUTARIOS </w:t>
      </w:r>
      <w:r w:rsidR="003D5D5B" w:rsidRPr="008411BC">
        <w:rPr>
          <w:rFonts w:ascii="Arial Nova" w:eastAsia="Arial" w:hAnsi="Arial Nova" w:cs="Arial"/>
          <w:b/>
          <w:iCs/>
          <w:caps/>
          <w:sz w:val="32"/>
          <w:szCs w:val="32"/>
        </w:rPr>
        <w:t xml:space="preserve">DE </w:t>
      </w:r>
      <w:r w:rsidR="00907F09" w:rsidRPr="008411BC">
        <w:rPr>
          <w:rFonts w:ascii="Arial Nova" w:eastAsia="Arial" w:hAnsi="Arial Nova" w:cs="Arial"/>
          <w:b/>
          <w:iCs/>
          <w:caps/>
          <w:sz w:val="32"/>
          <w:szCs w:val="32"/>
        </w:rPr>
        <w:t>JU</w:t>
      </w:r>
      <w:r w:rsidR="00F67165" w:rsidRPr="008411BC">
        <w:rPr>
          <w:rFonts w:ascii="Arial Nova" w:eastAsia="Arial" w:hAnsi="Arial Nova" w:cs="Arial"/>
          <w:b/>
          <w:iCs/>
          <w:caps/>
          <w:sz w:val="32"/>
          <w:szCs w:val="32"/>
        </w:rPr>
        <w:t>l</w:t>
      </w:r>
      <w:r w:rsidR="00907F09" w:rsidRPr="008411BC">
        <w:rPr>
          <w:rFonts w:ascii="Arial Nova" w:eastAsia="Arial" w:hAnsi="Arial Nova" w:cs="Arial"/>
          <w:b/>
          <w:iCs/>
          <w:caps/>
          <w:sz w:val="32"/>
          <w:szCs w:val="32"/>
        </w:rPr>
        <w:t>IO</w:t>
      </w:r>
      <w:r w:rsidR="003D5D5B" w:rsidRPr="008411BC">
        <w:rPr>
          <w:rFonts w:ascii="Arial Nova" w:eastAsia="Arial" w:hAnsi="Arial Nova" w:cs="Arial"/>
          <w:b/>
          <w:iCs/>
          <w:caps/>
          <w:sz w:val="32"/>
          <w:szCs w:val="32"/>
        </w:rPr>
        <w:t xml:space="preserve"> ALCANZA</w:t>
      </w:r>
      <w:r w:rsidR="00C87538" w:rsidRPr="008411BC">
        <w:rPr>
          <w:rFonts w:ascii="Arial Nova" w:eastAsia="Arial" w:hAnsi="Arial Nova" w:cs="Arial"/>
          <w:b/>
          <w:iCs/>
          <w:caps/>
          <w:sz w:val="32"/>
          <w:szCs w:val="32"/>
        </w:rPr>
        <w:t>R</w:t>
      </w:r>
      <w:r w:rsidR="003D5D5B" w:rsidRPr="008411BC">
        <w:rPr>
          <w:rFonts w:ascii="Arial Nova" w:eastAsia="Arial" w:hAnsi="Arial Nova" w:cs="Arial"/>
          <w:b/>
          <w:iCs/>
          <w:caps/>
          <w:sz w:val="32"/>
          <w:szCs w:val="32"/>
        </w:rPr>
        <w:t xml:space="preserve">ON LOS </w:t>
      </w:r>
      <w:r w:rsidR="003B282C" w:rsidRPr="008411BC">
        <w:rPr>
          <w:rFonts w:ascii="Arial Nova" w:eastAsia="Arial" w:hAnsi="Arial Nova" w:cs="Arial"/>
          <w:b/>
          <w:iCs/>
          <w:caps/>
          <w:sz w:val="32"/>
          <w:szCs w:val="32"/>
        </w:rPr>
        <w:t>10</w:t>
      </w:r>
      <w:r w:rsidR="00A566AC" w:rsidRPr="008411BC">
        <w:rPr>
          <w:rFonts w:ascii="Arial Nova" w:eastAsia="Arial" w:hAnsi="Arial Nova" w:cs="Arial"/>
          <w:b/>
          <w:iCs/>
          <w:caps/>
          <w:sz w:val="32"/>
          <w:szCs w:val="32"/>
        </w:rPr>
        <w:t xml:space="preserve"> </w:t>
      </w:r>
      <w:r w:rsidR="00F84840" w:rsidRPr="008411BC">
        <w:rPr>
          <w:rFonts w:ascii="Arial Nova" w:eastAsia="Arial" w:hAnsi="Arial Nova" w:cs="Arial"/>
          <w:b/>
          <w:iCs/>
          <w:caps/>
          <w:sz w:val="32"/>
          <w:szCs w:val="32"/>
        </w:rPr>
        <w:t>3</w:t>
      </w:r>
      <w:r w:rsidR="008A7CE1" w:rsidRPr="008411BC">
        <w:rPr>
          <w:rFonts w:ascii="Arial Nova" w:eastAsia="Arial" w:hAnsi="Arial Nova" w:cs="Arial"/>
          <w:b/>
          <w:iCs/>
          <w:caps/>
          <w:sz w:val="32"/>
          <w:szCs w:val="32"/>
        </w:rPr>
        <w:t>81</w:t>
      </w:r>
      <w:r w:rsidR="00A566AC" w:rsidRPr="008411BC">
        <w:rPr>
          <w:rFonts w:ascii="Arial Nova" w:eastAsia="Arial" w:hAnsi="Arial Nova" w:cs="Arial"/>
          <w:b/>
          <w:iCs/>
          <w:caps/>
          <w:sz w:val="32"/>
          <w:szCs w:val="32"/>
        </w:rPr>
        <w:t xml:space="preserve"> </w:t>
      </w:r>
      <w:r w:rsidR="003D5D5B" w:rsidRPr="008411BC">
        <w:rPr>
          <w:rFonts w:ascii="Arial Nova" w:eastAsia="Arial" w:hAnsi="Arial Nova" w:cs="Arial"/>
          <w:b/>
          <w:iCs/>
          <w:caps/>
          <w:sz w:val="32"/>
          <w:szCs w:val="32"/>
        </w:rPr>
        <w:t>MILLONES</w:t>
      </w:r>
      <w:r w:rsidR="008411BC">
        <w:rPr>
          <w:rFonts w:ascii="Arial Nova" w:eastAsia="Arial" w:hAnsi="Arial Nova" w:cs="Arial"/>
          <w:b/>
          <w:iCs/>
          <w:caps/>
          <w:sz w:val="32"/>
          <w:szCs w:val="32"/>
        </w:rPr>
        <w:t xml:space="preserve"> DE SOLES</w:t>
      </w:r>
    </w:p>
    <w:p w14:paraId="382BE0D6" w14:textId="065D32EF" w:rsidR="008411BC" w:rsidRDefault="008411BC" w:rsidP="008411BC">
      <w:pPr>
        <w:pBdr>
          <w:top w:val="nil"/>
          <w:left w:val="nil"/>
          <w:bottom w:val="nil"/>
          <w:right w:val="nil"/>
          <w:between w:val="nil"/>
        </w:pBdr>
        <w:spacing w:after="0" w:line="240" w:lineRule="auto"/>
        <w:ind w:left="68"/>
        <w:contextualSpacing/>
        <w:jc w:val="center"/>
        <w:rPr>
          <w:rFonts w:ascii="Arial Nova" w:eastAsia="Arial" w:hAnsi="Arial Nova" w:cs="Arial"/>
          <w:b/>
          <w:iCs/>
          <w:caps/>
          <w:sz w:val="32"/>
          <w:szCs w:val="32"/>
        </w:rPr>
      </w:pPr>
    </w:p>
    <w:p w14:paraId="4077AF59" w14:textId="5145B768" w:rsidR="008411BC" w:rsidRDefault="008411BC" w:rsidP="008411BC">
      <w:pPr>
        <w:pStyle w:val="Prrafodelista"/>
        <w:numPr>
          <w:ilvl w:val="0"/>
          <w:numId w:val="12"/>
        </w:numPr>
        <w:spacing w:after="0" w:line="240" w:lineRule="auto"/>
        <w:ind w:left="426"/>
        <w:contextualSpacing w:val="0"/>
        <w:jc w:val="both"/>
        <w:rPr>
          <w:rFonts w:ascii="Arial Nova" w:eastAsia="Arial" w:hAnsi="Arial Nova" w:cs="Arial"/>
          <w:b/>
          <w:i/>
          <w:iCs/>
          <w:sz w:val="24"/>
          <w:szCs w:val="24"/>
        </w:rPr>
      </w:pPr>
      <w:r w:rsidRPr="008411BC">
        <w:rPr>
          <w:rFonts w:ascii="Arial Nova" w:eastAsia="Arial" w:hAnsi="Arial Nova" w:cs="Arial"/>
          <w:b/>
          <w:i/>
          <w:iCs/>
          <w:sz w:val="24"/>
          <w:szCs w:val="24"/>
        </w:rPr>
        <w:t xml:space="preserve">Recaudación por Impuesto </w:t>
      </w:r>
      <w:r w:rsidR="00161E41">
        <w:rPr>
          <w:rFonts w:ascii="Arial Nova" w:eastAsia="Arial" w:hAnsi="Arial Nova" w:cs="Arial"/>
          <w:b/>
          <w:i/>
          <w:iCs/>
          <w:sz w:val="24"/>
          <w:szCs w:val="24"/>
        </w:rPr>
        <w:t>S</w:t>
      </w:r>
      <w:r w:rsidRPr="008411BC">
        <w:rPr>
          <w:rFonts w:ascii="Arial Nova" w:eastAsia="Arial" w:hAnsi="Arial Nova" w:cs="Arial"/>
          <w:b/>
          <w:i/>
          <w:iCs/>
          <w:sz w:val="24"/>
          <w:szCs w:val="24"/>
        </w:rPr>
        <w:t xml:space="preserve">electivo al </w:t>
      </w:r>
      <w:r w:rsidR="00161E41">
        <w:rPr>
          <w:rFonts w:ascii="Arial Nova" w:eastAsia="Arial" w:hAnsi="Arial Nova" w:cs="Arial"/>
          <w:b/>
          <w:i/>
          <w:iCs/>
          <w:sz w:val="24"/>
          <w:szCs w:val="24"/>
        </w:rPr>
        <w:t>C</w:t>
      </w:r>
      <w:r w:rsidRPr="008411BC">
        <w:rPr>
          <w:rFonts w:ascii="Arial Nova" w:eastAsia="Arial" w:hAnsi="Arial Nova" w:cs="Arial"/>
          <w:b/>
          <w:i/>
          <w:iCs/>
          <w:sz w:val="24"/>
          <w:szCs w:val="24"/>
        </w:rPr>
        <w:t>onsumo tuvo un aumento mensual de 49,1%.</w:t>
      </w:r>
    </w:p>
    <w:p w14:paraId="7E0CBD34" w14:textId="77777777" w:rsidR="008411BC" w:rsidRPr="008411BC" w:rsidRDefault="008411BC" w:rsidP="008411BC">
      <w:pPr>
        <w:spacing w:after="0" w:line="240" w:lineRule="auto"/>
        <w:jc w:val="both"/>
        <w:rPr>
          <w:rFonts w:ascii="Arial Nova" w:eastAsia="Arial" w:hAnsi="Arial Nova" w:cs="Arial"/>
          <w:b/>
          <w:i/>
          <w:iCs/>
          <w:sz w:val="24"/>
          <w:szCs w:val="24"/>
        </w:rPr>
      </w:pPr>
    </w:p>
    <w:p w14:paraId="4BA428BE" w14:textId="6B8966A5" w:rsidR="009162C5" w:rsidRPr="008411BC" w:rsidRDefault="008411BC" w:rsidP="008411BC">
      <w:pPr>
        <w:spacing w:after="0" w:line="240" w:lineRule="auto"/>
        <w:jc w:val="both"/>
        <w:rPr>
          <w:rFonts w:ascii="Arial Nova" w:eastAsia="Arial" w:hAnsi="Arial Nova" w:cs="Arial"/>
          <w:bCs/>
          <w:sz w:val="24"/>
          <w:szCs w:val="24"/>
        </w:rPr>
      </w:pPr>
      <w:r>
        <w:rPr>
          <w:rFonts w:ascii="Arial Nova" w:hAnsi="Arial Nova" w:cs="Arial"/>
          <w:noProof/>
          <w:sz w:val="24"/>
          <w:szCs w:val="24"/>
        </w:rPr>
        <w:t>En julio del presente año l</w:t>
      </w:r>
      <w:r w:rsidR="007E3BA2" w:rsidRPr="006968B6">
        <w:rPr>
          <w:rFonts w:ascii="Arial Nova" w:hAnsi="Arial Nova" w:cs="Arial"/>
          <w:noProof/>
          <w:sz w:val="24"/>
          <w:szCs w:val="24"/>
        </w:rPr>
        <w:t xml:space="preserve">a recaudación alcanzó los S/ </w:t>
      </w:r>
      <w:r w:rsidR="003B282C" w:rsidRPr="006968B6">
        <w:rPr>
          <w:rFonts w:ascii="Arial Nova" w:hAnsi="Arial Nova" w:cs="Arial"/>
          <w:noProof/>
          <w:sz w:val="24"/>
          <w:szCs w:val="24"/>
        </w:rPr>
        <w:t>10</w:t>
      </w:r>
      <w:r w:rsidR="007E3BA2" w:rsidRPr="006968B6">
        <w:rPr>
          <w:rFonts w:ascii="Arial Nova" w:hAnsi="Arial Nova" w:cs="Arial"/>
          <w:noProof/>
          <w:sz w:val="24"/>
          <w:szCs w:val="24"/>
        </w:rPr>
        <w:t xml:space="preserve"> </w:t>
      </w:r>
      <w:r w:rsidR="00F84840" w:rsidRPr="006968B6">
        <w:rPr>
          <w:rFonts w:ascii="Arial Nova" w:hAnsi="Arial Nova" w:cs="Arial"/>
          <w:noProof/>
          <w:sz w:val="24"/>
          <w:szCs w:val="24"/>
        </w:rPr>
        <w:t>3</w:t>
      </w:r>
      <w:r w:rsidR="008A7CE1">
        <w:rPr>
          <w:rFonts w:ascii="Arial Nova" w:hAnsi="Arial Nova" w:cs="Arial"/>
          <w:noProof/>
          <w:sz w:val="24"/>
          <w:szCs w:val="24"/>
        </w:rPr>
        <w:t>81</w:t>
      </w:r>
      <w:r w:rsidR="007E3BA2" w:rsidRPr="006968B6">
        <w:rPr>
          <w:rFonts w:ascii="Arial Nova" w:hAnsi="Arial Nova" w:cs="Arial"/>
          <w:noProof/>
          <w:sz w:val="24"/>
          <w:szCs w:val="24"/>
        </w:rPr>
        <w:t xml:space="preserve"> millones de ingresos tributarios del Gobierno Central Netos</w:t>
      </w:r>
      <w:r>
        <w:rPr>
          <w:rFonts w:ascii="Arial Nova" w:hAnsi="Arial Nova" w:cs="Arial"/>
          <w:noProof/>
          <w:sz w:val="24"/>
          <w:szCs w:val="24"/>
        </w:rPr>
        <w:t xml:space="preserve">, </w:t>
      </w:r>
      <w:r w:rsidR="007E3BA2" w:rsidRPr="006968B6">
        <w:rPr>
          <w:rFonts w:ascii="Arial Nova" w:hAnsi="Arial Nova" w:cs="Arial"/>
          <w:noProof/>
          <w:sz w:val="24"/>
          <w:szCs w:val="24"/>
        </w:rPr>
        <w:t>descontando las devoluciones de impuestos.</w:t>
      </w:r>
      <w:r>
        <w:rPr>
          <w:rFonts w:ascii="Arial Nova" w:hAnsi="Arial Nova" w:cs="Arial"/>
          <w:noProof/>
          <w:sz w:val="24"/>
          <w:szCs w:val="24"/>
        </w:rPr>
        <w:t xml:space="preserve"> El resultado del mes</w:t>
      </w:r>
      <w:r w:rsidRPr="008411BC">
        <w:rPr>
          <w:rFonts w:ascii="Arial Nova" w:eastAsia="Arial" w:hAnsi="Arial Nova" w:cs="Arial"/>
          <w:b/>
          <w:i/>
          <w:iCs/>
          <w:sz w:val="24"/>
          <w:szCs w:val="24"/>
        </w:rPr>
        <w:t xml:space="preserve"> </w:t>
      </w:r>
      <w:r w:rsidRPr="008411BC">
        <w:rPr>
          <w:rFonts w:ascii="Arial Nova" w:eastAsia="Arial" w:hAnsi="Arial Nova" w:cs="Arial"/>
          <w:bCs/>
          <w:sz w:val="24"/>
          <w:szCs w:val="24"/>
        </w:rPr>
        <w:t xml:space="preserve">fue condicionado tanto por la menor dinámica </w:t>
      </w:r>
      <w:r>
        <w:rPr>
          <w:rFonts w:ascii="Arial Nova" w:eastAsia="Arial" w:hAnsi="Arial Nova" w:cs="Arial"/>
          <w:bCs/>
          <w:sz w:val="24"/>
          <w:szCs w:val="24"/>
        </w:rPr>
        <w:t xml:space="preserve">de la actividad </w:t>
      </w:r>
      <w:r w:rsidRPr="008411BC">
        <w:rPr>
          <w:rFonts w:ascii="Arial Nova" w:eastAsia="Arial" w:hAnsi="Arial Nova" w:cs="Arial"/>
          <w:bCs/>
          <w:sz w:val="24"/>
          <w:szCs w:val="24"/>
        </w:rPr>
        <w:t xml:space="preserve">económica, </w:t>
      </w:r>
      <w:r>
        <w:rPr>
          <w:rFonts w:ascii="Arial Nova" w:eastAsia="Arial" w:hAnsi="Arial Nova" w:cs="Arial"/>
          <w:bCs/>
          <w:sz w:val="24"/>
          <w:szCs w:val="24"/>
        </w:rPr>
        <w:t xml:space="preserve">así </w:t>
      </w:r>
      <w:r w:rsidRPr="008411BC">
        <w:rPr>
          <w:rFonts w:ascii="Arial Nova" w:eastAsia="Arial" w:hAnsi="Arial Nova" w:cs="Arial"/>
          <w:bCs/>
          <w:sz w:val="24"/>
          <w:szCs w:val="24"/>
        </w:rPr>
        <w:t xml:space="preserve">como por los coeficientes empleados para el cálculo de los </w:t>
      </w:r>
      <w:r>
        <w:rPr>
          <w:rFonts w:ascii="Arial Nova" w:eastAsia="Arial" w:hAnsi="Arial Nova" w:cs="Arial"/>
          <w:bCs/>
          <w:sz w:val="24"/>
          <w:szCs w:val="24"/>
        </w:rPr>
        <w:t>p</w:t>
      </w:r>
      <w:r w:rsidRPr="008411BC">
        <w:rPr>
          <w:rFonts w:ascii="Arial Nova" w:eastAsia="Arial" w:hAnsi="Arial Nova" w:cs="Arial"/>
          <w:bCs/>
          <w:sz w:val="24"/>
          <w:szCs w:val="24"/>
        </w:rPr>
        <w:t xml:space="preserve">agos a </w:t>
      </w:r>
      <w:r>
        <w:rPr>
          <w:rFonts w:ascii="Arial Nova" w:eastAsia="Arial" w:hAnsi="Arial Nova" w:cs="Arial"/>
          <w:bCs/>
          <w:sz w:val="24"/>
          <w:szCs w:val="24"/>
        </w:rPr>
        <w:t>c</w:t>
      </w:r>
      <w:r w:rsidRPr="008411BC">
        <w:rPr>
          <w:rFonts w:ascii="Arial Nova" w:eastAsia="Arial" w:hAnsi="Arial Nova" w:cs="Arial"/>
          <w:bCs/>
          <w:sz w:val="24"/>
          <w:szCs w:val="24"/>
        </w:rPr>
        <w:t>uenta del Impuesto a la Renta</w:t>
      </w:r>
      <w:r>
        <w:rPr>
          <w:rFonts w:ascii="Arial Nova" w:eastAsia="Arial" w:hAnsi="Arial Nova" w:cs="Arial"/>
          <w:bCs/>
          <w:sz w:val="24"/>
          <w:szCs w:val="24"/>
        </w:rPr>
        <w:t>,</w:t>
      </w:r>
      <w:r w:rsidRPr="008411BC">
        <w:rPr>
          <w:rFonts w:ascii="Arial Nova" w:eastAsia="Arial" w:hAnsi="Arial Nova" w:cs="Arial"/>
          <w:bCs/>
          <w:sz w:val="24"/>
          <w:szCs w:val="24"/>
        </w:rPr>
        <w:t xml:space="preserve"> y por los mayores saldos a favor de los contribuyentes</w:t>
      </w:r>
      <w:r>
        <w:rPr>
          <w:rFonts w:ascii="Arial Nova" w:eastAsia="Arial" w:hAnsi="Arial Nova" w:cs="Arial"/>
          <w:bCs/>
          <w:sz w:val="24"/>
          <w:szCs w:val="24"/>
        </w:rPr>
        <w:t>.</w:t>
      </w:r>
    </w:p>
    <w:p w14:paraId="1E1AB297" w14:textId="1133BD95" w:rsidR="008411BC" w:rsidRDefault="008411BC" w:rsidP="008411BC">
      <w:pPr>
        <w:spacing w:before="240" w:line="240" w:lineRule="auto"/>
        <w:jc w:val="both"/>
        <w:rPr>
          <w:rFonts w:ascii="Arial Nova" w:hAnsi="Arial Nova" w:cs="Arial"/>
          <w:b/>
          <w:sz w:val="24"/>
          <w:szCs w:val="24"/>
        </w:rPr>
      </w:pPr>
      <w:r w:rsidRPr="006968B6">
        <w:rPr>
          <w:rFonts w:ascii="Arial Nova" w:hAnsi="Arial Nova" w:cs="Arial"/>
          <w:b/>
          <w:sz w:val="24"/>
          <w:szCs w:val="24"/>
        </w:rPr>
        <w:t>Resultados por tributos</w:t>
      </w:r>
    </w:p>
    <w:p w14:paraId="70439948" w14:textId="77777777" w:rsidR="008411BC" w:rsidRPr="006968B6" w:rsidRDefault="008411BC" w:rsidP="008411BC">
      <w:pPr>
        <w:pStyle w:val="Prrafodelista"/>
        <w:numPr>
          <w:ilvl w:val="0"/>
          <w:numId w:val="5"/>
        </w:numPr>
        <w:spacing w:before="240" w:line="240" w:lineRule="auto"/>
        <w:ind w:left="426"/>
        <w:contextualSpacing w:val="0"/>
        <w:jc w:val="both"/>
        <w:rPr>
          <w:rFonts w:ascii="Arial Nova" w:hAnsi="Arial Nova" w:cs="Arial"/>
          <w:bCs/>
          <w:sz w:val="24"/>
          <w:szCs w:val="24"/>
        </w:rPr>
      </w:pPr>
      <w:r w:rsidRPr="006968B6">
        <w:rPr>
          <w:rFonts w:ascii="Arial Nova" w:hAnsi="Arial Nova" w:cs="Arial"/>
          <w:b/>
          <w:sz w:val="24"/>
          <w:szCs w:val="24"/>
        </w:rPr>
        <w:t>Impuesto Selectivo al Consumo (ISC):</w:t>
      </w:r>
      <w:r w:rsidRPr="006968B6">
        <w:rPr>
          <w:rFonts w:ascii="Arial Nova" w:hAnsi="Arial Nova" w:cs="Arial"/>
          <w:bCs/>
          <w:sz w:val="24"/>
          <w:szCs w:val="24"/>
        </w:rPr>
        <w:t xml:space="preserve"> La recaudación del ISC alcanzó los S/ 86</w:t>
      </w:r>
      <w:r>
        <w:rPr>
          <w:rFonts w:ascii="Arial Nova" w:hAnsi="Arial Nova" w:cs="Arial"/>
          <w:bCs/>
          <w:sz w:val="24"/>
          <w:szCs w:val="24"/>
        </w:rPr>
        <w:t>7</w:t>
      </w:r>
      <w:r w:rsidRPr="006968B6">
        <w:rPr>
          <w:rFonts w:ascii="Arial Nova" w:hAnsi="Arial Nova" w:cs="Arial"/>
          <w:bCs/>
          <w:sz w:val="24"/>
          <w:szCs w:val="24"/>
        </w:rPr>
        <w:t xml:space="preserve"> millones, lo que representa un incremento del 4</w:t>
      </w:r>
      <w:r>
        <w:rPr>
          <w:rFonts w:ascii="Arial Nova" w:hAnsi="Arial Nova" w:cs="Arial"/>
          <w:bCs/>
          <w:sz w:val="24"/>
          <w:szCs w:val="24"/>
        </w:rPr>
        <w:t>9</w:t>
      </w:r>
      <w:r w:rsidRPr="006968B6">
        <w:rPr>
          <w:rFonts w:ascii="Arial Nova" w:hAnsi="Arial Nova" w:cs="Arial"/>
          <w:bCs/>
          <w:sz w:val="24"/>
          <w:szCs w:val="24"/>
        </w:rPr>
        <w:t>,</w:t>
      </w:r>
      <w:r>
        <w:rPr>
          <w:rFonts w:ascii="Arial Nova" w:hAnsi="Arial Nova" w:cs="Arial"/>
          <w:bCs/>
          <w:sz w:val="24"/>
          <w:szCs w:val="24"/>
        </w:rPr>
        <w:t>1</w:t>
      </w:r>
      <w:r w:rsidRPr="006968B6">
        <w:rPr>
          <w:rFonts w:ascii="Arial Nova" w:hAnsi="Arial Nova" w:cs="Arial"/>
          <w:bCs/>
          <w:sz w:val="24"/>
          <w:szCs w:val="24"/>
        </w:rPr>
        <w:t>%. El ISC Interno aumentó en un 11,</w:t>
      </w:r>
      <w:r>
        <w:rPr>
          <w:rFonts w:ascii="Arial Nova" w:hAnsi="Arial Nova" w:cs="Arial"/>
          <w:bCs/>
          <w:sz w:val="24"/>
          <w:szCs w:val="24"/>
        </w:rPr>
        <w:t>7</w:t>
      </w:r>
      <w:r w:rsidRPr="006968B6">
        <w:rPr>
          <w:rFonts w:ascii="Arial Nova" w:hAnsi="Arial Nova" w:cs="Arial"/>
          <w:bCs/>
          <w:sz w:val="24"/>
          <w:szCs w:val="24"/>
        </w:rPr>
        <w:t>%; por su parte, el ISC que grava a las importaciones aumentó en un 14</w:t>
      </w:r>
      <w:r>
        <w:rPr>
          <w:rFonts w:ascii="Arial Nova" w:hAnsi="Arial Nova" w:cs="Arial"/>
          <w:bCs/>
          <w:sz w:val="24"/>
          <w:szCs w:val="24"/>
        </w:rPr>
        <w:t>2</w:t>
      </w:r>
      <w:r w:rsidRPr="006968B6">
        <w:rPr>
          <w:rFonts w:ascii="Arial Nova" w:hAnsi="Arial Nova" w:cs="Arial"/>
          <w:bCs/>
          <w:sz w:val="24"/>
          <w:szCs w:val="24"/>
        </w:rPr>
        <w:t>,</w:t>
      </w:r>
      <w:r>
        <w:rPr>
          <w:rFonts w:ascii="Arial Nova" w:hAnsi="Arial Nova" w:cs="Arial"/>
          <w:bCs/>
          <w:sz w:val="24"/>
          <w:szCs w:val="24"/>
        </w:rPr>
        <w:t>1</w:t>
      </w:r>
      <w:r w:rsidRPr="006968B6">
        <w:rPr>
          <w:rFonts w:ascii="Arial Nova" w:hAnsi="Arial Nova" w:cs="Arial"/>
          <w:bCs/>
          <w:sz w:val="24"/>
          <w:szCs w:val="24"/>
        </w:rPr>
        <w:t>%.</w:t>
      </w:r>
    </w:p>
    <w:p w14:paraId="6C5C4030" w14:textId="77777777" w:rsidR="008411BC" w:rsidRPr="006968B6" w:rsidRDefault="008411BC" w:rsidP="008411BC">
      <w:pPr>
        <w:spacing w:before="240" w:line="240" w:lineRule="auto"/>
        <w:ind w:left="426"/>
        <w:jc w:val="both"/>
        <w:rPr>
          <w:rFonts w:ascii="Arial Nova" w:hAnsi="Arial Nova" w:cs="Arial"/>
          <w:bCs/>
          <w:sz w:val="24"/>
          <w:szCs w:val="24"/>
        </w:rPr>
      </w:pPr>
      <w:r w:rsidRPr="006968B6">
        <w:rPr>
          <w:rFonts w:ascii="Arial Nova" w:hAnsi="Arial Nova" w:cs="Arial"/>
          <w:bCs/>
          <w:sz w:val="24"/>
          <w:szCs w:val="24"/>
        </w:rPr>
        <w:t xml:space="preserve">Al respecto, se debe mencionar que en junio de 2022 se encontraba en aplicación el Decreto Supremo </w:t>
      </w:r>
      <w:proofErr w:type="spellStart"/>
      <w:r w:rsidRPr="006968B6">
        <w:rPr>
          <w:rFonts w:ascii="Arial Nova" w:hAnsi="Arial Nova" w:cs="Arial"/>
          <w:bCs/>
          <w:sz w:val="24"/>
          <w:szCs w:val="24"/>
        </w:rPr>
        <w:t>N°</w:t>
      </w:r>
      <w:proofErr w:type="spellEnd"/>
      <w:r w:rsidRPr="006968B6">
        <w:rPr>
          <w:rFonts w:ascii="Arial Nova" w:hAnsi="Arial Nova" w:cs="Arial"/>
          <w:bCs/>
          <w:sz w:val="24"/>
          <w:szCs w:val="24"/>
        </w:rPr>
        <w:t xml:space="preserve"> 068-2022-EF que excluyó temporalmente a la gasolina y diésel de aplicación del impuesto; lo cual explica el aumento obtenido.</w:t>
      </w:r>
    </w:p>
    <w:p w14:paraId="0141FA24" w14:textId="77777777" w:rsidR="008411BC" w:rsidRPr="006968B6" w:rsidRDefault="008411BC" w:rsidP="008411BC">
      <w:pPr>
        <w:pStyle w:val="Prrafodelista"/>
        <w:numPr>
          <w:ilvl w:val="0"/>
          <w:numId w:val="5"/>
        </w:numPr>
        <w:spacing w:before="240" w:line="240" w:lineRule="auto"/>
        <w:ind w:left="426"/>
        <w:contextualSpacing w:val="0"/>
        <w:jc w:val="both"/>
        <w:rPr>
          <w:rFonts w:ascii="Arial Nova" w:hAnsi="Arial Nova" w:cs="Arial"/>
          <w:b/>
          <w:sz w:val="24"/>
          <w:szCs w:val="24"/>
        </w:rPr>
      </w:pPr>
      <w:r w:rsidRPr="006968B6">
        <w:rPr>
          <w:rFonts w:ascii="Arial Nova" w:hAnsi="Arial Nova" w:cs="Arial"/>
          <w:b/>
          <w:sz w:val="24"/>
          <w:szCs w:val="24"/>
        </w:rPr>
        <w:t xml:space="preserve">Impuesto a la Renta: </w:t>
      </w:r>
      <w:r w:rsidRPr="006968B6">
        <w:rPr>
          <w:rFonts w:ascii="Arial Nova" w:hAnsi="Arial Nova" w:cs="Arial"/>
          <w:bCs/>
          <w:sz w:val="24"/>
          <w:szCs w:val="24"/>
        </w:rPr>
        <w:t>En julio, se recaudaron S/ 3,9</w:t>
      </w:r>
      <w:r>
        <w:rPr>
          <w:rFonts w:ascii="Arial Nova" w:hAnsi="Arial Nova" w:cs="Arial"/>
          <w:bCs/>
          <w:sz w:val="24"/>
          <w:szCs w:val="24"/>
        </w:rPr>
        <w:t>60</w:t>
      </w:r>
      <w:r w:rsidRPr="006968B6">
        <w:rPr>
          <w:rFonts w:ascii="Arial Nova" w:hAnsi="Arial Nova" w:cs="Arial"/>
          <w:bCs/>
          <w:sz w:val="24"/>
          <w:szCs w:val="24"/>
        </w:rPr>
        <w:t xml:space="preserve"> millones por este impuesto, lo que representa una disminución del 1</w:t>
      </w:r>
      <w:r>
        <w:rPr>
          <w:rFonts w:ascii="Arial Nova" w:hAnsi="Arial Nova" w:cs="Arial"/>
          <w:bCs/>
          <w:sz w:val="24"/>
          <w:szCs w:val="24"/>
        </w:rPr>
        <w:t>1</w:t>
      </w:r>
      <w:r w:rsidRPr="006968B6">
        <w:rPr>
          <w:rFonts w:ascii="Arial Nova" w:hAnsi="Arial Nova" w:cs="Arial"/>
          <w:bCs/>
          <w:sz w:val="24"/>
          <w:szCs w:val="24"/>
        </w:rPr>
        <w:t>,</w:t>
      </w:r>
      <w:r>
        <w:rPr>
          <w:rFonts w:ascii="Arial Nova" w:hAnsi="Arial Nova" w:cs="Arial"/>
          <w:bCs/>
          <w:sz w:val="24"/>
          <w:szCs w:val="24"/>
        </w:rPr>
        <w:t>3</w:t>
      </w:r>
      <w:r w:rsidRPr="006968B6">
        <w:rPr>
          <w:rFonts w:ascii="Arial Nova" w:hAnsi="Arial Nova" w:cs="Arial"/>
          <w:bCs/>
          <w:sz w:val="24"/>
          <w:szCs w:val="24"/>
        </w:rPr>
        <w:t>% en comparación con el mismo mes del año 2022.</w:t>
      </w:r>
    </w:p>
    <w:p w14:paraId="5B25DBCB" w14:textId="5BFD2589" w:rsidR="008411BC" w:rsidRPr="006968B6" w:rsidRDefault="008411BC" w:rsidP="008411BC">
      <w:pPr>
        <w:spacing w:before="240" w:line="240" w:lineRule="auto"/>
        <w:ind w:left="426"/>
        <w:jc w:val="both"/>
        <w:rPr>
          <w:rFonts w:ascii="Arial Nova" w:hAnsi="Arial Nova" w:cs="Arial"/>
          <w:sz w:val="24"/>
          <w:szCs w:val="24"/>
        </w:rPr>
      </w:pPr>
      <w:bookmarkStart w:id="0" w:name="_Hlk131425485"/>
      <w:r w:rsidRPr="006968B6">
        <w:rPr>
          <w:rFonts w:ascii="Arial Nova" w:hAnsi="Arial Nova" w:cs="Arial"/>
          <w:sz w:val="24"/>
          <w:szCs w:val="24"/>
        </w:rPr>
        <w:t>La disminución principalmente se debió a los menores pagos a cuenta de la Tercera Categoría tanto del Régimen General (-20,</w:t>
      </w:r>
      <w:r>
        <w:rPr>
          <w:rFonts w:ascii="Arial Nova" w:hAnsi="Arial Nova" w:cs="Arial"/>
          <w:sz w:val="24"/>
          <w:szCs w:val="24"/>
        </w:rPr>
        <w:t>5</w:t>
      </w:r>
      <w:r w:rsidRPr="006968B6">
        <w:rPr>
          <w:rFonts w:ascii="Arial Nova" w:hAnsi="Arial Nova" w:cs="Arial"/>
          <w:sz w:val="24"/>
          <w:szCs w:val="24"/>
        </w:rPr>
        <w:t>%) como del Régimen MYPE Tributario (-</w:t>
      </w:r>
      <w:r>
        <w:rPr>
          <w:rFonts w:ascii="Arial Nova" w:hAnsi="Arial Nova" w:cs="Arial"/>
          <w:sz w:val="24"/>
          <w:szCs w:val="24"/>
        </w:rPr>
        <w:t>7</w:t>
      </w:r>
      <w:r w:rsidRPr="006968B6">
        <w:rPr>
          <w:rFonts w:ascii="Arial Nova" w:hAnsi="Arial Nova" w:cs="Arial"/>
          <w:sz w:val="24"/>
          <w:szCs w:val="24"/>
        </w:rPr>
        <w:t>,</w:t>
      </w:r>
      <w:r>
        <w:rPr>
          <w:rFonts w:ascii="Arial Nova" w:hAnsi="Arial Nova" w:cs="Arial"/>
          <w:sz w:val="24"/>
          <w:szCs w:val="24"/>
        </w:rPr>
        <w:t>2</w:t>
      </w:r>
      <w:r w:rsidRPr="006968B6">
        <w:rPr>
          <w:rFonts w:ascii="Arial Nova" w:hAnsi="Arial Nova" w:cs="Arial"/>
          <w:sz w:val="24"/>
          <w:szCs w:val="24"/>
        </w:rPr>
        <w:t>%), a la Segunda Categoría (-</w:t>
      </w:r>
      <w:r>
        <w:rPr>
          <w:rFonts w:ascii="Arial Nova" w:hAnsi="Arial Nova" w:cs="Arial"/>
          <w:sz w:val="24"/>
          <w:szCs w:val="24"/>
        </w:rPr>
        <w:t>1</w:t>
      </w:r>
      <w:r w:rsidRPr="006968B6">
        <w:rPr>
          <w:rFonts w:ascii="Arial Nova" w:hAnsi="Arial Nova" w:cs="Arial"/>
          <w:sz w:val="24"/>
          <w:szCs w:val="24"/>
        </w:rPr>
        <w:t>,</w:t>
      </w:r>
      <w:r>
        <w:rPr>
          <w:rFonts w:ascii="Arial Nova" w:hAnsi="Arial Nova" w:cs="Arial"/>
          <w:sz w:val="24"/>
          <w:szCs w:val="24"/>
        </w:rPr>
        <w:t>9</w:t>
      </w:r>
      <w:r w:rsidRPr="006968B6">
        <w:rPr>
          <w:rFonts w:ascii="Arial Nova" w:hAnsi="Arial Nova" w:cs="Arial"/>
          <w:sz w:val="24"/>
          <w:szCs w:val="24"/>
        </w:rPr>
        <w:t>%), Cuarta Categoría (-1</w:t>
      </w:r>
      <w:r>
        <w:rPr>
          <w:rFonts w:ascii="Arial Nova" w:hAnsi="Arial Nova" w:cs="Arial"/>
          <w:sz w:val="24"/>
          <w:szCs w:val="24"/>
        </w:rPr>
        <w:t>2</w:t>
      </w:r>
      <w:r w:rsidRPr="006968B6">
        <w:rPr>
          <w:rFonts w:ascii="Arial Nova" w:hAnsi="Arial Nova" w:cs="Arial"/>
          <w:sz w:val="24"/>
          <w:szCs w:val="24"/>
        </w:rPr>
        <w:t>,</w:t>
      </w:r>
      <w:r>
        <w:rPr>
          <w:rFonts w:ascii="Arial Nova" w:hAnsi="Arial Nova" w:cs="Arial"/>
          <w:sz w:val="24"/>
          <w:szCs w:val="24"/>
        </w:rPr>
        <w:t>6</w:t>
      </w:r>
      <w:r w:rsidRPr="006968B6">
        <w:rPr>
          <w:rFonts w:ascii="Arial Nova" w:hAnsi="Arial Nova" w:cs="Arial"/>
          <w:sz w:val="24"/>
          <w:szCs w:val="24"/>
        </w:rPr>
        <w:t>%), Régimen Especial de Renta (-</w:t>
      </w:r>
      <w:r>
        <w:rPr>
          <w:rFonts w:ascii="Arial Nova" w:hAnsi="Arial Nova" w:cs="Arial"/>
          <w:sz w:val="24"/>
          <w:szCs w:val="24"/>
        </w:rPr>
        <w:t>3</w:t>
      </w:r>
      <w:r w:rsidRPr="006968B6">
        <w:rPr>
          <w:rFonts w:ascii="Arial Nova" w:hAnsi="Arial Nova" w:cs="Arial"/>
          <w:sz w:val="24"/>
          <w:szCs w:val="24"/>
        </w:rPr>
        <w:t>,</w:t>
      </w:r>
      <w:r>
        <w:rPr>
          <w:rFonts w:ascii="Arial Nova" w:hAnsi="Arial Nova" w:cs="Arial"/>
          <w:sz w:val="24"/>
          <w:szCs w:val="24"/>
        </w:rPr>
        <w:t>8</w:t>
      </w:r>
      <w:r w:rsidRPr="006968B6">
        <w:rPr>
          <w:rFonts w:ascii="Arial Nova" w:hAnsi="Arial Nova" w:cs="Arial"/>
          <w:sz w:val="24"/>
          <w:szCs w:val="24"/>
        </w:rPr>
        <w:t>%), Quinta Categoría (-</w:t>
      </w:r>
      <w:r>
        <w:rPr>
          <w:rFonts w:ascii="Arial Nova" w:hAnsi="Arial Nova" w:cs="Arial"/>
          <w:sz w:val="24"/>
          <w:szCs w:val="24"/>
        </w:rPr>
        <w:t>2,2</w:t>
      </w:r>
      <w:r w:rsidRPr="006968B6">
        <w:rPr>
          <w:rFonts w:ascii="Arial Nova" w:hAnsi="Arial Nova" w:cs="Arial"/>
          <w:sz w:val="24"/>
          <w:szCs w:val="24"/>
        </w:rPr>
        <w:t>%) y Otras Rentas (-3</w:t>
      </w:r>
      <w:r>
        <w:rPr>
          <w:rFonts w:ascii="Arial Nova" w:hAnsi="Arial Nova" w:cs="Arial"/>
          <w:sz w:val="24"/>
          <w:szCs w:val="24"/>
        </w:rPr>
        <w:t>5</w:t>
      </w:r>
      <w:r w:rsidRPr="006968B6">
        <w:rPr>
          <w:rFonts w:ascii="Arial Nova" w:hAnsi="Arial Nova" w:cs="Arial"/>
          <w:sz w:val="24"/>
          <w:szCs w:val="24"/>
        </w:rPr>
        <w:t>,</w:t>
      </w:r>
      <w:r>
        <w:rPr>
          <w:rFonts w:ascii="Arial Nova" w:hAnsi="Arial Nova" w:cs="Arial"/>
          <w:sz w:val="24"/>
          <w:szCs w:val="24"/>
        </w:rPr>
        <w:t>6</w:t>
      </w:r>
      <w:r w:rsidRPr="006968B6">
        <w:rPr>
          <w:rFonts w:ascii="Arial Nova" w:hAnsi="Arial Nova" w:cs="Arial"/>
          <w:sz w:val="24"/>
          <w:szCs w:val="24"/>
        </w:rPr>
        <w:t>%). Sin embargo, se registraron incrementos en los pagos asociados a las Rentas de sujetos no domiciliados (23,</w:t>
      </w:r>
      <w:r>
        <w:rPr>
          <w:rFonts w:ascii="Arial Nova" w:hAnsi="Arial Nova" w:cs="Arial"/>
          <w:sz w:val="24"/>
          <w:szCs w:val="24"/>
        </w:rPr>
        <w:t>7</w:t>
      </w:r>
      <w:r w:rsidRPr="006968B6">
        <w:rPr>
          <w:rFonts w:ascii="Arial Nova" w:hAnsi="Arial Nova" w:cs="Arial"/>
          <w:sz w:val="24"/>
          <w:szCs w:val="24"/>
        </w:rPr>
        <w:t>%)</w:t>
      </w:r>
      <w:r>
        <w:rPr>
          <w:rFonts w:ascii="Arial Nova" w:hAnsi="Arial Nova" w:cs="Arial"/>
          <w:sz w:val="24"/>
          <w:szCs w:val="24"/>
        </w:rPr>
        <w:t xml:space="preserve">, </w:t>
      </w:r>
      <w:r w:rsidRPr="006968B6">
        <w:rPr>
          <w:rFonts w:ascii="Arial Nova" w:hAnsi="Arial Nova" w:cs="Arial"/>
          <w:sz w:val="24"/>
          <w:szCs w:val="24"/>
        </w:rPr>
        <w:t>Regularización (3,</w:t>
      </w:r>
      <w:r>
        <w:rPr>
          <w:rFonts w:ascii="Arial Nova" w:hAnsi="Arial Nova" w:cs="Arial"/>
          <w:sz w:val="24"/>
          <w:szCs w:val="24"/>
        </w:rPr>
        <w:t>3</w:t>
      </w:r>
      <w:r w:rsidRPr="006968B6">
        <w:rPr>
          <w:rFonts w:ascii="Arial Nova" w:hAnsi="Arial Nova" w:cs="Arial"/>
          <w:sz w:val="24"/>
          <w:szCs w:val="24"/>
        </w:rPr>
        <w:t>%), y de Primera Categoría (3,</w:t>
      </w:r>
      <w:r>
        <w:rPr>
          <w:rFonts w:ascii="Arial Nova" w:hAnsi="Arial Nova" w:cs="Arial"/>
          <w:sz w:val="24"/>
          <w:szCs w:val="24"/>
        </w:rPr>
        <w:t>5</w:t>
      </w:r>
      <w:r w:rsidRPr="006968B6">
        <w:rPr>
          <w:rFonts w:ascii="Arial Nova" w:hAnsi="Arial Nova" w:cs="Arial"/>
          <w:sz w:val="24"/>
          <w:szCs w:val="24"/>
        </w:rPr>
        <w:t>%).</w:t>
      </w:r>
    </w:p>
    <w:bookmarkEnd w:id="0"/>
    <w:p w14:paraId="566DD4BC" w14:textId="46A8B0D4" w:rsidR="008411BC" w:rsidRPr="006968B6" w:rsidRDefault="008411BC" w:rsidP="008411BC">
      <w:pPr>
        <w:spacing w:before="240" w:line="240" w:lineRule="auto"/>
        <w:ind w:left="426"/>
        <w:jc w:val="both"/>
        <w:rPr>
          <w:rFonts w:ascii="Arial Nova" w:eastAsia="Arial" w:hAnsi="Arial Nova" w:cs="Arial"/>
          <w:sz w:val="24"/>
          <w:szCs w:val="24"/>
        </w:rPr>
      </w:pPr>
      <w:r>
        <w:rPr>
          <w:rFonts w:ascii="Arial Nova" w:hAnsi="Arial Nova" w:cs="Arial"/>
          <w:sz w:val="24"/>
          <w:szCs w:val="24"/>
        </w:rPr>
        <w:t>Los</w:t>
      </w:r>
      <w:r w:rsidRPr="006968B6">
        <w:rPr>
          <w:rFonts w:ascii="Arial Nova" w:hAnsi="Arial Nova" w:cs="Arial"/>
          <w:sz w:val="24"/>
          <w:szCs w:val="24"/>
        </w:rPr>
        <w:t xml:space="preserve"> menores pagos a cuenta mensuales se deben tanto a la reducción de los coeficientes utilizados para su cálculo</w:t>
      </w:r>
      <w:r>
        <w:rPr>
          <w:rFonts w:ascii="Arial Nova" w:hAnsi="Arial Nova" w:cs="Arial"/>
          <w:sz w:val="24"/>
          <w:szCs w:val="24"/>
        </w:rPr>
        <w:t xml:space="preserve"> -en comparación a aquellos empleados el año anterior- </w:t>
      </w:r>
      <w:r w:rsidRPr="006968B6">
        <w:rPr>
          <w:rFonts w:ascii="Arial Nova" w:hAnsi="Arial Nova" w:cs="Arial"/>
          <w:sz w:val="24"/>
          <w:szCs w:val="24"/>
        </w:rPr>
        <w:t>como al uso de los mayores saldos a favor declarados por parte de los contribuyentes, factores que seguirán afectando la recaudación de este concepto en los siguientes meses del año. Además, se añade el impacto de las menores cotizaciones internacionales de algunos productos exportados en comparación con los primeros meses del año.</w:t>
      </w:r>
    </w:p>
    <w:p w14:paraId="4E871B5E" w14:textId="77777777" w:rsidR="008411BC" w:rsidRPr="006968B6" w:rsidRDefault="008411BC" w:rsidP="008411BC">
      <w:pPr>
        <w:pStyle w:val="Prrafodelista"/>
        <w:numPr>
          <w:ilvl w:val="0"/>
          <w:numId w:val="5"/>
        </w:numPr>
        <w:spacing w:before="240" w:line="240" w:lineRule="auto"/>
        <w:ind w:left="426"/>
        <w:contextualSpacing w:val="0"/>
        <w:jc w:val="both"/>
        <w:rPr>
          <w:rFonts w:ascii="Arial Nova" w:hAnsi="Arial Nova" w:cs="Arial"/>
          <w:bCs/>
          <w:sz w:val="24"/>
          <w:szCs w:val="24"/>
        </w:rPr>
      </w:pPr>
      <w:r w:rsidRPr="006968B6">
        <w:rPr>
          <w:rFonts w:ascii="Arial Nova" w:hAnsi="Arial Nova" w:cs="Arial"/>
          <w:b/>
          <w:sz w:val="24"/>
          <w:szCs w:val="24"/>
        </w:rPr>
        <w:lastRenderedPageBreak/>
        <w:t>Impuesto General a las Ventas (IGV):</w:t>
      </w:r>
      <w:r w:rsidRPr="006968B6">
        <w:rPr>
          <w:rFonts w:ascii="Arial Nova" w:hAnsi="Arial Nova" w:cs="Arial"/>
          <w:bCs/>
          <w:sz w:val="24"/>
          <w:szCs w:val="24"/>
        </w:rPr>
        <w:t xml:space="preserve"> La recaudación del IGV alcanzó los S/ 6,77</w:t>
      </w:r>
      <w:r>
        <w:rPr>
          <w:rFonts w:ascii="Arial Nova" w:hAnsi="Arial Nova" w:cs="Arial"/>
          <w:bCs/>
          <w:sz w:val="24"/>
          <w:szCs w:val="24"/>
        </w:rPr>
        <w:t>9</w:t>
      </w:r>
      <w:r w:rsidRPr="006968B6">
        <w:rPr>
          <w:rFonts w:ascii="Arial Nova" w:hAnsi="Arial Nova" w:cs="Arial"/>
          <w:bCs/>
          <w:sz w:val="24"/>
          <w:szCs w:val="24"/>
        </w:rPr>
        <w:t xml:space="preserve"> millones, lo que representa una disminución del 9,7% en comparación con el mismo mes del año 2022.</w:t>
      </w:r>
    </w:p>
    <w:p w14:paraId="3031D4A5" w14:textId="0B82763B" w:rsidR="008411BC" w:rsidRPr="006968B6" w:rsidRDefault="008411BC" w:rsidP="008411BC">
      <w:pPr>
        <w:spacing w:before="240" w:line="240" w:lineRule="auto"/>
        <w:ind w:left="426"/>
        <w:jc w:val="both"/>
        <w:rPr>
          <w:rFonts w:ascii="Arial Nova" w:hAnsi="Arial Nova" w:cs="Arial"/>
          <w:bCs/>
          <w:sz w:val="24"/>
          <w:szCs w:val="24"/>
        </w:rPr>
      </w:pPr>
      <w:r w:rsidRPr="006968B6">
        <w:rPr>
          <w:rFonts w:ascii="Arial Nova" w:hAnsi="Arial Nova" w:cs="Arial"/>
          <w:bCs/>
          <w:sz w:val="24"/>
          <w:szCs w:val="24"/>
        </w:rPr>
        <w:t>El IGV Interno disminuyó en un 0,</w:t>
      </w:r>
      <w:r>
        <w:rPr>
          <w:rFonts w:ascii="Arial Nova" w:hAnsi="Arial Nova" w:cs="Arial"/>
          <w:bCs/>
          <w:sz w:val="24"/>
          <w:szCs w:val="24"/>
        </w:rPr>
        <w:t>5</w:t>
      </w:r>
      <w:r w:rsidRPr="006968B6">
        <w:rPr>
          <w:rFonts w:ascii="Arial Nova" w:hAnsi="Arial Nova" w:cs="Arial"/>
          <w:bCs/>
          <w:sz w:val="24"/>
          <w:szCs w:val="24"/>
        </w:rPr>
        <w:t>% y recaudó S/ 3,91</w:t>
      </w:r>
      <w:r>
        <w:rPr>
          <w:rFonts w:ascii="Arial Nova" w:hAnsi="Arial Nova" w:cs="Arial"/>
          <w:bCs/>
          <w:sz w:val="24"/>
          <w:szCs w:val="24"/>
        </w:rPr>
        <w:t>1</w:t>
      </w:r>
      <w:r w:rsidRPr="006968B6">
        <w:rPr>
          <w:rFonts w:ascii="Arial Nova" w:hAnsi="Arial Nova" w:cs="Arial"/>
          <w:bCs/>
          <w:sz w:val="24"/>
          <w:szCs w:val="24"/>
        </w:rPr>
        <w:t xml:space="preserve"> millones, lo que refleja principalmente la menor </w:t>
      </w:r>
      <w:r>
        <w:rPr>
          <w:rFonts w:ascii="Arial Nova" w:hAnsi="Arial Nova" w:cs="Arial"/>
          <w:bCs/>
          <w:sz w:val="24"/>
          <w:szCs w:val="24"/>
        </w:rPr>
        <w:t>d</w:t>
      </w:r>
      <w:r w:rsidRPr="006968B6">
        <w:rPr>
          <w:rFonts w:ascii="Arial Nova" w:hAnsi="Arial Nova" w:cs="Arial"/>
          <w:bCs/>
          <w:sz w:val="24"/>
          <w:szCs w:val="24"/>
        </w:rPr>
        <w:t xml:space="preserve">emanda </w:t>
      </w:r>
      <w:r>
        <w:rPr>
          <w:rFonts w:ascii="Arial Nova" w:hAnsi="Arial Nova" w:cs="Arial"/>
          <w:bCs/>
          <w:sz w:val="24"/>
          <w:szCs w:val="24"/>
        </w:rPr>
        <w:t>i</w:t>
      </w:r>
      <w:r w:rsidRPr="006968B6">
        <w:rPr>
          <w:rFonts w:ascii="Arial Nova" w:hAnsi="Arial Nova" w:cs="Arial"/>
          <w:bCs/>
          <w:sz w:val="24"/>
          <w:szCs w:val="24"/>
        </w:rPr>
        <w:t xml:space="preserve">nterna, la menor cotización internacional del gas y la aplicación de la tasa reducida del impuesto a los Restaurantes y Hoteles, aprobada mediante la Ley </w:t>
      </w:r>
      <w:proofErr w:type="spellStart"/>
      <w:r w:rsidRPr="006968B6">
        <w:rPr>
          <w:rFonts w:ascii="Arial Nova" w:hAnsi="Arial Nova" w:cs="Arial"/>
          <w:bCs/>
          <w:sz w:val="24"/>
          <w:szCs w:val="24"/>
        </w:rPr>
        <w:t>N°</w:t>
      </w:r>
      <w:proofErr w:type="spellEnd"/>
      <w:r w:rsidRPr="006968B6">
        <w:rPr>
          <w:rFonts w:ascii="Arial Nova" w:hAnsi="Arial Nova" w:cs="Arial"/>
          <w:bCs/>
          <w:sz w:val="24"/>
          <w:szCs w:val="24"/>
        </w:rPr>
        <w:t xml:space="preserve"> 31556. Por su parte, el IGV que grava a las importaciones recaudó S/ 2,86</w:t>
      </w:r>
      <w:r>
        <w:rPr>
          <w:rFonts w:ascii="Arial Nova" w:hAnsi="Arial Nova" w:cs="Arial"/>
          <w:bCs/>
          <w:sz w:val="24"/>
          <w:szCs w:val="24"/>
        </w:rPr>
        <w:t>8</w:t>
      </w:r>
      <w:r w:rsidRPr="006968B6">
        <w:rPr>
          <w:rFonts w:ascii="Arial Nova" w:hAnsi="Arial Nova" w:cs="Arial"/>
          <w:bCs/>
          <w:sz w:val="24"/>
          <w:szCs w:val="24"/>
        </w:rPr>
        <w:t xml:space="preserve"> millones, lo que representa una disminución del </w:t>
      </w:r>
      <w:r>
        <w:rPr>
          <w:rFonts w:ascii="Arial Nova" w:hAnsi="Arial Nova" w:cs="Arial"/>
          <w:bCs/>
          <w:sz w:val="24"/>
          <w:szCs w:val="24"/>
        </w:rPr>
        <w:t>19</w:t>
      </w:r>
      <w:r w:rsidRPr="006968B6">
        <w:rPr>
          <w:rFonts w:ascii="Arial Nova" w:hAnsi="Arial Nova" w:cs="Arial"/>
          <w:bCs/>
          <w:sz w:val="24"/>
          <w:szCs w:val="24"/>
        </w:rPr>
        <w:t>,</w:t>
      </w:r>
      <w:r>
        <w:rPr>
          <w:rFonts w:ascii="Arial Nova" w:hAnsi="Arial Nova" w:cs="Arial"/>
          <w:bCs/>
          <w:sz w:val="24"/>
          <w:szCs w:val="24"/>
        </w:rPr>
        <w:t>8</w:t>
      </w:r>
      <w:r w:rsidRPr="006968B6">
        <w:rPr>
          <w:rFonts w:ascii="Arial Nova" w:hAnsi="Arial Nova" w:cs="Arial"/>
          <w:bCs/>
          <w:sz w:val="24"/>
          <w:szCs w:val="24"/>
        </w:rPr>
        <w:t>% en comparación con julio del año 2022, en un contexto de contracción de las importaciones (-2</w:t>
      </w:r>
      <w:r>
        <w:rPr>
          <w:rFonts w:ascii="Arial Nova" w:hAnsi="Arial Nova" w:cs="Arial"/>
          <w:bCs/>
          <w:sz w:val="24"/>
          <w:szCs w:val="24"/>
        </w:rPr>
        <w:t>2,0%</w:t>
      </w:r>
      <w:r w:rsidRPr="006968B6">
        <w:rPr>
          <w:rFonts w:ascii="Arial Nova" w:hAnsi="Arial Nova" w:cs="Arial"/>
          <w:bCs/>
          <w:sz w:val="24"/>
          <w:szCs w:val="24"/>
        </w:rPr>
        <w:t>) y un menor tipo de cambio (-7,4%) en comparación con el mismo mes del año anterior.</w:t>
      </w:r>
    </w:p>
    <w:p w14:paraId="24092925" w14:textId="25FF1038" w:rsidR="008411BC" w:rsidRPr="006968B6" w:rsidRDefault="008411BC" w:rsidP="008411BC">
      <w:pPr>
        <w:pStyle w:val="Prrafodelista"/>
        <w:numPr>
          <w:ilvl w:val="0"/>
          <w:numId w:val="17"/>
        </w:numPr>
        <w:spacing w:before="240" w:line="240" w:lineRule="auto"/>
        <w:contextualSpacing w:val="0"/>
        <w:jc w:val="both"/>
        <w:rPr>
          <w:rFonts w:ascii="Arial Nova" w:hAnsi="Arial Nova" w:cs="Arial"/>
          <w:bCs/>
          <w:sz w:val="24"/>
          <w:szCs w:val="24"/>
        </w:rPr>
      </w:pPr>
      <w:r w:rsidRPr="006968B6">
        <w:rPr>
          <w:rFonts w:ascii="Arial Nova" w:hAnsi="Arial Nova" w:cs="Arial"/>
          <w:b/>
          <w:sz w:val="24"/>
          <w:szCs w:val="24"/>
        </w:rPr>
        <w:t>Otros ingresos:</w:t>
      </w:r>
      <w:r w:rsidRPr="006968B6">
        <w:rPr>
          <w:rFonts w:ascii="Arial Nova" w:hAnsi="Arial Nova" w:cs="Arial"/>
          <w:bCs/>
          <w:sz w:val="24"/>
          <w:szCs w:val="24"/>
        </w:rPr>
        <w:t xml:space="preserve"> La recaudación asociada a este rubro ascendió a S/ 1 3</w:t>
      </w:r>
      <w:r>
        <w:rPr>
          <w:rFonts w:ascii="Arial Nova" w:hAnsi="Arial Nova" w:cs="Arial"/>
          <w:bCs/>
          <w:sz w:val="24"/>
          <w:szCs w:val="24"/>
        </w:rPr>
        <w:t>15</w:t>
      </w:r>
      <w:r w:rsidRPr="006968B6">
        <w:rPr>
          <w:rFonts w:ascii="Arial Nova" w:hAnsi="Arial Nova" w:cs="Arial"/>
          <w:bCs/>
          <w:sz w:val="24"/>
          <w:szCs w:val="24"/>
        </w:rPr>
        <w:t xml:space="preserve"> millones, monto que representa un incremento de 1</w:t>
      </w:r>
      <w:r>
        <w:rPr>
          <w:rFonts w:ascii="Arial Nova" w:hAnsi="Arial Nova" w:cs="Arial"/>
          <w:bCs/>
          <w:sz w:val="24"/>
          <w:szCs w:val="24"/>
        </w:rPr>
        <w:t>2</w:t>
      </w:r>
      <w:r w:rsidRPr="006968B6">
        <w:rPr>
          <w:rFonts w:ascii="Arial Nova" w:hAnsi="Arial Nova" w:cs="Arial"/>
          <w:bCs/>
          <w:sz w:val="24"/>
          <w:szCs w:val="24"/>
        </w:rPr>
        <w:t>,</w:t>
      </w:r>
      <w:r>
        <w:rPr>
          <w:rFonts w:ascii="Arial Nova" w:hAnsi="Arial Nova" w:cs="Arial"/>
          <w:bCs/>
          <w:sz w:val="24"/>
          <w:szCs w:val="24"/>
        </w:rPr>
        <w:t>8</w:t>
      </w:r>
      <w:r w:rsidRPr="006968B6">
        <w:rPr>
          <w:rFonts w:ascii="Arial Nova" w:hAnsi="Arial Nova" w:cs="Arial"/>
          <w:bCs/>
          <w:sz w:val="24"/>
          <w:szCs w:val="24"/>
        </w:rPr>
        <w:t>% con respecto a lo obtenido en julio del año 2022. Dicho resultado se explicó por los mayores pagos correspondientes a Multas (20</w:t>
      </w:r>
      <w:r>
        <w:rPr>
          <w:rFonts w:ascii="Arial Nova" w:hAnsi="Arial Nova" w:cs="Arial"/>
          <w:bCs/>
          <w:sz w:val="24"/>
          <w:szCs w:val="24"/>
        </w:rPr>
        <w:t>9</w:t>
      </w:r>
      <w:r w:rsidRPr="006968B6">
        <w:rPr>
          <w:rFonts w:ascii="Arial Nova" w:hAnsi="Arial Nova" w:cs="Arial"/>
          <w:bCs/>
          <w:sz w:val="24"/>
          <w:szCs w:val="24"/>
        </w:rPr>
        <w:t>,</w:t>
      </w:r>
      <w:r>
        <w:rPr>
          <w:rFonts w:ascii="Arial Nova" w:hAnsi="Arial Nova" w:cs="Arial"/>
          <w:bCs/>
          <w:sz w:val="24"/>
          <w:szCs w:val="24"/>
        </w:rPr>
        <w:t>3</w:t>
      </w:r>
      <w:r w:rsidRPr="006968B6">
        <w:rPr>
          <w:rFonts w:ascii="Arial Nova" w:hAnsi="Arial Nova" w:cs="Arial"/>
          <w:bCs/>
          <w:sz w:val="24"/>
          <w:szCs w:val="24"/>
        </w:rPr>
        <w:t>% debido a un pago extraordinario por parte de una empresa minera); Casinos y Tragamonedas (2,</w:t>
      </w:r>
      <w:r>
        <w:rPr>
          <w:rFonts w:ascii="Arial Nova" w:hAnsi="Arial Nova" w:cs="Arial"/>
          <w:bCs/>
          <w:sz w:val="24"/>
          <w:szCs w:val="24"/>
        </w:rPr>
        <w:t>7</w:t>
      </w:r>
      <w:r w:rsidRPr="006968B6">
        <w:rPr>
          <w:rFonts w:ascii="Arial Nova" w:hAnsi="Arial Nova" w:cs="Arial"/>
          <w:bCs/>
          <w:sz w:val="24"/>
          <w:szCs w:val="24"/>
        </w:rPr>
        <w:t>%), e Impuesto Temporal a los Activos Netos - ITAN (3,</w:t>
      </w:r>
      <w:r>
        <w:rPr>
          <w:rFonts w:ascii="Arial Nova" w:hAnsi="Arial Nova" w:cs="Arial"/>
          <w:bCs/>
          <w:sz w:val="24"/>
          <w:szCs w:val="24"/>
        </w:rPr>
        <w:t>5</w:t>
      </w:r>
      <w:r w:rsidRPr="006968B6">
        <w:rPr>
          <w:rFonts w:ascii="Arial Nova" w:hAnsi="Arial Nova" w:cs="Arial"/>
          <w:bCs/>
          <w:sz w:val="24"/>
          <w:szCs w:val="24"/>
        </w:rPr>
        <w:t xml:space="preserve">%). En contraste, </w:t>
      </w:r>
      <w:r w:rsidRPr="006968B6">
        <w:rPr>
          <w:rFonts w:ascii="Arial Nova" w:hAnsi="Arial Nova" w:cs="Arial"/>
          <w:sz w:val="24"/>
          <w:szCs w:val="24"/>
        </w:rPr>
        <w:t xml:space="preserve">se registraron contracciones a nivel de los </w:t>
      </w:r>
      <w:r w:rsidRPr="006968B6">
        <w:rPr>
          <w:rFonts w:ascii="Arial Nova" w:hAnsi="Arial Nova" w:cs="Arial"/>
          <w:bCs/>
          <w:sz w:val="24"/>
          <w:szCs w:val="24"/>
        </w:rPr>
        <w:t>Fraccionamientos (-</w:t>
      </w:r>
      <w:r>
        <w:rPr>
          <w:rFonts w:ascii="Arial Nova" w:hAnsi="Arial Nova" w:cs="Arial"/>
          <w:bCs/>
          <w:sz w:val="24"/>
          <w:szCs w:val="24"/>
        </w:rPr>
        <w:t>9</w:t>
      </w:r>
      <w:r w:rsidRPr="006968B6">
        <w:rPr>
          <w:rFonts w:ascii="Arial Nova" w:hAnsi="Arial Nova" w:cs="Arial"/>
          <w:bCs/>
          <w:sz w:val="24"/>
          <w:szCs w:val="24"/>
        </w:rPr>
        <w:t>,2%),</w:t>
      </w:r>
      <w:r>
        <w:rPr>
          <w:rFonts w:ascii="Arial Nova" w:hAnsi="Arial Nova" w:cs="Arial"/>
          <w:bCs/>
          <w:sz w:val="24"/>
          <w:szCs w:val="24"/>
        </w:rPr>
        <w:t xml:space="preserve"> </w:t>
      </w:r>
      <w:r w:rsidRPr="006968B6">
        <w:rPr>
          <w:rFonts w:ascii="Arial Nova" w:hAnsi="Arial Nova" w:cs="Arial"/>
          <w:bCs/>
          <w:sz w:val="24"/>
          <w:szCs w:val="24"/>
        </w:rPr>
        <w:t>Régimen Único Simplificado (</w:t>
      </w:r>
      <w:r>
        <w:rPr>
          <w:rFonts w:ascii="Arial Nova" w:hAnsi="Arial Nova" w:cs="Arial"/>
          <w:bCs/>
          <w:sz w:val="24"/>
          <w:szCs w:val="24"/>
        </w:rPr>
        <w:t>-3</w:t>
      </w:r>
      <w:r w:rsidRPr="006968B6">
        <w:rPr>
          <w:rFonts w:ascii="Arial Nova" w:hAnsi="Arial Nova" w:cs="Arial"/>
          <w:bCs/>
          <w:sz w:val="24"/>
          <w:szCs w:val="24"/>
        </w:rPr>
        <w:t>,</w:t>
      </w:r>
      <w:r>
        <w:rPr>
          <w:rFonts w:ascii="Arial Nova" w:hAnsi="Arial Nova" w:cs="Arial"/>
          <w:bCs/>
          <w:sz w:val="24"/>
          <w:szCs w:val="24"/>
        </w:rPr>
        <w:t>2</w:t>
      </w:r>
      <w:r w:rsidRPr="006968B6">
        <w:rPr>
          <w:rFonts w:ascii="Arial Nova" w:hAnsi="Arial Nova" w:cs="Arial"/>
          <w:bCs/>
          <w:sz w:val="24"/>
          <w:szCs w:val="24"/>
        </w:rPr>
        <w:t>%)</w:t>
      </w:r>
      <w:r>
        <w:rPr>
          <w:rFonts w:ascii="Arial Nova" w:hAnsi="Arial Nova" w:cs="Arial"/>
          <w:bCs/>
          <w:sz w:val="24"/>
          <w:szCs w:val="24"/>
        </w:rPr>
        <w:t>,</w:t>
      </w:r>
      <w:r w:rsidRPr="006968B6">
        <w:rPr>
          <w:rFonts w:ascii="Arial Nova" w:hAnsi="Arial Nova" w:cs="Arial"/>
          <w:bCs/>
          <w:sz w:val="24"/>
          <w:szCs w:val="24"/>
        </w:rPr>
        <w:t xml:space="preserve"> Ingresos como Recaudación (-</w:t>
      </w:r>
      <w:r>
        <w:rPr>
          <w:rFonts w:ascii="Arial Nova" w:hAnsi="Arial Nova" w:cs="Arial"/>
          <w:bCs/>
          <w:sz w:val="24"/>
          <w:szCs w:val="24"/>
        </w:rPr>
        <w:t>2</w:t>
      </w:r>
      <w:r w:rsidRPr="006968B6">
        <w:rPr>
          <w:rFonts w:ascii="Arial Nova" w:hAnsi="Arial Nova" w:cs="Arial"/>
          <w:bCs/>
          <w:sz w:val="24"/>
          <w:szCs w:val="24"/>
        </w:rPr>
        <w:t>,</w:t>
      </w:r>
      <w:r>
        <w:rPr>
          <w:rFonts w:ascii="Arial Nova" w:hAnsi="Arial Nova" w:cs="Arial"/>
          <w:bCs/>
          <w:sz w:val="24"/>
          <w:szCs w:val="24"/>
        </w:rPr>
        <w:t>3</w:t>
      </w:r>
      <w:r w:rsidRPr="006968B6">
        <w:rPr>
          <w:rFonts w:ascii="Arial Nova" w:hAnsi="Arial Nova" w:cs="Arial"/>
          <w:bCs/>
          <w:sz w:val="24"/>
          <w:szCs w:val="24"/>
        </w:rPr>
        <w:t>%), Impuesto a las Transacciones Financieras (-2,8%) y el rubro Otros (-2</w:t>
      </w:r>
      <w:r>
        <w:rPr>
          <w:rFonts w:ascii="Arial Nova" w:hAnsi="Arial Nova" w:cs="Arial"/>
          <w:bCs/>
          <w:sz w:val="24"/>
          <w:szCs w:val="24"/>
        </w:rPr>
        <w:t>8</w:t>
      </w:r>
      <w:r w:rsidRPr="006968B6">
        <w:rPr>
          <w:rFonts w:ascii="Arial Nova" w:hAnsi="Arial Nova" w:cs="Arial"/>
          <w:bCs/>
          <w:sz w:val="24"/>
          <w:szCs w:val="24"/>
        </w:rPr>
        <w:t>,</w:t>
      </w:r>
      <w:r>
        <w:rPr>
          <w:rFonts w:ascii="Arial Nova" w:hAnsi="Arial Nova" w:cs="Arial"/>
          <w:bCs/>
          <w:sz w:val="24"/>
          <w:szCs w:val="24"/>
        </w:rPr>
        <w:t>0</w:t>
      </w:r>
      <w:r w:rsidRPr="006968B6">
        <w:rPr>
          <w:rFonts w:ascii="Arial Nova" w:hAnsi="Arial Nova" w:cs="Arial"/>
          <w:bCs/>
          <w:sz w:val="24"/>
          <w:szCs w:val="24"/>
        </w:rPr>
        <w:t xml:space="preserve">%). </w:t>
      </w:r>
    </w:p>
    <w:p w14:paraId="5CAB502F" w14:textId="77777777" w:rsidR="008411BC" w:rsidRPr="006968B6" w:rsidRDefault="008411BC" w:rsidP="008411BC">
      <w:pPr>
        <w:pStyle w:val="Prrafodelista"/>
        <w:numPr>
          <w:ilvl w:val="0"/>
          <w:numId w:val="5"/>
        </w:numPr>
        <w:spacing w:before="240" w:after="0" w:line="240" w:lineRule="auto"/>
        <w:ind w:left="426"/>
        <w:contextualSpacing w:val="0"/>
        <w:jc w:val="both"/>
        <w:rPr>
          <w:rFonts w:ascii="Arial Nova" w:hAnsi="Arial Nova" w:cs="Arial"/>
          <w:b/>
          <w:sz w:val="24"/>
          <w:szCs w:val="24"/>
        </w:rPr>
      </w:pPr>
      <w:r w:rsidRPr="006968B6">
        <w:rPr>
          <w:rFonts w:ascii="Arial Nova" w:hAnsi="Arial Nova" w:cs="Arial"/>
          <w:b/>
          <w:sz w:val="24"/>
          <w:szCs w:val="24"/>
        </w:rPr>
        <w:t xml:space="preserve">Devoluciones: </w:t>
      </w:r>
      <w:r w:rsidRPr="006968B6">
        <w:rPr>
          <w:rFonts w:ascii="Arial Nova" w:hAnsi="Arial Nova" w:cs="Arial"/>
          <w:bCs/>
          <w:sz w:val="24"/>
          <w:szCs w:val="24"/>
        </w:rPr>
        <w:t>Las devoluciones de impuestos realizadas durante el mes de julio ascendieron a S/ 2,6</w:t>
      </w:r>
      <w:r>
        <w:rPr>
          <w:rFonts w:ascii="Arial Nova" w:hAnsi="Arial Nova" w:cs="Arial"/>
          <w:bCs/>
          <w:sz w:val="24"/>
          <w:szCs w:val="24"/>
        </w:rPr>
        <w:t>78</w:t>
      </w:r>
      <w:r w:rsidRPr="006968B6">
        <w:rPr>
          <w:rFonts w:ascii="Arial Nova" w:hAnsi="Arial Nova" w:cs="Arial"/>
          <w:bCs/>
          <w:sz w:val="24"/>
          <w:szCs w:val="24"/>
        </w:rPr>
        <w:t xml:space="preserve"> millones, lo que representa un incremento del 37,</w:t>
      </w:r>
      <w:r>
        <w:rPr>
          <w:rFonts w:ascii="Arial Nova" w:hAnsi="Arial Nova" w:cs="Arial"/>
          <w:bCs/>
          <w:sz w:val="24"/>
          <w:szCs w:val="24"/>
        </w:rPr>
        <w:t>2</w:t>
      </w:r>
      <w:r w:rsidRPr="006968B6">
        <w:rPr>
          <w:rFonts w:ascii="Arial Nova" w:hAnsi="Arial Nova" w:cs="Arial"/>
          <w:bCs/>
          <w:sz w:val="24"/>
          <w:szCs w:val="24"/>
        </w:rPr>
        <w:t>% en comparación con el mismo mes del año 2022. Las devoluciones a exportadores y las vinculadas a los pagos en exceso fueron los rubros más importantes en cuanto a participación.</w:t>
      </w:r>
    </w:p>
    <w:p w14:paraId="1A716A7C" w14:textId="64D69298" w:rsidR="009162C5" w:rsidRPr="006968B6" w:rsidRDefault="009162C5" w:rsidP="00D613DD">
      <w:pPr>
        <w:spacing w:before="240" w:line="240" w:lineRule="auto"/>
        <w:jc w:val="both"/>
        <w:rPr>
          <w:rFonts w:ascii="Arial Nova" w:eastAsia="Arial" w:hAnsi="Arial Nova" w:cs="Arial"/>
          <w:b/>
          <w:sz w:val="24"/>
          <w:szCs w:val="24"/>
        </w:rPr>
      </w:pPr>
      <w:r w:rsidRPr="006968B6">
        <w:rPr>
          <w:rFonts w:ascii="Arial Nova" w:eastAsia="Arial" w:hAnsi="Arial Nova" w:cs="Arial"/>
          <w:b/>
          <w:sz w:val="24"/>
          <w:szCs w:val="24"/>
        </w:rPr>
        <w:t>Factores determinantes de</w:t>
      </w:r>
      <w:r w:rsidR="004A32EF" w:rsidRPr="006968B6">
        <w:rPr>
          <w:rFonts w:ascii="Arial Nova" w:eastAsia="Arial" w:hAnsi="Arial Nova" w:cs="Arial"/>
          <w:b/>
          <w:sz w:val="24"/>
          <w:szCs w:val="24"/>
        </w:rPr>
        <w:t xml:space="preserve"> </w:t>
      </w:r>
      <w:r w:rsidRPr="006968B6">
        <w:rPr>
          <w:rFonts w:ascii="Arial Nova" w:eastAsia="Arial" w:hAnsi="Arial Nova" w:cs="Arial"/>
          <w:b/>
          <w:sz w:val="24"/>
          <w:szCs w:val="24"/>
        </w:rPr>
        <w:t>l</w:t>
      </w:r>
      <w:r w:rsidR="004A32EF" w:rsidRPr="006968B6">
        <w:rPr>
          <w:rFonts w:ascii="Arial Nova" w:eastAsia="Arial" w:hAnsi="Arial Nova" w:cs="Arial"/>
          <w:b/>
          <w:sz w:val="24"/>
          <w:szCs w:val="24"/>
        </w:rPr>
        <w:t>a</w:t>
      </w:r>
      <w:r w:rsidRPr="006968B6">
        <w:rPr>
          <w:rFonts w:ascii="Arial Nova" w:eastAsia="Arial" w:hAnsi="Arial Nova" w:cs="Arial"/>
          <w:b/>
          <w:sz w:val="24"/>
          <w:szCs w:val="24"/>
        </w:rPr>
        <w:t xml:space="preserve"> recaudación de</w:t>
      </w:r>
      <w:r w:rsidR="00211D90" w:rsidRPr="006968B6">
        <w:rPr>
          <w:rFonts w:ascii="Arial Nova" w:eastAsia="Arial" w:hAnsi="Arial Nova" w:cs="Arial"/>
          <w:b/>
          <w:sz w:val="24"/>
          <w:szCs w:val="24"/>
        </w:rPr>
        <w:t xml:space="preserve"> </w:t>
      </w:r>
      <w:r w:rsidR="00EF6B83" w:rsidRPr="006968B6">
        <w:rPr>
          <w:rFonts w:ascii="Arial Nova" w:eastAsia="Arial" w:hAnsi="Arial Nova" w:cs="Arial"/>
          <w:b/>
          <w:sz w:val="24"/>
          <w:szCs w:val="24"/>
        </w:rPr>
        <w:t>ju</w:t>
      </w:r>
      <w:r w:rsidR="00B33AC2" w:rsidRPr="006968B6">
        <w:rPr>
          <w:rFonts w:ascii="Arial Nova" w:eastAsia="Arial" w:hAnsi="Arial Nova" w:cs="Arial"/>
          <w:b/>
          <w:sz w:val="24"/>
          <w:szCs w:val="24"/>
        </w:rPr>
        <w:t>l</w:t>
      </w:r>
      <w:r w:rsidR="00EF6B83" w:rsidRPr="006968B6">
        <w:rPr>
          <w:rFonts w:ascii="Arial Nova" w:eastAsia="Arial" w:hAnsi="Arial Nova" w:cs="Arial"/>
          <w:b/>
          <w:sz w:val="24"/>
          <w:szCs w:val="24"/>
        </w:rPr>
        <w:t>io</w:t>
      </w:r>
    </w:p>
    <w:p w14:paraId="1D4C2F54" w14:textId="0A2598A9" w:rsidR="00A91C08" w:rsidRPr="006968B6" w:rsidRDefault="00A452C6" w:rsidP="00A91C08">
      <w:pPr>
        <w:spacing w:before="240" w:line="240" w:lineRule="auto"/>
        <w:ind w:left="66"/>
        <w:jc w:val="both"/>
        <w:rPr>
          <w:rFonts w:ascii="Arial Nova" w:hAnsi="Arial Nova" w:cs="Arial"/>
          <w:bCs/>
          <w:sz w:val="24"/>
          <w:szCs w:val="24"/>
        </w:rPr>
      </w:pPr>
      <w:r>
        <w:rPr>
          <w:rFonts w:ascii="Arial Nova" w:hAnsi="Arial Nova" w:cs="Arial"/>
          <w:bCs/>
          <w:sz w:val="24"/>
          <w:szCs w:val="24"/>
        </w:rPr>
        <w:t xml:space="preserve">El resultado </w:t>
      </w:r>
      <w:r w:rsidR="00A91C08" w:rsidRPr="006968B6">
        <w:rPr>
          <w:rFonts w:ascii="Arial Nova" w:hAnsi="Arial Nova" w:cs="Arial"/>
          <w:bCs/>
          <w:sz w:val="24"/>
          <w:szCs w:val="24"/>
        </w:rPr>
        <w:t>de la recaudación en el mes de julio se atribuye a varios factores, entre los cuales destacan los siguientes:</w:t>
      </w:r>
    </w:p>
    <w:p w14:paraId="06D439AB" w14:textId="09F3435A" w:rsidR="00A91C08" w:rsidRPr="006968B6" w:rsidRDefault="00A91C08" w:rsidP="00A91C08">
      <w:pPr>
        <w:pStyle w:val="Prrafodelista"/>
        <w:numPr>
          <w:ilvl w:val="0"/>
          <w:numId w:val="4"/>
        </w:numPr>
        <w:spacing w:before="240" w:line="240" w:lineRule="auto"/>
        <w:ind w:left="426"/>
        <w:contextualSpacing w:val="0"/>
        <w:jc w:val="both"/>
        <w:rPr>
          <w:rFonts w:ascii="Arial Nova" w:eastAsia="Arial" w:hAnsi="Arial Nova" w:cs="Arial"/>
          <w:sz w:val="24"/>
          <w:szCs w:val="24"/>
        </w:rPr>
      </w:pPr>
      <w:r w:rsidRPr="006968B6">
        <w:rPr>
          <w:rFonts w:ascii="Arial Nova" w:eastAsia="Arial" w:hAnsi="Arial Nova" w:cs="Arial"/>
          <w:sz w:val="24"/>
          <w:szCs w:val="24"/>
        </w:rPr>
        <w:t xml:space="preserve">La menor dinámica de la actividad económica, con un crecimiento prácticamente nulo del Producto Bruto Interno y la </w:t>
      </w:r>
      <w:r w:rsidR="008411BC">
        <w:rPr>
          <w:rFonts w:ascii="Arial Nova" w:eastAsia="Arial" w:hAnsi="Arial Nova" w:cs="Arial"/>
          <w:sz w:val="24"/>
          <w:szCs w:val="24"/>
        </w:rPr>
        <w:t>d</w:t>
      </w:r>
      <w:r w:rsidRPr="006968B6">
        <w:rPr>
          <w:rFonts w:ascii="Arial Nova" w:eastAsia="Arial" w:hAnsi="Arial Nova" w:cs="Arial"/>
          <w:sz w:val="24"/>
          <w:szCs w:val="24"/>
        </w:rPr>
        <w:t xml:space="preserve">emanda </w:t>
      </w:r>
      <w:r w:rsidR="008411BC">
        <w:rPr>
          <w:rFonts w:ascii="Arial Nova" w:eastAsia="Arial" w:hAnsi="Arial Nova" w:cs="Arial"/>
          <w:sz w:val="24"/>
          <w:szCs w:val="24"/>
        </w:rPr>
        <w:t>i</w:t>
      </w:r>
      <w:r w:rsidRPr="006968B6">
        <w:rPr>
          <w:rFonts w:ascii="Arial Nova" w:eastAsia="Arial" w:hAnsi="Arial Nova" w:cs="Arial"/>
          <w:sz w:val="24"/>
          <w:szCs w:val="24"/>
        </w:rPr>
        <w:t>nterna en junio, según estimaciones del BCRP.</w:t>
      </w:r>
    </w:p>
    <w:p w14:paraId="12A85A85" w14:textId="5EE498E3" w:rsidR="00FD352D" w:rsidRPr="006968B6" w:rsidRDefault="00BA3227" w:rsidP="00EC1A41">
      <w:pPr>
        <w:spacing w:before="240" w:line="240" w:lineRule="auto"/>
        <w:ind w:left="426"/>
        <w:jc w:val="both"/>
        <w:rPr>
          <w:rFonts w:ascii="Arial Nova" w:eastAsia="Arial" w:hAnsi="Arial Nova" w:cs="Arial"/>
          <w:sz w:val="24"/>
          <w:szCs w:val="24"/>
        </w:rPr>
      </w:pPr>
      <w:r w:rsidRPr="006968B6">
        <w:rPr>
          <w:rFonts w:ascii="Arial Nova" w:eastAsia="Arial" w:hAnsi="Arial Nova" w:cs="Arial"/>
          <w:sz w:val="24"/>
          <w:szCs w:val="24"/>
        </w:rPr>
        <w:t xml:space="preserve">A lo anterior se une la </w:t>
      </w:r>
      <w:r w:rsidR="00A91C08" w:rsidRPr="006968B6">
        <w:rPr>
          <w:rFonts w:ascii="Arial Nova" w:eastAsia="Arial" w:hAnsi="Arial Nova" w:cs="Arial"/>
          <w:sz w:val="24"/>
          <w:szCs w:val="24"/>
        </w:rPr>
        <w:t>reducción del 2</w:t>
      </w:r>
      <w:r w:rsidR="008C56E1">
        <w:rPr>
          <w:rFonts w:ascii="Arial Nova" w:eastAsia="Arial" w:hAnsi="Arial Nova" w:cs="Arial"/>
          <w:sz w:val="24"/>
          <w:szCs w:val="24"/>
        </w:rPr>
        <w:t>2,0</w:t>
      </w:r>
      <w:r w:rsidR="00A91C08" w:rsidRPr="006968B6">
        <w:rPr>
          <w:rFonts w:ascii="Arial Nova" w:eastAsia="Arial" w:hAnsi="Arial Nova" w:cs="Arial"/>
          <w:sz w:val="24"/>
          <w:szCs w:val="24"/>
        </w:rPr>
        <w:t>% en las importaciones registradas en julio, lo que afecta la recaudación de los tributos aduaneros.</w:t>
      </w:r>
      <w:r w:rsidR="00FD352D" w:rsidRPr="006968B6">
        <w:rPr>
          <w:rFonts w:ascii="Arial Nova" w:eastAsia="Arial" w:hAnsi="Arial Nova" w:cs="Arial"/>
          <w:sz w:val="24"/>
          <w:szCs w:val="24"/>
        </w:rPr>
        <w:t xml:space="preserve"> </w:t>
      </w:r>
    </w:p>
    <w:p w14:paraId="674FFCC0" w14:textId="77777777" w:rsidR="00A91C08" w:rsidRPr="006968B6" w:rsidRDefault="00A91C08" w:rsidP="00A91C08">
      <w:pPr>
        <w:spacing w:before="240" w:line="240" w:lineRule="auto"/>
        <w:ind w:left="426"/>
        <w:jc w:val="both"/>
        <w:rPr>
          <w:rFonts w:ascii="Arial Nova" w:hAnsi="Arial Nova" w:cs="Arial"/>
          <w:bCs/>
          <w:sz w:val="24"/>
          <w:szCs w:val="24"/>
        </w:rPr>
      </w:pPr>
      <w:r w:rsidRPr="006968B6">
        <w:rPr>
          <w:rFonts w:ascii="Arial Nova" w:hAnsi="Arial Nova" w:cs="Arial"/>
          <w:bCs/>
          <w:sz w:val="24"/>
          <w:szCs w:val="24"/>
        </w:rPr>
        <w:t xml:space="preserve">El retroceso del tipo de cambio en un 7,4% con respecto a julio del año </w:t>
      </w:r>
      <w:r w:rsidRPr="006968B6">
        <w:rPr>
          <w:rFonts w:ascii="Arial Nova" w:eastAsia="Arial" w:hAnsi="Arial Nova" w:cs="Arial"/>
          <w:sz w:val="24"/>
          <w:szCs w:val="24"/>
        </w:rPr>
        <w:t>pasado</w:t>
      </w:r>
      <w:r w:rsidRPr="006968B6">
        <w:rPr>
          <w:rFonts w:ascii="Arial Nova" w:hAnsi="Arial Nova" w:cs="Arial"/>
          <w:bCs/>
          <w:sz w:val="24"/>
          <w:szCs w:val="24"/>
        </w:rPr>
        <w:t>, lo que redujo tanto los ingresos en soles de los exportadores como los pagos a cuenta del Impuesto a la Renta, así como el monto a pagar por concepto de impuestos a la importación expresado en soles.</w:t>
      </w:r>
    </w:p>
    <w:p w14:paraId="6DA7DAAD" w14:textId="524FAD19" w:rsidR="00354E33" w:rsidRPr="006968B6" w:rsidRDefault="00FD352D" w:rsidP="00EC7CD4">
      <w:pPr>
        <w:pStyle w:val="Prrafodelista"/>
        <w:numPr>
          <w:ilvl w:val="0"/>
          <w:numId w:val="4"/>
        </w:numPr>
        <w:spacing w:before="240" w:line="240" w:lineRule="auto"/>
        <w:ind w:left="426"/>
        <w:contextualSpacing w:val="0"/>
        <w:jc w:val="both"/>
        <w:rPr>
          <w:rFonts w:ascii="Arial Nova" w:eastAsia="Arial" w:hAnsi="Arial Nova" w:cs="Arial"/>
          <w:sz w:val="24"/>
          <w:szCs w:val="24"/>
        </w:rPr>
      </w:pPr>
      <w:r w:rsidRPr="006968B6">
        <w:rPr>
          <w:rFonts w:ascii="Arial Nova" w:eastAsia="Arial" w:hAnsi="Arial Nova" w:cs="Arial"/>
          <w:sz w:val="24"/>
          <w:szCs w:val="24"/>
        </w:rPr>
        <w:t>L</w:t>
      </w:r>
      <w:r w:rsidR="00BA3227" w:rsidRPr="006968B6">
        <w:rPr>
          <w:rFonts w:ascii="Arial Nova" w:eastAsia="Arial" w:hAnsi="Arial Nova" w:cs="Arial"/>
          <w:sz w:val="24"/>
          <w:szCs w:val="24"/>
        </w:rPr>
        <w:t xml:space="preserve">a recaudación del </w:t>
      </w:r>
      <w:r w:rsidRPr="006968B6">
        <w:rPr>
          <w:rFonts w:ascii="Arial Nova" w:eastAsia="Arial" w:hAnsi="Arial Nova" w:cs="Arial"/>
          <w:sz w:val="24"/>
          <w:szCs w:val="24"/>
        </w:rPr>
        <w:t>Impuesto a la Renta</w:t>
      </w:r>
      <w:r w:rsidR="00BA3227" w:rsidRPr="006968B6">
        <w:rPr>
          <w:rFonts w:ascii="Arial Nova" w:eastAsia="Arial" w:hAnsi="Arial Nova" w:cs="Arial"/>
          <w:sz w:val="24"/>
          <w:szCs w:val="24"/>
        </w:rPr>
        <w:t xml:space="preserve"> </w:t>
      </w:r>
      <w:r w:rsidR="001E60AA" w:rsidRPr="006968B6">
        <w:rPr>
          <w:rFonts w:ascii="Arial Nova" w:eastAsia="Arial" w:hAnsi="Arial Nova" w:cs="Arial"/>
          <w:sz w:val="24"/>
          <w:szCs w:val="24"/>
        </w:rPr>
        <w:t>continuó</w:t>
      </w:r>
      <w:r w:rsidR="00BA3227" w:rsidRPr="006968B6">
        <w:rPr>
          <w:rFonts w:ascii="Arial Nova" w:eastAsia="Arial" w:hAnsi="Arial Nova" w:cs="Arial"/>
          <w:sz w:val="24"/>
          <w:szCs w:val="24"/>
        </w:rPr>
        <w:t xml:space="preserve"> </w:t>
      </w:r>
      <w:r w:rsidR="00A91C08" w:rsidRPr="006968B6">
        <w:rPr>
          <w:rFonts w:ascii="Arial Nova" w:eastAsia="Arial" w:hAnsi="Arial Nova" w:cs="Arial"/>
          <w:sz w:val="24"/>
          <w:szCs w:val="24"/>
        </w:rPr>
        <w:t xml:space="preserve">siendo </w:t>
      </w:r>
      <w:r w:rsidR="00BA3227" w:rsidRPr="006968B6">
        <w:rPr>
          <w:rFonts w:ascii="Arial Nova" w:eastAsia="Arial" w:hAnsi="Arial Nova" w:cs="Arial"/>
          <w:sz w:val="24"/>
          <w:szCs w:val="24"/>
        </w:rPr>
        <w:t xml:space="preserve">afectada por la </w:t>
      </w:r>
      <w:r w:rsidR="00A91C08" w:rsidRPr="006968B6">
        <w:rPr>
          <w:rFonts w:ascii="Arial Nova" w:eastAsia="Arial" w:hAnsi="Arial Nova" w:cs="Arial"/>
          <w:sz w:val="24"/>
          <w:szCs w:val="24"/>
        </w:rPr>
        <w:t>disminución</w:t>
      </w:r>
      <w:r w:rsidR="00F33D00" w:rsidRPr="006968B6">
        <w:rPr>
          <w:rFonts w:ascii="Arial Nova" w:eastAsia="Arial" w:hAnsi="Arial Nova" w:cs="Arial"/>
          <w:sz w:val="24"/>
          <w:szCs w:val="24"/>
        </w:rPr>
        <w:t xml:space="preserve"> de los</w:t>
      </w:r>
      <w:r w:rsidR="0079652E" w:rsidRPr="006968B6">
        <w:rPr>
          <w:rFonts w:ascii="Arial Nova" w:eastAsia="Arial" w:hAnsi="Arial Nova" w:cs="Arial"/>
          <w:sz w:val="24"/>
          <w:szCs w:val="24"/>
        </w:rPr>
        <w:t xml:space="preserve"> coeficientes </w:t>
      </w:r>
      <w:r w:rsidR="006E6D9C" w:rsidRPr="006968B6">
        <w:rPr>
          <w:rFonts w:ascii="Arial Nova" w:eastAsia="Arial" w:hAnsi="Arial Nova" w:cs="Arial"/>
          <w:sz w:val="24"/>
          <w:szCs w:val="24"/>
        </w:rPr>
        <w:t xml:space="preserve">de pago </w:t>
      </w:r>
      <w:r w:rsidR="00A91C08" w:rsidRPr="006968B6">
        <w:rPr>
          <w:rFonts w:ascii="Arial Nova" w:eastAsia="Arial" w:hAnsi="Arial Nova" w:cs="Arial"/>
          <w:sz w:val="24"/>
          <w:szCs w:val="24"/>
        </w:rPr>
        <w:t>utilizados</w:t>
      </w:r>
      <w:r w:rsidR="001E60AA" w:rsidRPr="006968B6">
        <w:rPr>
          <w:rFonts w:ascii="Arial Nova" w:eastAsia="Arial" w:hAnsi="Arial Nova" w:cs="Arial"/>
          <w:sz w:val="24"/>
          <w:szCs w:val="24"/>
        </w:rPr>
        <w:t xml:space="preserve"> para </w:t>
      </w:r>
      <w:r w:rsidR="00A91C08" w:rsidRPr="006968B6">
        <w:rPr>
          <w:rFonts w:ascii="Arial Nova" w:eastAsia="Arial" w:hAnsi="Arial Nova" w:cs="Arial"/>
          <w:sz w:val="24"/>
          <w:szCs w:val="24"/>
        </w:rPr>
        <w:t xml:space="preserve">calcular </w:t>
      </w:r>
      <w:r w:rsidR="001E60AA" w:rsidRPr="006968B6">
        <w:rPr>
          <w:rFonts w:ascii="Arial Nova" w:eastAsia="Arial" w:hAnsi="Arial Nova" w:cs="Arial"/>
          <w:sz w:val="24"/>
          <w:szCs w:val="24"/>
        </w:rPr>
        <w:t xml:space="preserve">los pagos a </w:t>
      </w:r>
      <w:r w:rsidR="001E60AA" w:rsidRPr="006968B6">
        <w:rPr>
          <w:rFonts w:ascii="Arial Nova" w:eastAsia="Arial" w:hAnsi="Arial Nova" w:cs="Arial"/>
          <w:sz w:val="24"/>
          <w:szCs w:val="24"/>
        </w:rPr>
        <w:lastRenderedPageBreak/>
        <w:t>cuenta de la Tercera Categoría</w:t>
      </w:r>
      <w:r w:rsidR="00A452C6">
        <w:rPr>
          <w:rFonts w:ascii="Arial Nova" w:eastAsia="Arial" w:hAnsi="Arial Nova" w:cs="Arial"/>
          <w:sz w:val="24"/>
          <w:szCs w:val="24"/>
        </w:rPr>
        <w:t xml:space="preserve"> en comparación a los empleados en el año 2022</w:t>
      </w:r>
      <w:r w:rsidR="001E60AA" w:rsidRPr="006968B6">
        <w:rPr>
          <w:rFonts w:ascii="Arial Nova" w:eastAsia="Arial" w:hAnsi="Arial Nova" w:cs="Arial"/>
          <w:sz w:val="24"/>
          <w:szCs w:val="24"/>
        </w:rPr>
        <w:t xml:space="preserve">, así como por los </w:t>
      </w:r>
      <w:r w:rsidR="00BA3227" w:rsidRPr="006968B6">
        <w:rPr>
          <w:rFonts w:ascii="Arial Nova" w:eastAsia="Arial" w:hAnsi="Arial Nova" w:cs="Arial"/>
          <w:sz w:val="24"/>
          <w:szCs w:val="24"/>
        </w:rPr>
        <w:t>mayores saldos a favor de los contribuyentes informados en la declaraci</w:t>
      </w:r>
      <w:r w:rsidR="00052C41" w:rsidRPr="006968B6">
        <w:rPr>
          <w:rFonts w:ascii="Arial Nova" w:eastAsia="Arial" w:hAnsi="Arial Nova" w:cs="Arial"/>
          <w:sz w:val="24"/>
          <w:szCs w:val="24"/>
        </w:rPr>
        <w:t>ó</w:t>
      </w:r>
      <w:r w:rsidR="00BA3227" w:rsidRPr="006968B6">
        <w:rPr>
          <w:rFonts w:ascii="Arial Nova" w:eastAsia="Arial" w:hAnsi="Arial Nova" w:cs="Arial"/>
          <w:sz w:val="24"/>
          <w:szCs w:val="24"/>
        </w:rPr>
        <w:t xml:space="preserve">n anual y que vienen siendo aplicados contra </w:t>
      </w:r>
      <w:r w:rsidR="001E60AA" w:rsidRPr="006968B6">
        <w:rPr>
          <w:rFonts w:ascii="Arial Nova" w:eastAsia="Arial" w:hAnsi="Arial Nova" w:cs="Arial"/>
          <w:sz w:val="24"/>
          <w:szCs w:val="24"/>
        </w:rPr>
        <w:t>las</w:t>
      </w:r>
      <w:r w:rsidR="00BA3227" w:rsidRPr="006968B6">
        <w:rPr>
          <w:rFonts w:ascii="Arial Nova" w:eastAsia="Arial" w:hAnsi="Arial Nova" w:cs="Arial"/>
          <w:sz w:val="24"/>
          <w:szCs w:val="24"/>
        </w:rPr>
        <w:t xml:space="preserve"> obligaciones</w:t>
      </w:r>
      <w:r w:rsidR="001E60AA" w:rsidRPr="006968B6">
        <w:rPr>
          <w:rFonts w:ascii="Arial Nova" w:eastAsia="Arial" w:hAnsi="Arial Nova" w:cs="Arial"/>
          <w:sz w:val="24"/>
          <w:szCs w:val="24"/>
        </w:rPr>
        <w:t xml:space="preserve"> tributarias</w:t>
      </w:r>
      <w:r w:rsidR="00BA3227" w:rsidRPr="006968B6">
        <w:rPr>
          <w:rFonts w:ascii="Arial Nova" w:eastAsia="Arial" w:hAnsi="Arial Nova" w:cs="Arial"/>
          <w:sz w:val="24"/>
          <w:szCs w:val="24"/>
        </w:rPr>
        <w:t xml:space="preserve"> corrientes</w:t>
      </w:r>
      <w:r w:rsidR="00FB12EE" w:rsidRPr="006968B6">
        <w:rPr>
          <w:rFonts w:ascii="Arial Nova" w:eastAsia="Arial" w:hAnsi="Arial Nova" w:cs="Arial"/>
          <w:sz w:val="24"/>
          <w:szCs w:val="24"/>
        </w:rPr>
        <w:t xml:space="preserve">, reduciendo la recaudación </w:t>
      </w:r>
      <w:r w:rsidR="00A91C08" w:rsidRPr="006968B6">
        <w:rPr>
          <w:rFonts w:ascii="Arial Nova" w:eastAsia="Arial" w:hAnsi="Arial Nova" w:cs="Arial"/>
          <w:sz w:val="24"/>
          <w:szCs w:val="24"/>
        </w:rPr>
        <w:t>del mes</w:t>
      </w:r>
      <w:r w:rsidR="00BA3227" w:rsidRPr="006968B6">
        <w:rPr>
          <w:rFonts w:ascii="Arial Nova" w:eastAsia="Arial" w:hAnsi="Arial Nova" w:cs="Arial"/>
          <w:sz w:val="24"/>
          <w:szCs w:val="24"/>
        </w:rPr>
        <w:t>.</w:t>
      </w:r>
    </w:p>
    <w:p w14:paraId="70A53996" w14:textId="77777777" w:rsidR="005F6357" w:rsidRPr="006968B6" w:rsidRDefault="005F6357" w:rsidP="005F6357">
      <w:pPr>
        <w:pStyle w:val="Prrafodelista"/>
        <w:numPr>
          <w:ilvl w:val="0"/>
          <w:numId w:val="4"/>
        </w:numPr>
        <w:spacing w:before="240" w:line="240" w:lineRule="auto"/>
        <w:ind w:left="426"/>
        <w:contextualSpacing w:val="0"/>
        <w:jc w:val="both"/>
        <w:rPr>
          <w:rFonts w:ascii="Arial Nova" w:hAnsi="Arial Nova" w:cs="Arial"/>
          <w:bCs/>
          <w:sz w:val="24"/>
          <w:szCs w:val="24"/>
        </w:rPr>
      </w:pPr>
      <w:r w:rsidRPr="006968B6">
        <w:rPr>
          <w:rFonts w:ascii="Arial Nova" w:hAnsi="Arial Nova" w:cs="Arial"/>
          <w:bCs/>
          <w:sz w:val="24"/>
          <w:szCs w:val="24"/>
        </w:rPr>
        <w:t>El impacto negativo derivado de la tasa reducida del Impuesto General a las Ventas (IGV) aplicada a los restaurantes y hoteles MYPES, aprobada mediante la Ley N° 31556 y vigente hasta finales de 2024.</w:t>
      </w:r>
    </w:p>
    <w:p w14:paraId="2C46A753" w14:textId="77777777" w:rsidR="005F6357" w:rsidRPr="006968B6" w:rsidRDefault="005F6357" w:rsidP="005F6357">
      <w:pPr>
        <w:spacing w:before="240" w:line="240" w:lineRule="auto"/>
        <w:jc w:val="both"/>
        <w:rPr>
          <w:rFonts w:ascii="Arial Nova" w:hAnsi="Arial Nova" w:cs="Arial"/>
          <w:bCs/>
          <w:sz w:val="24"/>
          <w:szCs w:val="24"/>
        </w:rPr>
      </w:pPr>
      <w:r w:rsidRPr="006968B6">
        <w:rPr>
          <w:rFonts w:ascii="Arial Nova" w:hAnsi="Arial Nova" w:cs="Arial"/>
          <w:bCs/>
          <w:sz w:val="24"/>
          <w:szCs w:val="24"/>
        </w:rPr>
        <w:t>Es importante señalar que lo mencionado anteriormente fue parcialmente compensado por:</w:t>
      </w:r>
    </w:p>
    <w:p w14:paraId="1D9848C5" w14:textId="012AEE14" w:rsidR="005248E3" w:rsidRPr="006968B6" w:rsidRDefault="005248E3" w:rsidP="005248E3">
      <w:pPr>
        <w:pStyle w:val="Prrafodelista"/>
        <w:numPr>
          <w:ilvl w:val="0"/>
          <w:numId w:val="4"/>
        </w:numPr>
        <w:spacing w:before="240" w:line="240" w:lineRule="auto"/>
        <w:ind w:left="426"/>
        <w:contextualSpacing w:val="0"/>
        <w:jc w:val="both"/>
        <w:rPr>
          <w:rFonts w:ascii="Arial Nova" w:eastAsia="Arial" w:hAnsi="Arial Nova" w:cs="Arial"/>
          <w:sz w:val="24"/>
          <w:szCs w:val="24"/>
        </w:rPr>
      </w:pPr>
      <w:r w:rsidRPr="006968B6">
        <w:rPr>
          <w:rFonts w:ascii="Arial Nova" w:eastAsia="Arial" w:hAnsi="Arial Nova" w:cs="Arial"/>
          <w:sz w:val="24"/>
          <w:szCs w:val="24"/>
        </w:rPr>
        <w:t xml:space="preserve">El </w:t>
      </w:r>
      <w:r w:rsidR="005F6357" w:rsidRPr="006968B6">
        <w:rPr>
          <w:rFonts w:ascii="Arial Nova" w:eastAsia="Arial" w:hAnsi="Arial Nova" w:cs="Arial"/>
          <w:sz w:val="24"/>
          <w:szCs w:val="24"/>
        </w:rPr>
        <w:t>efecto estadístico favorable debido a la exclusión de la aplicación del Impuesto Selectivo al Consumo (ISC) a las gasolinas y di</w:t>
      </w:r>
      <w:r w:rsidR="00161E41">
        <w:rPr>
          <w:rFonts w:ascii="Arial Nova" w:eastAsia="Arial" w:hAnsi="Arial Nova" w:cs="Arial"/>
          <w:sz w:val="24"/>
          <w:szCs w:val="24"/>
        </w:rPr>
        <w:t>é</w:t>
      </w:r>
      <w:r w:rsidR="005F6357" w:rsidRPr="006968B6">
        <w:rPr>
          <w:rFonts w:ascii="Arial Nova" w:eastAsia="Arial" w:hAnsi="Arial Nova" w:cs="Arial"/>
          <w:sz w:val="24"/>
          <w:szCs w:val="24"/>
        </w:rPr>
        <w:t>sel en julio de 2022, de acuerdo con lo establecido por el DS N° 068-2022-EF.</w:t>
      </w:r>
    </w:p>
    <w:p w14:paraId="222877F9" w14:textId="7D67A53B" w:rsidR="00D50837" w:rsidRPr="006968B6" w:rsidRDefault="005248E3" w:rsidP="005248E3">
      <w:pPr>
        <w:pStyle w:val="Prrafodelista"/>
        <w:numPr>
          <w:ilvl w:val="0"/>
          <w:numId w:val="4"/>
        </w:numPr>
        <w:spacing w:before="240" w:line="240" w:lineRule="auto"/>
        <w:ind w:left="426"/>
        <w:contextualSpacing w:val="0"/>
        <w:jc w:val="both"/>
        <w:rPr>
          <w:rFonts w:ascii="Arial Nova" w:eastAsia="Arial" w:hAnsi="Arial Nova" w:cs="Arial"/>
          <w:sz w:val="24"/>
          <w:szCs w:val="24"/>
        </w:rPr>
      </w:pPr>
      <w:r w:rsidRPr="006968B6">
        <w:rPr>
          <w:rFonts w:ascii="Arial Nova" w:eastAsia="Arial" w:hAnsi="Arial Nova" w:cs="Arial"/>
          <w:sz w:val="24"/>
          <w:szCs w:val="24"/>
        </w:rPr>
        <w:t>E</w:t>
      </w:r>
      <w:r w:rsidR="00645726" w:rsidRPr="006968B6">
        <w:rPr>
          <w:rFonts w:ascii="Arial Nova" w:eastAsia="Arial" w:hAnsi="Arial Nova" w:cs="Arial"/>
          <w:sz w:val="24"/>
          <w:szCs w:val="24"/>
        </w:rPr>
        <w:t xml:space="preserve">l </w:t>
      </w:r>
      <w:r w:rsidR="005F6357" w:rsidRPr="006968B6">
        <w:rPr>
          <w:rFonts w:ascii="Arial Nova" w:eastAsia="Arial" w:hAnsi="Arial Nova" w:cs="Arial"/>
          <w:sz w:val="24"/>
          <w:szCs w:val="24"/>
        </w:rPr>
        <w:t>efecto neto de mayor recaudación como resultado del pago de obligaciones tributarias postergadas correspondientes a los periodos tributarios de abril y mayo de 2023.</w:t>
      </w:r>
    </w:p>
    <w:p w14:paraId="770CF55B" w14:textId="1BA0B112" w:rsidR="00477AA9" w:rsidRPr="006968B6" w:rsidRDefault="001E60AA" w:rsidP="009D2209">
      <w:pPr>
        <w:pStyle w:val="Prrafodelista"/>
        <w:numPr>
          <w:ilvl w:val="0"/>
          <w:numId w:val="15"/>
        </w:numPr>
        <w:spacing w:before="240" w:line="240" w:lineRule="auto"/>
        <w:jc w:val="both"/>
        <w:rPr>
          <w:rFonts w:ascii="Arial Nova" w:eastAsia="Arial" w:hAnsi="Arial Nova" w:cs="Arial"/>
          <w:sz w:val="24"/>
          <w:szCs w:val="24"/>
        </w:rPr>
      </w:pPr>
      <w:r w:rsidRPr="006968B6">
        <w:rPr>
          <w:rFonts w:ascii="Arial Nova" w:eastAsia="Arial" w:hAnsi="Arial Nova" w:cs="Arial"/>
          <w:sz w:val="24"/>
          <w:szCs w:val="24"/>
        </w:rPr>
        <w:t xml:space="preserve">Los </w:t>
      </w:r>
      <w:r w:rsidR="005F6357" w:rsidRPr="006968B6">
        <w:rPr>
          <w:rFonts w:ascii="Arial Nova" w:eastAsia="Arial" w:hAnsi="Arial Nova" w:cs="Arial"/>
          <w:sz w:val="24"/>
          <w:szCs w:val="24"/>
        </w:rPr>
        <w:t>pagos extraordinarios recibidos en julio, por un monto total de S/ 420 millones, principalmente como resultado de acciones de control llevadas a cabo por la SUNAT.</w:t>
      </w:r>
    </w:p>
    <w:p w14:paraId="2EBE14AD" w14:textId="66FC328E" w:rsidR="006968B6" w:rsidRPr="006968B6" w:rsidRDefault="006968B6">
      <w:pPr>
        <w:spacing w:after="0" w:line="240" w:lineRule="auto"/>
        <w:jc w:val="center"/>
        <w:rPr>
          <w:rFonts w:ascii="Arial Nova" w:hAnsi="Arial Nova" w:cs="Arial"/>
          <w:b/>
          <w:sz w:val="24"/>
          <w:szCs w:val="24"/>
        </w:rPr>
      </w:pPr>
    </w:p>
    <w:p w14:paraId="65AF0B31" w14:textId="77777777" w:rsidR="00161E41" w:rsidRDefault="00161E41" w:rsidP="00312F8B">
      <w:pPr>
        <w:spacing w:before="240" w:line="240" w:lineRule="auto"/>
        <w:jc w:val="center"/>
        <w:rPr>
          <w:rFonts w:ascii="Arial Nova" w:hAnsi="Arial Nova" w:cs="Arial"/>
          <w:b/>
          <w:sz w:val="24"/>
          <w:szCs w:val="24"/>
        </w:rPr>
      </w:pPr>
    </w:p>
    <w:p w14:paraId="3BBC624C" w14:textId="77777777" w:rsidR="00161E41" w:rsidRDefault="00161E41" w:rsidP="00312F8B">
      <w:pPr>
        <w:spacing w:before="240" w:line="240" w:lineRule="auto"/>
        <w:jc w:val="center"/>
        <w:rPr>
          <w:rFonts w:ascii="Arial Nova" w:hAnsi="Arial Nova" w:cs="Arial"/>
          <w:b/>
          <w:sz w:val="24"/>
          <w:szCs w:val="24"/>
        </w:rPr>
      </w:pPr>
    </w:p>
    <w:p w14:paraId="234EBEB2" w14:textId="77777777" w:rsidR="00161E41" w:rsidRDefault="00161E41" w:rsidP="00312F8B">
      <w:pPr>
        <w:spacing w:before="240" w:line="240" w:lineRule="auto"/>
        <w:jc w:val="center"/>
        <w:rPr>
          <w:rFonts w:ascii="Arial Nova" w:hAnsi="Arial Nova" w:cs="Arial"/>
          <w:b/>
          <w:sz w:val="24"/>
          <w:szCs w:val="24"/>
        </w:rPr>
      </w:pPr>
    </w:p>
    <w:p w14:paraId="706565F8" w14:textId="77777777" w:rsidR="00161E41" w:rsidRDefault="00161E41" w:rsidP="00312F8B">
      <w:pPr>
        <w:spacing w:before="240" w:line="240" w:lineRule="auto"/>
        <w:jc w:val="center"/>
        <w:rPr>
          <w:rFonts w:ascii="Arial Nova" w:hAnsi="Arial Nova" w:cs="Arial"/>
          <w:b/>
          <w:sz w:val="24"/>
          <w:szCs w:val="24"/>
        </w:rPr>
      </w:pPr>
    </w:p>
    <w:p w14:paraId="6167EAA3" w14:textId="77777777" w:rsidR="00161E41" w:rsidRDefault="00161E41" w:rsidP="00312F8B">
      <w:pPr>
        <w:spacing w:before="240" w:line="240" w:lineRule="auto"/>
        <w:jc w:val="center"/>
        <w:rPr>
          <w:rFonts w:ascii="Arial Nova" w:hAnsi="Arial Nova" w:cs="Arial"/>
          <w:b/>
          <w:sz w:val="24"/>
          <w:szCs w:val="24"/>
        </w:rPr>
      </w:pPr>
    </w:p>
    <w:p w14:paraId="484E71D4" w14:textId="77777777" w:rsidR="00161E41" w:rsidRDefault="00161E41" w:rsidP="00312F8B">
      <w:pPr>
        <w:spacing w:before="240" w:line="240" w:lineRule="auto"/>
        <w:jc w:val="center"/>
        <w:rPr>
          <w:rFonts w:ascii="Arial Nova" w:hAnsi="Arial Nova" w:cs="Arial"/>
          <w:b/>
          <w:sz w:val="24"/>
          <w:szCs w:val="24"/>
        </w:rPr>
      </w:pPr>
    </w:p>
    <w:p w14:paraId="162B95A2" w14:textId="77777777" w:rsidR="00161E41" w:rsidRDefault="00161E41" w:rsidP="00312F8B">
      <w:pPr>
        <w:spacing w:before="240" w:line="240" w:lineRule="auto"/>
        <w:jc w:val="center"/>
        <w:rPr>
          <w:rFonts w:ascii="Arial Nova" w:hAnsi="Arial Nova" w:cs="Arial"/>
          <w:b/>
          <w:sz w:val="24"/>
          <w:szCs w:val="24"/>
        </w:rPr>
      </w:pPr>
    </w:p>
    <w:p w14:paraId="3572B077" w14:textId="77777777" w:rsidR="00161E41" w:rsidRDefault="00161E41" w:rsidP="00312F8B">
      <w:pPr>
        <w:spacing w:before="240" w:line="240" w:lineRule="auto"/>
        <w:jc w:val="center"/>
        <w:rPr>
          <w:rFonts w:ascii="Arial Nova" w:hAnsi="Arial Nova" w:cs="Arial"/>
          <w:b/>
          <w:sz w:val="24"/>
          <w:szCs w:val="24"/>
        </w:rPr>
      </w:pPr>
    </w:p>
    <w:p w14:paraId="72BBAEC8" w14:textId="77777777" w:rsidR="00161E41" w:rsidRDefault="00161E41" w:rsidP="00312F8B">
      <w:pPr>
        <w:spacing w:before="240" w:line="240" w:lineRule="auto"/>
        <w:jc w:val="center"/>
        <w:rPr>
          <w:rFonts w:ascii="Arial Nova" w:hAnsi="Arial Nova" w:cs="Arial"/>
          <w:b/>
          <w:sz w:val="24"/>
          <w:szCs w:val="24"/>
        </w:rPr>
      </w:pPr>
    </w:p>
    <w:p w14:paraId="509C88FB" w14:textId="77777777" w:rsidR="00161E41" w:rsidRDefault="00161E41" w:rsidP="00312F8B">
      <w:pPr>
        <w:spacing w:before="240" w:line="240" w:lineRule="auto"/>
        <w:jc w:val="center"/>
        <w:rPr>
          <w:rFonts w:ascii="Arial Nova" w:hAnsi="Arial Nova" w:cs="Arial"/>
          <w:b/>
          <w:sz w:val="24"/>
          <w:szCs w:val="24"/>
        </w:rPr>
      </w:pPr>
    </w:p>
    <w:p w14:paraId="4CCEE130" w14:textId="77777777" w:rsidR="00161E41" w:rsidRDefault="00161E41" w:rsidP="00312F8B">
      <w:pPr>
        <w:spacing w:before="240" w:line="240" w:lineRule="auto"/>
        <w:jc w:val="center"/>
        <w:rPr>
          <w:rFonts w:ascii="Arial Nova" w:hAnsi="Arial Nova" w:cs="Arial"/>
          <w:b/>
          <w:sz w:val="24"/>
          <w:szCs w:val="24"/>
        </w:rPr>
      </w:pPr>
    </w:p>
    <w:p w14:paraId="55FFECC8" w14:textId="77777777" w:rsidR="00161E41" w:rsidRDefault="00161E41" w:rsidP="00312F8B">
      <w:pPr>
        <w:spacing w:before="240" w:line="240" w:lineRule="auto"/>
        <w:jc w:val="center"/>
        <w:rPr>
          <w:rFonts w:ascii="Arial Nova" w:hAnsi="Arial Nova" w:cs="Arial"/>
          <w:b/>
          <w:sz w:val="24"/>
          <w:szCs w:val="24"/>
        </w:rPr>
      </w:pPr>
    </w:p>
    <w:p w14:paraId="60C70724" w14:textId="77777777" w:rsidR="00161E41" w:rsidRDefault="00161E41" w:rsidP="00312F8B">
      <w:pPr>
        <w:spacing w:before="240" w:line="240" w:lineRule="auto"/>
        <w:jc w:val="center"/>
        <w:rPr>
          <w:rFonts w:ascii="Arial Nova" w:hAnsi="Arial Nova" w:cs="Arial"/>
          <w:b/>
          <w:sz w:val="24"/>
          <w:szCs w:val="24"/>
        </w:rPr>
      </w:pPr>
    </w:p>
    <w:p w14:paraId="609AB6B0" w14:textId="562B9384" w:rsidR="00C329CA" w:rsidRPr="006968B6" w:rsidRDefault="00312F8B" w:rsidP="00312F8B">
      <w:pPr>
        <w:spacing w:before="240" w:line="240" w:lineRule="auto"/>
        <w:jc w:val="center"/>
        <w:rPr>
          <w:rFonts w:ascii="Arial Nova" w:hAnsi="Arial Nova" w:cs="Arial"/>
          <w:b/>
          <w:sz w:val="24"/>
          <w:szCs w:val="24"/>
        </w:rPr>
      </w:pPr>
      <w:r w:rsidRPr="006968B6">
        <w:rPr>
          <w:rFonts w:ascii="Arial Nova" w:hAnsi="Arial Nova" w:cs="Arial"/>
          <w:b/>
          <w:sz w:val="24"/>
          <w:szCs w:val="24"/>
        </w:rPr>
        <w:lastRenderedPageBreak/>
        <w:t>ANEXOS</w:t>
      </w:r>
    </w:p>
    <w:p w14:paraId="5C3F07A1" w14:textId="24C73059" w:rsidR="00312F8B" w:rsidRPr="006968B6" w:rsidRDefault="001249B7" w:rsidP="003D5D5B">
      <w:pPr>
        <w:spacing w:before="240" w:line="240" w:lineRule="auto"/>
        <w:jc w:val="both"/>
        <w:rPr>
          <w:rFonts w:ascii="Arial Nova" w:hAnsi="Arial Nova" w:cs="Arial"/>
          <w:b/>
          <w:sz w:val="24"/>
          <w:szCs w:val="24"/>
        </w:rPr>
      </w:pPr>
      <w:r w:rsidRPr="006968B6">
        <w:rPr>
          <w:rFonts w:ascii="Arial Nova" w:hAnsi="Arial Nova" w:cs="Arial"/>
          <w:bCs/>
          <w:noProof/>
          <w:sz w:val="24"/>
          <w:szCs w:val="24"/>
        </w:rPr>
        <w:drawing>
          <wp:anchor distT="0" distB="0" distL="114300" distR="114300" simplePos="0" relativeHeight="251693056" behindDoc="0" locked="0" layoutInCell="1" allowOverlap="1" wp14:anchorId="242883FD" wp14:editId="1EBE7741">
            <wp:simplePos x="0" y="0"/>
            <wp:positionH relativeFrom="margin">
              <wp:align>center</wp:align>
            </wp:positionH>
            <wp:positionV relativeFrom="paragraph">
              <wp:posOffset>3008684</wp:posOffset>
            </wp:positionV>
            <wp:extent cx="5043170" cy="2240280"/>
            <wp:effectExtent l="0" t="0" r="5080" b="7620"/>
            <wp:wrapSquare wrapText="bothSides"/>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312F8B" w:rsidRPr="006968B6">
        <w:rPr>
          <w:rFonts w:ascii="Arial Nova" w:hAnsi="Arial Nova" w:cs="Arial"/>
          <w:bCs/>
          <w:noProof/>
          <w:sz w:val="24"/>
          <w:szCs w:val="24"/>
        </w:rPr>
        <w:drawing>
          <wp:anchor distT="0" distB="0" distL="114300" distR="114300" simplePos="0" relativeHeight="251691008" behindDoc="0" locked="0" layoutInCell="1" allowOverlap="1" wp14:anchorId="04AB1F4B" wp14:editId="4D33EF3C">
            <wp:simplePos x="0" y="0"/>
            <wp:positionH relativeFrom="margin">
              <wp:posOffset>80010</wp:posOffset>
            </wp:positionH>
            <wp:positionV relativeFrom="paragraph">
              <wp:posOffset>224823</wp:posOffset>
            </wp:positionV>
            <wp:extent cx="5104130" cy="2225842"/>
            <wp:effectExtent l="0" t="0" r="1270" b="3175"/>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08968EA4" w14:textId="77777777" w:rsidR="00E64991" w:rsidRPr="006968B6" w:rsidRDefault="00E64991" w:rsidP="003D5D5B">
      <w:pPr>
        <w:spacing w:before="240" w:line="240" w:lineRule="auto"/>
        <w:jc w:val="both"/>
        <w:rPr>
          <w:rFonts w:ascii="Arial Nova" w:hAnsi="Arial Nova" w:cs="Arial"/>
          <w:b/>
          <w:sz w:val="24"/>
          <w:szCs w:val="24"/>
        </w:rPr>
      </w:pPr>
    </w:p>
    <w:p w14:paraId="4E74E7F0" w14:textId="7B969AC4" w:rsidR="001249B7" w:rsidRPr="006968B6" w:rsidRDefault="001249B7" w:rsidP="003D5D5B">
      <w:pPr>
        <w:spacing w:before="240" w:line="240" w:lineRule="auto"/>
        <w:jc w:val="both"/>
        <w:rPr>
          <w:rFonts w:ascii="Arial Nova" w:hAnsi="Arial Nova" w:cs="Arial"/>
          <w:bCs/>
          <w:sz w:val="24"/>
          <w:szCs w:val="24"/>
        </w:rPr>
      </w:pPr>
      <w:r w:rsidRPr="006968B6">
        <w:rPr>
          <w:rFonts w:ascii="Arial Nova" w:hAnsi="Arial Nova" w:cs="Arial"/>
          <w:noProof/>
          <w:kern w:val="24"/>
          <w:sz w:val="24"/>
          <w:szCs w:val="24"/>
          <w:lang w:val="es-ES"/>
        </w:rPr>
        <w:drawing>
          <wp:anchor distT="0" distB="0" distL="114300" distR="114300" simplePos="0" relativeHeight="251695104" behindDoc="0" locked="0" layoutInCell="1" allowOverlap="1" wp14:anchorId="2D3BFADB" wp14:editId="437708D9">
            <wp:simplePos x="0" y="0"/>
            <wp:positionH relativeFrom="margin">
              <wp:posOffset>285750</wp:posOffset>
            </wp:positionH>
            <wp:positionV relativeFrom="paragraph">
              <wp:posOffset>71187</wp:posOffset>
            </wp:positionV>
            <wp:extent cx="4907915" cy="2146300"/>
            <wp:effectExtent l="0" t="0" r="6985" b="6350"/>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7A21A15C" w14:textId="459E2DEF" w:rsidR="001249B7" w:rsidRPr="006968B6" w:rsidRDefault="001249B7" w:rsidP="003D5D5B">
      <w:pPr>
        <w:spacing w:before="240" w:line="240" w:lineRule="auto"/>
        <w:jc w:val="both"/>
        <w:rPr>
          <w:rFonts w:ascii="Arial Nova" w:hAnsi="Arial Nova" w:cs="Arial"/>
          <w:bCs/>
          <w:sz w:val="24"/>
          <w:szCs w:val="24"/>
        </w:rPr>
      </w:pPr>
    </w:p>
    <w:p w14:paraId="463C2B63" w14:textId="2F0F63F7" w:rsidR="001249B7" w:rsidRPr="006968B6" w:rsidRDefault="001249B7" w:rsidP="003D5D5B">
      <w:pPr>
        <w:spacing w:before="240" w:line="240" w:lineRule="auto"/>
        <w:jc w:val="both"/>
        <w:rPr>
          <w:rFonts w:ascii="Arial Nova" w:hAnsi="Arial Nova" w:cs="Arial"/>
          <w:bCs/>
          <w:sz w:val="24"/>
          <w:szCs w:val="24"/>
        </w:rPr>
      </w:pPr>
    </w:p>
    <w:p w14:paraId="36FFFD32" w14:textId="15A14ABF" w:rsidR="001249B7" w:rsidRPr="006968B6" w:rsidRDefault="001249B7" w:rsidP="003D5D5B">
      <w:pPr>
        <w:spacing w:before="240" w:line="240" w:lineRule="auto"/>
        <w:jc w:val="both"/>
        <w:rPr>
          <w:rFonts w:ascii="Arial Nova" w:hAnsi="Arial Nova" w:cs="Arial"/>
          <w:bCs/>
          <w:sz w:val="24"/>
          <w:szCs w:val="24"/>
        </w:rPr>
      </w:pPr>
    </w:p>
    <w:p w14:paraId="67BD4438" w14:textId="62EF1972" w:rsidR="001249B7" w:rsidRPr="006968B6" w:rsidRDefault="001249B7" w:rsidP="003D5D5B">
      <w:pPr>
        <w:spacing w:before="240" w:line="240" w:lineRule="auto"/>
        <w:jc w:val="both"/>
        <w:rPr>
          <w:rFonts w:ascii="Arial Nova" w:hAnsi="Arial Nova" w:cs="Arial"/>
          <w:bCs/>
          <w:sz w:val="24"/>
          <w:szCs w:val="24"/>
        </w:rPr>
      </w:pPr>
    </w:p>
    <w:p w14:paraId="09B002FC" w14:textId="406F257C" w:rsidR="001249B7" w:rsidRPr="006968B6" w:rsidRDefault="001249B7" w:rsidP="003D5D5B">
      <w:pPr>
        <w:spacing w:before="240" w:line="240" w:lineRule="auto"/>
        <w:jc w:val="both"/>
        <w:rPr>
          <w:rFonts w:ascii="Arial Nova" w:hAnsi="Arial Nova" w:cs="Arial"/>
          <w:bCs/>
          <w:sz w:val="24"/>
          <w:szCs w:val="24"/>
        </w:rPr>
      </w:pPr>
    </w:p>
    <w:p w14:paraId="02FDD8C6" w14:textId="5F71C56C" w:rsidR="001249B7" w:rsidRPr="006968B6" w:rsidRDefault="001249B7" w:rsidP="003D5D5B">
      <w:pPr>
        <w:spacing w:before="240" w:line="240" w:lineRule="auto"/>
        <w:jc w:val="both"/>
        <w:rPr>
          <w:rFonts w:ascii="Arial Nova" w:hAnsi="Arial Nova" w:cs="Arial"/>
          <w:bCs/>
          <w:sz w:val="24"/>
          <w:szCs w:val="24"/>
        </w:rPr>
      </w:pPr>
    </w:p>
    <w:p w14:paraId="2AAFA17F" w14:textId="68BC1981" w:rsidR="001249B7" w:rsidRPr="006968B6" w:rsidRDefault="005A2BED" w:rsidP="003D5D5B">
      <w:pPr>
        <w:spacing w:before="240" w:line="240" w:lineRule="auto"/>
        <w:jc w:val="both"/>
        <w:rPr>
          <w:rFonts w:ascii="Arial Nova" w:hAnsi="Arial Nova" w:cs="Arial"/>
          <w:bCs/>
          <w:sz w:val="24"/>
          <w:szCs w:val="24"/>
        </w:rPr>
      </w:pPr>
      <w:r w:rsidRPr="006968B6">
        <w:rPr>
          <w:rFonts w:ascii="Arial Nova" w:hAnsi="Arial Nova" w:cs="Arial"/>
          <w:noProof/>
          <w:kern w:val="24"/>
          <w:sz w:val="24"/>
          <w:szCs w:val="24"/>
          <w:lang w:val="es-ES"/>
        </w:rPr>
        <w:lastRenderedPageBreak/>
        <w:drawing>
          <wp:anchor distT="0" distB="0" distL="114300" distR="114300" simplePos="0" relativeHeight="251697152" behindDoc="0" locked="0" layoutInCell="1" allowOverlap="1" wp14:anchorId="79202B26" wp14:editId="1F3751C9">
            <wp:simplePos x="0" y="0"/>
            <wp:positionH relativeFrom="margin">
              <wp:posOffset>306705</wp:posOffset>
            </wp:positionH>
            <wp:positionV relativeFrom="paragraph">
              <wp:posOffset>342900</wp:posOffset>
            </wp:positionV>
            <wp:extent cx="4899660" cy="2369820"/>
            <wp:effectExtent l="0" t="0" r="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12045E4B" w14:textId="0A548D44" w:rsidR="001249B7" w:rsidRPr="006968B6" w:rsidRDefault="001249B7" w:rsidP="003D5D5B">
      <w:pPr>
        <w:spacing w:before="240" w:line="240" w:lineRule="auto"/>
        <w:jc w:val="both"/>
        <w:rPr>
          <w:rFonts w:ascii="Arial Nova" w:hAnsi="Arial Nova" w:cs="Arial"/>
          <w:bCs/>
          <w:sz w:val="24"/>
          <w:szCs w:val="24"/>
        </w:rPr>
      </w:pPr>
    </w:p>
    <w:p w14:paraId="7B3F6F28" w14:textId="4B983EB4" w:rsidR="001249B7" w:rsidRPr="006968B6" w:rsidRDefault="001249B7" w:rsidP="003D5D5B">
      <w:pPr>
        <w:spacing w:before="240" w:line="240" w:lineRule="auto"/>
        <w:jc w:val="both"/>
        <w:rPr>
          <w:rFonts w:ascii="Arial Nova" w:hAnsi="Arial Nova" w:cs="Arial"/>
          <w:bCs/>
          <w:sz w:val="24"/>
          <w:szCs w:val="24"/>
        </w:rPr>
      </w:pPr>
    </w:p>
    <w:p w14:paraId="2AAA4BE5" w14:textId="622E5520" w:rsidR="001249B7" w:rsidRPr="006968B6" w:rsidRDefault="001249B7" w:rsidP="003D5D5B">
      <w:pPr>
        <w:spacing w:before="240" w:line="240" w:lineRule="auto"/>
        <w:jc w:val="both"/>
        <w:rPr>
          <w:rFonts w:ascii="Arial Nova" w:hAnsi="Arial Nova" w:cs="Arial"/>
          <w:bCs/>
          <w:sz w:val="24"/>
          <w:szCs w:val="24"/>
        </w:rPr>
      </w:pPr>
    </w:p>
    <w:p w14:paraId="626C416A" w14:textId="77777777" w:rsidR="00EE3FD8" w:rsidRPr="006968B6" w:rsidRDefault="00EE3FD8">
      <w:pPr>
        <w:spacing w:after="0" w:line="240" w:lineRule="auto"/>
        <w:jc w:val="center"/>
        <w:rPr>
          <w:rFonts w:ascii="Arial Nova" w:hAnsi="Arial Nova" w:cs="Arial"/>
          <w:b/>
          <w:sz w:val="24"/>
          <w:szCs w:val="24"/>
        </w:rPr>
      </w:pPr>
      <w:r w:rsidRPr="006968B6">
        <w:rPr>
          <w:rFonts w:ascii="Arial Nova" w:hAnsi="Arial Nova" w:cs="Arial"/>
          <w:b/>
          <w:sz w:val="24"/>
          <w:szCs w:val="24"/>
        </w:rPr>
        <w:br w:type="page"/>
      </w:r>
    </w:p>
    <w:p w14:paraId="0C0ECFD9" w14:textId="3A031FF3" w:rsidR="001249B7" w:rsidRPr="006968B6" w:rsidRDefault="001249B7" w:rsidP="008411BC">
      <w:pPr>
        <w:spacing w:before="240" w:line="240" w:lineRule="auto"/>
        <w:contextualSpacing/>
        <w:jc w:val="center"/>
        <w:rPr>
          <w:rFonts w:ascii="Arial Nova" w:hAnsi="Arial Nova" w:cs="Arial"/>
          <w:b/>
        </w:rPr>
      </w:pPr>
      <w:r w:rsidRPr="006968B6">
        <w:rPr>
          <w:rFonts w:ascii="Arial Nova" w:hAnsi="Arial Nova" w:cs="Arial"/>
          <w:b/>
        </w:rPr>
        <w:lastRenderedPageBreak/>
        <w:t xml:space="preserve">Recaudación por tributo: </w:t>
      </w:r>
      <w:r w:rsidR="008411BC">
        <w:rPr>
          <w:rFonts w:ascii="Arial Nova" w:hAnsi="Arial Nova" w:cs="Arial"/>
          <w:b/>
        </w:rPr>
        <w:t>j</w:t>
      </w:r>
      <w:r w:rsidR="004001FE" w:rsidRPr="006968B6">
        <w:rPr>
          <w:rFonts w:ascii="Arial Nova" w:hAnsi="Arial Nova" w:cs="Arial"/>
          <w:b/>
        </w:rPr>
        <w:t>u</w:t>
      </w:r>
      <w:r w:rsidR="00773CE9" w:rsidRPr="006968B6">
        <w:rPr>
          <w:rFonts w:ascii="Arial Nova" w:hAnsi="Arial Nova" w:cs="Arial"/>
          <w:b/>
        </w:rPr>
        <w:t>l</w:t>
      </w:r>
      <w:r w:rsidR="004001FE" w:rsidRPr="006968B6">
        <w:rPr>
          <w:rFonts w:ascii="Arial Nova" w:hAnsi="Arial Nova" w:cs="Arial"/>
          <w:b/>
        </w:rPr>
        <w:t xml:space="preserve">io </w:t>
      </w:r>
      <w:r w:rsidRPr="006968B6">
        <w:rPr>
          <w:rFonts w:ascii="Arial Nova" w:hAnsi="Arial Nova" w:cs="Arial"/>
          <w:b/>
        </w:rPr>
        <w:t>2023</w:t>
      </w:r>
    </w:p>
    <w:p w14:paraId="4B732F7E" w14:textId="47BB97B1" w:rsidR="001249B7" w:rsidRPr="006968B6" w:rsidRDefault="001249B7" w:rsidP="008411BC">
      <w:pPr>
        <w:spacing w:before="240" w:line="240" w:lineRule="auto"/>
        <w:contextualSpacing/>
        <w:jc w:val="center"/>
        <w:rPr>
          <w:rFonts w:ascii="Arial Nova" w:hAnsi="Arial Nova" w:cs="Arial"/>
          <w:b/>
        </w:rPr>
      </w:pPr>
      <w:r w:rsidRPr="006968B6">
        <w:rPr>
          <w:rFonts w:ascii="Arial Nova" w:hAnsi="Arial Nova" w:cs="Arial"/>
          <w:b/>
        </w:rPr>
        <w:t>(</w:t>
      </w:r>
      <w:r w:rsidR="008411BC">
        <w:rPr>
          <w:rFonts w:ascii="Arial Nova" w:hAnsi="Arial Nova" w:cs="Arial"/>
          <w:b/>
        </w:rPr>
        <w:t>e</w:t>
      </w:r>
      <w:r w:rsidRPr="006968B6">
        <w:rPr>
          <w:rFonts w:ascii="Arial Nova" w:hAnsi="Arial Nova" w:cs="Arial"/>
          <w:b/>
        </w:rPr>
        <w:t>n millones de soles y variación % real)</w:t>
      </w:r>
    </w:p>
    <w:p w14:paraId="238F92C9" w14:textId="77777777" w:rsidR="00111298" w:rsidRPr="006968B6" w:rsidRDefault="00111298" w:rsidP="001249B7">
      <w:pPr>
        <w:spacing w:before="240" w:line="240" w:lineRule="auto"/>
        <w:contextualSpacing/>
        <w:jc w:val="both"/>
        <w:rPr>
          <w:rFonts w:ascii="Arial Nova" w:hAnsi="Arial Nova" w:cs="Arial"/>
          <w:b/>
          <w:sz w:val="24"/>
          <w:szCs w:val="24"/>
        </w:rPr>
      </w:pPr>
    </w:p>
    <w:p w14:paraId="604C3151" w14:textId="5BE192E2" w:rsidR="00111298" w:rsidRPr="006968B6" w:rsidRDefault="000B49D5" w:rsidP="001249B7">
      <w:pPr>
        <w:spacing w:before="240" w:line="240" w:lineRule="auto"/>
        <w:contextualSpacing/>
        <w:jc w:val="both"/>
        <w:rPr>
          <w:rFonts w:ascii="Arial Nova" w:hAnsi="Arial Nova" w:cs="Arial"/>
          <w:bCs/>
        </w:rPr>
      </w:pPr>
      <w:r w:rsidRPr="000B49D5">
        <w:rPr>
          <w:noProof/>
        </w:rPr>
        <w:drawing>
          <wp:inline distT="0" distB="0" distL="0" distR="0" wp14:anchorId="101F000E" wp14:editId="544CE4F5">
            <wp:extent cx="5399604" cy="464982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6226" cy="4655523"/>
                    </a:xfrm>
                    <a:prstGeom prst="rect">
                      <a:avLst/>
                    </a:prstGeom>
                    <a:noFill/>
                    <a:ln>
                      <a:noFill/>
                    </a:ln>
                  </pic:spPr>
                </pic:pic>
              </a:graphicData>
            </a:graphic>
          </wp:inline>
        </w:drawing>
      </w:r>
    </w:p>
    <w:p w14:paraId="13F4C1AA" w14:textId="2FB63FF8" w:rsidR="00111298" w:rsidRPr="006968B6" w:rsidRDefault="00111298" w:rsidP="001249B7">
      <w:pPr>
        <w:spacing w:before="240" w:line="240" w:lineRule="auto"/>
        <w:contextualSpacing/>
        <w:jc w:val="both"/>
        <w:rPr>
          <w:rFonts w:ascii="Arial Nova" w:hAnsi="Arial Nova" w:cs="Arial"/>
          <w:bCs/>
        </w:rPr>
      </w:pPr>
    </w:p>
    <w:p w14:paraId="089CA7AA" w14:textId="7CD8CCEA" w:rsidR="00111298" w:rsidRPr="006968B6" w:rsidRDefault="00111298" w:rsidP="001249B7">
      <w:pPr>
        <w:spacing w:before="240" w:line="240" w:lineRule="auto"/>
        <w:contextualSpacing/>
        <w:jc w:val="both"/>
        <w:rPr>
          <w:rFonts w:ascii="Arial Nova" w:hAnsi="Arial Nova" w:cs="Arial"/>
          <w:bCs/>
        </w:rPr>
      </w:pPr>
    </w:p>
    <w:p w14:paraId="243A3B00" w14:textId="68F62A91" w:rsidR="00111298" w:rsidRPr="006968B6" w:rsidRDefault="00111298" w:rsidP="001249B7">
      <w:pPr>
        <w:spacing w:before="240" w:line="240" w:lineRule="auto"/>
        <w:contextualSpacing/>
        <w:jc w:val="both"/>
        <w:rPr>
          <w:rFonts w:ascii="Arial Nova" w:hAnsi="Arial Nova" w:cs="Arial"/>
          <w:bCs/>
        </w:rPr>
      </w:pPr>
    </w:p>
    <w:p w14:paraId="1075D746" w14:textId="77AFBD97" w:rsidR="001249B7" w:rsidRPr="00161E41" w:rsidRDefault="001249B7" w:rsidP="001249B7">
      <w:pPr>
        <w:spacing w:before="240" w:line="240" w:lineRule="auto"/>
        <w:contextualSpacing/>
        <w:jc w:val="both"/>
        <w:rPr>
          <w:rFonts w:ascii="Arial Nova" w:hAnsi="Arial Nova" w:cs="Arial"/>
          <w:b/>
        </w:rPr>
      </w:pPr>
      <w:r w:rsidRPr="00161E41">
        <w:rPr>
          <w:rFonts w:ascii="Arial Nova" w:hAnsi="Arial Nova" w:cs="Arial"/>
          <w:b/>
        </w:rPr>
        <w:t>Gerencia de Comunicaciones e Imagen Institucional</w:t>
      </w:r>
    </w:p>
    <w:p w14:paraId="6FB84E64" w14:textId="7A9A0405" w:rsidR="001249B7" w:rsidRPr="006968B6" w:rsidRDefault="001249B7" w:rsidP="001249B7">
      <w:pPr>
        <w:spacing w:before="240" w:line="240" w:lineRule="auto"/>
        <w:contextualSpacing/>
        <w:jc w:val="both"/>
        <w:rPr>
          <w:rFonts w:ascii="Arial Nova" w:hAnsi="Arial Nova" w:cs="Arial"/>
          <w:bCs/>
        </w:rPr>
      </w:pPr>
      <w:r w:rsidRPr="006968B6">
        <w:rPr>
          <w:rFonts w:ascii="Arial Nova" w:hAnsi="Arial Nova" w:cs="Arial"/>
          <w:bCs/>
        </w:rPr>
        <w:t>Lima,</w:t>
      </w:r>
      <w:r w:rsidR="00570A72" w:rsidRPr="006968B6">
        <w:rPr>
          <w:rFonts w:ascii="Arial Nova" w:hAnsi="Arial Nova" w:cs="Arial"/>
          <w:bCs/>
        </w:rPr>
        <w:t xml:space="preserve"> </w:t>
      </w:r>
      <w:r w:rsidR="00161E41">
        <w:rPr>
          <w:rFonts w:ascii="Arial Nova" w:hAnsi="Arial Nova" w:cs="Arial"/>
          <w:bCs/>
        </w:rPr>
        <w:t xml:space="preserve">jueves 3 </w:t>
      </w:r>
      <w:r w:rsidRPr="006968B6">
        <w:rPr>
          <w:rFonts w:ascii="Arial Nova" w:hAnsi="Arial Nova" w:cs="Arial"/>
          <w:bCs/>
        </w:rPr>
        <w:t xml:space="preserve">de </w:t>
      </w:r>
      <w:r w:rsidR="00EE3FD8" w:rsidRPr="006968B6">
        <w:rPr>
          <w:rFonts w:ascii="Arial Nova" w:hAnsi="Arial Nova" w:cs="Arial"/>
          <w:bCs/>
        </w:rPr>
        <w:t>agosto</w:t>
      </w:r>
      <w:r w:rsidRPr="006968B6">
        <w:rPr>
          <w:rFonts w:ascii="Arial Nova" w:hAnsi="Arial Nova" w:cs="Arial"/>
          <w:bCs/>
        </w:rPr>
        <w:t xml:space="preserve"> del 2023.</w:t>
      </w:r>
    </w:p>
    <w:sectPr w:rsidR="001249B7" w:rsidRPr="006968B6" w:rsidSect="00560B92">
      <w:headerReference w:type="default" r:id="rId13"/>
      <w:footerReference w:type="default" r:id="rId14"/>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C0EC" w14:textId="77777777" w:rsidR="004A4546" w:rsidRDefault="004A4546" w:rsidP="0011247F">
      <w:pPr>
        <w:spacing w:after="0" w:line="240" w:lineRule="auto"/>
      </w:pPr>
      <w:r>
        <w:separator/>
      </w:r>
    </w:p>
  </w:endnote>
  <w:endnote w:type="continuationSeparator" w:id="0">
    <w:p w14:paraId="4B9ECD17" w14:textId="77777777" w:rsidR="004A4546" w:rsidRDefault="004A4546" w:rsidP="0011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726B" w14:textId="13455267" w:rsidR="00560B92" w:rsidRPr="00560B92" w:rsidRDefault="00560B92" w:rsidP="00560B92">
    <w:pPr>
      <w:tabs>
        <w:tab w:val="center" w:pos="4252"/>
        <w:tab w:val="right" w:pos="8504"/>
      </w:tabs>
      <w:spacing w:after="0" w:line="240" w:lineRule="auto"/>
      <w:rPr>
        <w:rFonts w:cs="Times New Roman"/>
        <w:lang w:eastAsia="en-US"/>
      </w:rPr>
    </w:pPr>
    <w:r w:rsidRPr="00560B92">
      <w:rPr>
        <w:rFonts w:cs="Times New Roman"/>
        <w:noProof/>
        <w:lang w:eastAsia="en-US"/>
      </w:rPr>
      <w:drawing>
        <wp:inline distT="0" distB="0" distL="0" distR="0" wp14:anchorId="1BCC8E2C" wp14:editId="50882D79">
          <wp:extent cx="285750" cy="2857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Pr="00560B92">
      <w:rPr>
        <w:rFonts w:cs="Times New Roman"/>
        <w:lang w:eastAsia="en-US"/>
      </w:rPr>
      <w:t>@SUNATOficial</w:t>
    </w:r>
  </w:p>
  <w:p w14:paraId="4FFDEFBF" w14:textId="77777777" w:rsidR="00560B92" w:rsidRDefault="00560B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F24F" w14:textId="77777777" w:rsidR="004A4546" w:rsidRDefault="004A4546" w:rsidP="0011247F">
      <w:pPr>
        <w:spacing w:after="0" w:line="240" w:lineRule="auto"/>
      </w:pPr>
      <w:r>
        <w:separator/>
      </w:r>
    </w:p>
  </w:footnote>
  <w:footnote w:type="continuationSeparator" w:id="0">
    <w:p w14:paraId="537A2733" w14:textId="77777777" w:rsidR="004A4546" w:rsidRDefault="004A4546" w:rsidP="0011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8FF" w14:textId="1E95FECA" w:rsidR="00560B92" w:rsidRDefault="00560B92">
    <w:pPr>
      <w:pStyle w:val="Encabezado"/>
    </w:pPr>
    <w:r w:rsidRPr="000F63EA">
      <w:rPr>
        <w:noProof/>
      </w:rPr>
      <w:drawing>
        <wp:inline distT="0" distB="0" distL="0" distR="0" wp14:anchorId="6B8B9CE5" wp14:editId="7D5770F9">
          <wp:extent cx="2209800" cy="704850"/>
          <wp:effectExtent l="0" t="0" r="0" b="0"/>
          <wp:docPr id="5" name="Imagen 5"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11E"/>
    <w:multiLevelType w:val="hybridMultilevel"/>
    <w:tmpl w:val="FDD80B9C"/>
    <w:lvl w:ilvl="0" w:tplc="DE2CDCB0">
      <w:start w:val="350"/>
      <w:numFmt w:val="bullet"/>
      <w:lvlText w:val="-"/>
      <w:lvlJc w:val="left"/>
      <w:pPr>
        <w:ind w:left="786" w:hanging="360"/>
      </w:pPr>
      <w:rPr>
        <w:rFonts w:ascii="Arial" w:eastAsia="Arial"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1468040C"/>
    <w:multiLevelType w:val="hybridMultilevel"/>
    <w:tmpl w:val="4BB83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AC708BF"/>
    <w:multiLevelType w:val="hybridMultilevel"/>
    <w:tmpl w:val="69F65B50"/>
    <w:lvl w:ilvl="0" w:tplc="280A000D">
      <w:start w:val="1"/>
      <w:numFmt w:val="bullet"/>
      <w:lvlText w:val=""/>
      <w:lvlJc w:val="left"/>
      <w:pPr>
        <w:ind w:left="1145" w:hanging="360"/>
      </w:pPr>
      <w:rPr>
        <w:rFonts w:ascii="Wingdings" w:hAnsi="Wingdings"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 w15:restartNumberingAfterBreak="0">
    <w:nsid w:val="1D6F6E61"/>
    <w:multiLevelType w:val="hybridMultilevel"/>
    <w:tmpl w:val="815C43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27547DD1"/>
    <w:multiLevelType w:val="hybridMultilevel"/>
    <w:tmpl w:val="26A4D57E"/>
    <w:lvl w:ilvl="0" w:tplc="280A0001">
      <w:start w:val="1"/>
      <w:numFmt w:val="bullet"/>
      <w:lvlText w:val=""/>
      <w:lvlJc w:val="left"/>
      <w:pPr>
        <w:ind w:left="1508" w:hanging="360"/>
      </w:pPr>
      <w:rPr>
        <w:rFonts w:ascii="Symbol" w:hAnsi="Symbol" w:hint="default"/>
      </w:rPr>
    </w:lvl>
    <w:lvl w:ilvl="1" w:tplc="280A0003" w:tentative="1">
      <w:start w:val="1"/>
      <w:numFmt w:val="bullet"/>
      <w:lvlText w:val="o"/>
      <w:lvlJc w:val="left"/>
      <w:pPr>
        <w:ind w:left="2228" w:hanging="360"/>
      </w:pPr>
      <w:rPr>
        <w:rFonts w:ascii="Courier New" w:hAnsi="Courier New" w:cs="Courier New" w:hint="default"/>
      </w:rPr>
    </w:lvl>
    <w:lvl w:ilvl="2" w:tplc="280A0005" w:tentative="1">
      <w:start w:val="1"/>
      <w:numFmt w:val="bullet"/>
      <w:lvlText w:val=""/>
      <w:lvlJc w:val="left"/>
      <w:pPr>
        <w:ind w:left="2948" w:hanging="360"/>
      </w:pPr>
      <w:rPr>
        <w:rFonts w:ascii="Wingdings" w:hAnsi="Wingdings" w:hint="default"/>
      </w:rPr>
    </w:lvl>
    <w:lvl w:ilvl="3" w:tplc="280A0001" w:tentative="1">
      <w:start w:val="1"/>
      <w:numFmt w:val="bullet"/>
      <w:lvlText w:val=""/>
      <w:lvlJc w:val="left"/>
      <w:pPr>
        <w:ind w:left="3668" w:hanging="360"/>
      </w:pPr>
      <w:rPr>
        <w:rFonts w:ascii="Symbol" w:hAnsi="Symbol" w:hint="default"/>
      </w:rPr>
    </w:lvl>
    <w:lvl w:ilvl="4" w:tplc="280A0003" w:tentative="1">
      <w:start w:val="1"/>
      <w:numFmt w:val="bullet"/>
      <w:lvlText w:val="o"/>
      <w:lvlJc w:val="left"/>
      <w:pPr>
        <w:ind w:left="4388" w:hanging="360"/>
      </w:pPr>
      <w:rPr>
        <w:rFonts w:ascii="Courier New" w:hAnsi="Courier New" w:cs="Courier New" w:hint="default"/>
      </w:rPr>
    </w:lvl>
    <w:lvl w:ilvl="5" w:tplc="280A0005" w:tentative="1">
      <w:start w:val="1"/>
      <w:numFmt w:val="bullet"/>
      <w:lvlText w:val=""/>
      <w:lvlJc w:val="left"/>
      <w:pPr>
        <w:ind w:left="5108" w:hanging="360"/>
      </w:pPr>
      <w:rPr>
        <w:rFonts w:ascii="Wingdings" w:hAnsi="Wingdings" w:hint="default"/>
      </w:rPr>
    </w:lvl>
    <w:lvl w:ilvl="6" w:tplc="280A0001" w:tentative="1">
      <w:start w:val="1"/>
      <w:numFmt w:val="bullet"/>
      <w:lvlText w:val=""/>
      <w:lvlJc w:val="left"/>
      <w:pPr>
        <w:ind w:left="5828" w:hanging="360"/>
      </w:pPr>
      <w:rPr>
        <w:rFonts w:ascii="Symbol" w:hAnsi="Symbol" w:hint="default"/>
      </w:rPr>
    </w:lvl>
    <w:lvl w:ilvl="7" w:tplc="280A0003" w:tentative="1">
      <w:start w:val="1"/>
      <w:numFmt w:val="bullet"/>
      <w:lvlText w:val="o"/>
      <w:lvlJc w:val="left"/>
      <w:pPr>
        <w:ind w:left="6548" w:hanging="360"/>
      </w:pPr>
      <w:rPr>
        <w:rFonts w:ascii="Courier New" w:hAnsi="Courier New" w:cs="Courier New" w:hint="default"/>
      </w:rPr>
    </w:lvl>
    <w:lvl w:ilvl="8" w:tplc="280A0005" w:tentative="1">
      <w:start w:val="1"/>
      <w:numFmt w:val="bullet"/>
      <w:lvlText w:val=""/>
      <w:lvlJc w:val="left"/>
      <w:pPr>
        <w:ind w:left="7268" w:hanging="360"/>
      </w:pPr>
      <w:rPr>
        <w:rFonts w:ascii="Wingdings" w:hAnsi="Wingdings" w:hint="default"/>
      </w:rPr>
    </w:lvl>
  </w:abstractNum>
  <w:abstractNum w:abstractNumId="5" w15:restartNumberingAfterBreak="0">
    <w:nsid w:val="331A1708"/>
    <w:multiLevelType w:val="hybridMultilevel"/>
    <w:tmpl w:val="6FA46C22"/>
    <w:lvl w:ilvl="0" w:tplc="280A0001">
      <w:start w:val="1"/>
      <w:numFmt w:val="bullet"/>
      <w:lvlText w:val=""/>
      <w:lvlJc w:val="left"/>
      <w:pPr>
        <w:ind w:left="428" w:hanging="360"/>
      </w:pPr>
      <w:rPr>
        <w:rFonts w:ascii="Symbol" w:hAnsi="Symbol" w:hint="default"/>
      </w:rPr>
    </w:lvl>
    <w:lvl w:ilvl="1" w:tplc="280A0003" w:tentative="1">
      <w:start w:val="1"/>
      <w:numFmt w:val="bullet"/>
      <w:lvlText w:val="o"/>
      <w:lvlJc w:val="left"/>
      <w:pPr>
        <w:ind w:left="1148" w:hanging="360"/>
      </w:pPr>
      <w:rPr>
        <w:rFonts w:ascii="Courier New" w:hAnsi="Courier New" w:cs="Courier New" w:hint="default"/>
      </w:rPr>
    </w:lvl>
    <w:lvl w:ilvl="2" w:tplc="280A0005" w:tentative="1">
      <w:start w:val="1"/>
      <w:numFmt w:val="bullet"/>
      <w:lvlText w:val=""/>
      <w:lvlJc w:val="left"/>
      <w:pPr>
        <w:ind w:left="1868" w:hanging="360"/>
      </w:pPr>
      <w:rPr>
        <w:rFonts w:ascii="Wingdings" w:hAnsi="Wingdings" w:hint="default"/>
      </w:rPr>
    </w:lvl>
    <w:lvl w:ilvl="3" w:tplc="280A0001" w:tentative="1">
      <w:start w:val="1"/>
      <w:numFmt w:val="bullet"/>
      <w:lvlText w:val=""/>
      <w:lvlJc w:val="left"/>
      <w:pPr>
        <w:ind w:left="2588" w:hanging="360"/>
      </w:pPr>
      <w:rPr>
        <w:rFonts w:ascii="Symbol" w:hAnsi="Symbol" w:hint="default"/>
      </w:rPr>
    </w:lvl>
    <w:lvl w:ilvl="4" w:tplc="280A0003" w:tentative="1">
      <w:start w:val="1"/>
      <w:numFmt w:val="bullet"/>
      <w:lvlText w:val="o"/>
      <w:lvlJc w:val="left"/>
      <w:pPr>
        <w:ind w:left="3308" w:hanging="360"/>
      </w:pPr>
      <w:rPr>
        <w:rFonts w:ascii="Courier New" w:hAnsi="Courier New" w:cs="Courier New" w:hint="default"/>
      </w:rPr>
    </w:lvl>
    <w:lvl w:ilvl="5" w:tplc="280A0005" w:tentative="1">
      <w:start w:val="1"/>
      <w:numFmt w:val="bullet"/>
      <w:lvlText w:val=""/>
      <w:lvlJc w:val="left"/>
      <w:pPr>
        <w:ind w:left="4028" w:hanging="360"/>
      </w:pPr>
      <w:rPr>
        <w:rFonts w:ascii="Wingdings" w:hAnsi="Wingdings" w:hint="default"/>
      </w:rPr>
    </w:lvl>
    <w:lvl w:ilvl="6" w:tplc="280A0001" w:tentative="1">
      <w:start w:val="1"/>
      <w:numFmt w:val="bullet"/>
      <w:lvlText w:val=""/>
      <w:lvlJc w:val="left"/>
      <w:pPr>
        <w:ind w:left="4748" w:hanging="360"/>
      </w:pPr>
      <w:rPr>
        <w:rFonts w:ascii="Symbol" w:hAnsi="Symbol" w:hint="default"/>
      </w:rPr>
    </w:lvl>
    <w:lvl w:ilvl="7" w:tplc="280A0003" w:tentative="1">
      <w:start w:val="1"/>
      <w:numFmt w:val="bullet"/>
      <w:lvlText w:val="o"/>
      <w:lvlJc w:val="left"/>
      <w:pPr>
        <w:ind w:left="5468" w:hanging="360"/>
      </w:pPr>
      <w:rPr>
        <w:rFonts w:ascii="Courier New" w:hAnsi="Courier New" w:cs="Courier New" w:hint="default"/>
      </w:rPr>
    </w:lvl>
    <w:lvl w:ilvl="8" w:tplc="280A0005" w:tentative="1">
      <w:start w:val="1"/>
      <w:numFmt w:val="bullet"/>
      <w:lvlText w:val=""/>
      <w:lvlJc w:val="left"/>
      <w:pPr>
        <w:ind w:left="6188" w:hanging="360"/>
      </w:pPr>
      <w:rPr>
        <w:rFonts w:ascii="Wingdings" w:hAnsi="Wingdings" w:hint="default"/>
      </w:rPr>
    </w:lvl>
  </w:abstractNum>
  <w:abstractNum w:abstractNumId="6" w15:restartNumberingAfterBreak="0">
    <w:nsid w:val="3B3947D3"/>
    <w:multiLevelType w:val="hybridMultilevel"/>
    <w:tmpl w:val="620CC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5A7668D"/>
    <w:multiLevelType w:val="hybridMultilevel"/>
    <w:tmpl w:val="06DEAD4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572D2F46"/>
    <w:multiLevelType w:val="hybridMultilevel"/>
    <w:tmpl w:val="9410B90C"/>
    <w:lvl w:ilvl="0" w:tplc="788AD3F0">
      <w:start w:val="1"/>
      <w:numFmt w:val="bullet"/>
      <w:lvlText w:val=""/>
      <w:lvlJc w:val="left"/>
      <w:pPr>
        <w:tabs>
          <w:tab w:val="num" w:pos="720"/>
        </w:tabs>
        <w:ind w:left="720" w:hanging="360"/>
      </w:pPr>
      <w:rPr>
        <w:rFonts w:ascii="Wingdings" w:hAnsi="Wingdings" w:hint="default"/>
      </w:rPr>
    </w:lvl>
    <w:lvl w:ilvl="1" w:tplc="28989DB4" w:tentative="1">
      <w:start w:val="1"/>
      <w:numFmt w:val="bullet"/>
      <w:lvlText w:val=""/>
      <w:lvlJc w:val="left"/>
      <w:pPr>
        <w:tabs>
          <w:tab w:val="num" w:pos="1440"/>
        </w:tabs>
        <w:ind w:left="1440" w:hanging="360"/>
      </w:pPr>
      <w:rPr>
        <w:rFonts w:ascii="Wingdings" w:hAnsi="Wingdings" w:hint="default"/>
      </w:rPr>
    </w:lvl>
    <w:lvl w:ilvl="2" w:tplc="B3240D62" w:tentative="1">
      <w:start w:val="1"/>
      <w:numFmt w:val="bullet"/>
      <w:lvlText w:val=""/>
      <w:lvlJc w:val="left"/>
      <w:pPr>
        <w:tabs>
          <w:tab w:val="num" w:pos="2160"/>
        </w:tabs>
        <w:ind w:left="2160" w:hanging="360"/>
      </w:pPr>
      <w:rPr>
        <w:rFonts w:ascii="Wingdings" w:hAnsi="Wingdings" w:hint="default"/>
      </w:rPr>
    </w:lvl>
    <w:lvl w:ilvl="3" w:tplc="B5C6F844" w:tentative="1">
      <w:start w:val="1"/>
      <w:numFmt w:val="bullet"/>
      <w:lvlText w:val=""/>
      <w:lvlJc w:val="left"/>
      <w:pPr>
        <w:tabs>
          <w:tab w:val="num" w:pos="2880"/>
        </w:tabs>
        <w:ind w:left="2880" w:hanging="360"/>
      </w:pPr>
      <w:rPr>
        <w:rFonts w:ascii="Wingdings" w:hAnsi="Wingdings" w:hint="default"/>
      </w:rPr>
    </w:lvl>
    <w:lvl w:ilvl="4" w:tplc="D1C03690" w:tentative="1">
      <w:start w:val="1"/>
      <w:numFmt w:val="bullet"/>
      <w:lvlText w:val=""/>
      <w:lvlJc w:val="left"/>
      <w:pPr>
        <w:tabs>
          <w:tab w:val="num" w:pos="3600"/>
        </w:tabs>
        <w:ind w:left="3600" w:hanging="360"/>
      </w:pPr>
      <w:rPr>
        <w:rFonts w:ascii="Wingdings" w:hAnsi="Wingdings" w:hint="default"/>
      </w:rPr>
    </w:lvl>
    <w:lvl w:ilvl="5" w:tplc="B308B990" w:tentative="1">
      <w:start w:val="1"/>
      <w:numFmt w:val="bullet"/>
      <w:lvlText w:val=""/>
      <w:lvlJc w:val="left"/>
      <w:pPr>
        <w:tabs>
          <w:tab w:val="num" w:pos="4320"/>
        </w:tabs>
        <w:ind w:left="4320" w:hanging="360"/>
      </w:pPr>
      <w:rPr>
        <w:rFonts w:ascii="Wingdings" w:hAnsi="Wingdings" w:hint="default"/>
      </w:rPr>
    </w:lvl>
    <w:lvl w:ilvl="6" w:tplc="53F2D7E4" w:tentative="1">
      <w:start w:val="1"/>
      <w:numFmt w:val="bullet"/>
      <w:lvlText w:val=""/>
      <w:lvlJc w:val="left"/>
      <w:pPr>
        <w:tabs>
          <w:tab w:val="num" w:pos="5040"/>
        </w:tabs>
        <w:ind w:left="5040" w:hanging="360"/>
      </w:pPr>
      <w:rPr>
        <w:rFonts w:ascii="Wingdings" w:hAnsi="Wingdings" w:hint="default"/>
      </w:rPr>
    </w:lvl>
    <w:lvl w:ilvl="7" w:tplc="C76AD87E" w:tentative="1">
      <w:start w:val="1"/>
      <w:numFmt w:val="bullet"/>
      <w:lvlText w:val=""/>
      <w:lvlJc w:val="left"/>
      <w:pPr>
        <w:tabs>
          <w:tab w:val="num" w:pos="5760"/>
        </w:tabs>
        <w:ind w:left="5760" w:hanging="360"/>
      </w:pPr>
      <w:rPr>
        <w:rFonts w:ascii="Wingdings" w:hAnsi="Wingdings" w:hint="default"/>
      </w:rPr>
    </w:lvl>
    <w:lvl w:ilvl="8" w:tplc="DFD4806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9236AD"/>
    <w:multiLevelType w:val="hybridMultilevel"/>
    <w:tmpl w:val="7FB47E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ADC55C3"/>
    <w:multiLevelType w:val="hybridMultilevel"/>
    <w:tmpl w:val="B024079A"/>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1" w15:restartNumberingAfterBreak="0">
    <w:nsid w:val="6C16532B"/>
    <w:multiLevelType w:val="hybridMultilevel"/>
    <w:tmpl w:val="AB9274B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2" w15:restartNumberingAfterBreak="0">
    <w:nsid w:val="6D60597A"/>
    <w:multiLevelType w:val="hybridMultilevel"/>
    <w:tmpl w:val="D72C4176"/>
    <w:lvl w:ilvl="0" w:tplc="580A0001">
      <w:start w:val="1"/>
      <w:numFmt w:val="bullet"/>
      <w:lvlText w:val=""/>
      <w:lvlJc w:val="left"/>
      <w:pPr>
        <w:ind w:left="426" w:hanging="360"/>
      </w:pPr>
      <w:rPr>
        <w:rFonts w:ascii="Symbol" w:hAnsi="Symbol" w:hint="default"/>
      </w:rPr>
    </w:lvl>
    <w:lvl w:ilvl="1" w:tplc="580A0003" w:tentative="1">
      <w:start w:val="1"/>
      <w:numFmt w:val="bullet"/>
      <w:lvlText w:val="o"/>
      <w:lvlJc w:val="left"/>
      <w:pPr>
        <w:ind w:left="1146" w:hanging="360"/>
      </w:pPr>
      <w:rPr>
        <w:rFonts w:ascii="Courier New" w:hAnsi="Courier New" w:cs="Courier New" w:hint="default"/>
      </w:rPr>
    </w:lvl>
    <w:lvl w:ilvl="2" w:tplc="580A0005" w:tentative="1">
      <w:start w:val="1"/>
      <w:numFmt w:val="bullet"/>
      <w:lvlText w:val=""/>
      <w:lvlJc w:val="left"/>
      <w:pPr>
        <w:ind w:left="1866" w:hanging="360"/>
      </w:pPr>
      <w:rPr>
        <w:rFonts w:ascii="Wingdings" w:hAnsi="Wingdings" w:hint="default"/>
      </w:rPr>
    </w:lvl>
    <w:lvl w:ilvl="3" w:tplc="580A0001" w:tentative="1">
      <w:start w:val="1"/>
      <w:numFmt w:val="bullet"/>
      <w:lvlText w:val=""/>
      <w:lvlJc w:val="left"/>
      <w:pPr>
        <w:ind w:left="2586" w:hanging="360"/>
      </w:pPr>
      <w:rPr>
        <w:rFonts w:ascii="Symbol" w:hAnsi="Symbol" w:hint="default"/>
      </w:rPr>
    </w:lvl>
    <w:lvl w:ilvl="4" w:tplc="580A0003" w:tentative="1">
      <w:start w:val="1"/>
      <w:numFmt w:val="bullet"/>
      <w:lvlText w:val="o"/>
      <w:lvlJc w:val="left"/>
      <w:pPr>
        <w:ind w:left="3306" w:hanging="360"/>
      </w:pPr>
      <w:rPr>
        <w:rFonts w:ascii="Courier New" w:hAnsi="Courier New" w:cs="Courier New" w:hint="default"/>
      </w:rPr>
    </w:lvl>
    <w:lvl w:ilvl="5" w:tplc="580A0005" w:tentative="1">
      <w:start w:val="1"/>
      <w:numFmt w:val="bullet"/>
      <w:lvlText w:val=""/>
      <w:lvlJc w:val="left"/>
      <w:pPr>
        <w:ind w:left="4026" w:hanging="360"/>
      </w:pPr>
      <w:rPr>
        <w:rFonts w:ascii="Wingdings" w:hAnsi="Wingdings" w:hint="default"/>
      </w:rPr>
    </w:lvl>
    <w:lvl w:ilvl="6" w:tplc="580A0001" w:tentative="1">
      <w:start w:val="1"/>
      <w:numFmt w:val="bullet"/>
      <w:lvlText w:val=""/>
      <w:lvlJc w:val="left"/>
      <w:pPr>
        <w:ind w:left="4746" w:hanging="360"/>
      </w:pPr>
      <w:rPr>
        <w:rFonts w:ascii="Symbol" w:hAnsi="Symbol" w:hint="default"/>
      </w:rPr>
    </w:lvl>
    <w:lvl w:ilvl="7" w:tplc="580A0003" w:tentative="1">
      <w:start w:val="1"/>
      <w:numFmt w:val="bullet"/>
      <w:lvlText w:val="o"/>
      <w:lvlJc w:val="left"/>
      <w:pPr>
        <w:ind w:left="5466" w:hanging="360"/>
      </w:pPr>
      <w:rPr>
        <w:rFonts w:ascii="Courier New" w:hAnsi="Courier New" w:cs="Courier New" w:hint="default"/>
      </w:rPr>
    </w:lvl>
    <w:lvl w:ilvl="8" w:tplc="580A0005" w:tentative="1">
      <w:start w:val="1"/>
      <w:numFmt w:val="bullet"/>
      <w:lvlText w:val=""/>
      <w:lvlJc w:val="left"/>
      <w:pPr>
        <w:ind w:left="6186" w:hanging="360"/>
      </w:pPr>
      <w:rPr>
        <w:rFonts w:ascii="Wingdings" w:hAnsi="Wingdings" w:hint="default"/>
      </w:rPr>
    </w:lvl>
  </w:abstractNum>
  <w:abstractNum w:abstractNumId="13" w15:restartNumberingAfterBreak="0">
    <w:nsid w:val="73AA193C"/>
    <w:multiLevelType w:val="hybridMultilevel"/>
    <w:tmpl w:val="A998E038"/>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4" w15:restartNumberingAfterBreak="0">
    <w:nsid w:val="77EB5256"/>
    <w:multiLevelType w:val="hybridMultilevel"/>
    <w:tmpl w:val="E7D450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B151A34"/>
    <w:multiLevelType w:val="hybridMultilevel"/>
    <w:tmpl w:val="FE745DA2"/>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7DD81F93"/>
    <w:multiLevelType w:val="hybridMultilevel"/>
    <w:tmpl w:val="F53C8998"/>
    <w:lvl w:ilvl="0" w:tplc="280A0003">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1716659370">
    <w:abstractNumId w:val="10"/>
  </w:num>
  <w:num w:numId="2" w16cid:durableId="1140805977">
    <w:abstractNumId w:val="2"/>
  </w:num>
  <w:num w:numId="3" w16cid:durableId="1092974971">
    <w:abstractNumId w:val="14"/>
  </w:num>
  <w:num w:numId="4" w16cid:durableId="1948810535">
    <w:abstractNumId w:val="13"/>
  </w:num>
  <w:num w:numId="5" w16cid:durableId="1009215305">
    <w:abstractNumId w:val="9"/>
  </w:num>
  <w:num w:numId="6" w16cid:durableId="1358116665">
    <w:abstractNumId w:val="5"/>
  </w:num>
  <w:num w:numId="7" w16cid:durableId="621110002">
    <w:abstractNumId w:val="1"/>
  </w:num>
  <w:num w:numId="8" w16cid:durableId="630406872">
    <w:abstractNumId w:val="3"/>
  </w:num>
  <w:num w:numId="9" w16cid:durableId="1807356447">
    <w:abstractNumId w:val="7"/>
  </w:num>
  <w:num w:numId="10" w16cid:durableId="49815052">
    <w:abstractNumId w:val="4"/>
  </w:num>
  <w:num w:numId="11" w16cid:durableId="516238180">
    <w:abstractNumId w:val="15"/>
  </w:num>
  <w:num w:numId="12" w16cid:durableId="1391460624">
    <w:abstractNumId w:val="6"/>
  </w:num>
  <w:num w:numId="13" w16cid:durableId="1850023190">
    <w:abstractNumId w:val="0"/>
  </w:num>
  <w:num w:numId="14" w16cid:durableId="94446719">
    <w:abstractNumId w:val="16"/>
  </w:num>
  <w:num w:numId="15" w16cid:durableId="309674739">
    <w:abstractNumId w:val="11"/>
  </w:num>
  <w:num w:numId="16" w16cid:durableId="1577352033">
    <w:abstractNumId w:val="8"/>
  </w:num>
  <w:num w:numId="17" w16cid:durableId="17672687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3"/>
    <w:rsid w:val="00001587"/>
    <w:rsid w:val="00002A2F"/>
    <w:rsid w:val="00003ABF"/>
    <w:rsid w:val="00003CF9"/>
    <w:rsid w:val="00010AF4"/>
    <w:rsid w:val="0001131C"/>
    <w:rsid w:val="0001133B"/>
    <w:rsid w:val="00011D63"/>
    <w:rsid w:val="00013D77"/>
    <w:rsid w:val="00015DAF"/>
    <w:rsid w:val="00017363"/>
    <w:rsid w:val="00021229"/>
    <w:rsid w:val="00023847"/>
    <w:rsid w:val="0002392E"/>
    <w:rsid w:val="00025994"/>
    <w:rsid w:val="00027050"/>
    <w:rsid w:val="0003298E"/>
    <w:rsid w:val="00032EF6"/>
    <w:rsid w:val="0003362E"/>
    <w:rsid w:val="00035A1F"/>
    <w:rsid w:val="00036853"/>
    <w:rsid w:val="00040835"/>
    <w:rsid w:val="00043961"/>
    <w:rsid w:val="00044FFB"/>
    <w:rsid w:val="0004539E"/>
    <w:rsid w:val="00046A4C"/>
    <w:rsid w:val="00047AC2"/>
    <w:rsid w:val="00051181"/>
    <w:rsid w:val="00052C41"/>
    <w:rsid w:val="000548D2"/>
    <w:rsid w:val="00055B7F"/>
    <w:rsid w:val="00055FB9"/>
    <w:rsid w:val="00057E0B"/>
    <w:rsid w:val="000624F2"/>
    <w:rsid w:val="00062E02"/>
    <w:rsid w:val="00065D6E"/>
    <w:rsid w:val="0006692C"/>
    <w:rsid w:val="00070FFD"/>
    <w:rsid w:val="00074182"/>
    <w:rsid w:val="00074C47"/>
    <w:rsid w:val="00076BF1"/>
    <w:rsid w:val="000817D1"/>
    <w:rsid w:val="00082422"/>
    <w:rsid w:val="00083513"/>
    <w:rsid w:val="000855C4"/>
    <w:rsid w:val="00087280"/>
    <w:rsid w:val="00090BF5"/>
    <w:rsid w:val="00091190"/>
    <w:rsid w:val="0009127C"/>
    <w:rsid w:val="00097198"/>
    <w:rsid w:val="00097B44"/>
    <w:rsid w:val="000A18C1"/>
    <w:rsid w:val="000A20B5"/>
    <w:rsid w:val="000A2390"/>
    <w:rsid w:val="000A59A2"/>
    <w:rsid w:val="000A5D19"/>
    <w:rsid w:val="000A6458"/>
    <w:rsid w:val="000A66E6"/>
    <w:rsid w:val="000A6E8A"/>
    <w:rsid w:val="000B0431"/>
    <w:rsid w:val="000B24C8"/>
    <w:rsid w:val="000B31D8"/>
    <w:rsid w:val="000B3FF1"/>
    <w:rsid w:val="000B4359"/>
    <w:rsid w:val="000B49D5"/>
    <w:rsid w:val="000B4BFA"/>
    <w:rsid w:val="000B5045"/>
    <w:rsid w:val="000B5521"/>
    <w:rsid w:val="000B6846"/>
    <w:rsid w:val="000B6A5A"/>
    <w:rsid w:val="000C12A7"/>
    <w:rsid w:val="000C3BB3"/>
    <w:rsid w:val="000C4570"/>
    <w:rsid w:val="000C6784"/>
    <w:rsid w:val="000C6A43"/>
    <w:rsid w:val="000D28D5"/>
    <w:rsid w:val="000D2CA6"/>
    <w:rsid w:val="000D338E"/>
    <w:rsid w:val="000D3FBD"/>
    <w:rsid w:val="000D421D"/>
    <w:rsid w:val="000D56F1"/>
    <w:rsid w:val="000E060E"/>
    <w:rsid w:val="000E0739"/>
    <w:rsid w:val="000E1868"/>
    <w:rsid w:val="000E26F7"/>
    <w:rsid w:val="000E2D9B"/>
    <w:rsid w:val="000E3C53"/>
    <w:rsid w:val="000E55EB"/>
    <w:rsid w:val="000E5BBF"/>
    <w:rsid w:val="000E639F"/>
    <w:rsid w:val="000E7622"/>
    <w:rsid w:val="000E7C33"/>
    <w:rsid w:val="000F18E2"/>
    <w:rsid w:val="000F50E3"/>
    <w:rsid w:val="000F5E91"/>
    <w:rsid w:val="000F6C3A"/>
    <w:rsid w:val="00100ED9"/>
    <w:rsid w:val="00102D92"/>
    <w:rsid w:val="00104277"/>
    <w:rsid w:val="00104E14"/>
    <w:rsid w:val="001057F8"/>
    <w:rsid w:val="00105ED8"/>
    <w:rsid w:val="00107199"/>
    <w:rsid w:val="00111298"/>
    <w:rsid w:val="00111AB7"/>
    <w:rsid w:val="0011247F"/>
    <w:rsid w:val="001140A5"/>
    <w:rsid w:val="00121065"/>
    <w:rsid w:val="001216E5"/>
    <w:rsid w:val="00121B44"/>
    <w:rsid w:val="00124804"/>
    <w:rsid w:val="001249B7"/>
    <w:rsid w:val="00125DA4"/>
    <w:rsid w:val="001269A1"/>
    <w:rsid w:val="00127049"/>
    <w:rsid w:val="00127480"/>
    <w:rsid w:val="00127A61"/>
    <w:rsid w:val="00127ED6"/>
    <w:rsid w:val="001301B5"/>
    <w:rsid w:val="00130B9B"/>
    <w:rsid w:val="00130D01"/>
    <w:rsid w:val="00140CE9"/>
    <w:rsid w:val="00140D58"/>
    <w:rsid w:val="00142CC5"/>
    <w:rsid w:val="00144C6B"/>
    <w:rsid w:val="00144F3E"/>
    <w:rsid w:val="00145FAF"/>
    <w:rsid w:val="0014799B"/>
    <w:rsid w:val="00150E48"/>
    <w:rsid w:val="0015303A"/>
    <w:rsid w:val="00153400"/>
    <w:rsid w:val="00153E87"/>
    <w:rsid w:val="00154053"/>
    <w:rsid w:val="00154B08"/>
    <w:rsid w:val="001556A0"/>
    <w:rsid w:val="00155D00"/>
    <w:rsid w:val="00161E41"/>
    <w:rsid w:val="00161F21"/>
    <w:rsid w:val="00162A47"/>
    <w:rsid w:val="00163024"/>
    <w:rsid w:val="00163075"/>
    <w:rsid w:val="001630E9"/>
    <w:rsid w:val="0016367A"/>
    <w:rsid w:val="00163832"/>
    <w:rsid w:val="00164FBC"/>
    <w:rsid w:val="001654B2"/>
    <w:rsid w:val="00167548"/>
    <w:rsid w:val="00170568"/>
    <w:rsid w:val="00172442"/>
    <w:rsid w:val="00172CA5"/>
    <w:rsid w:val="001740BB"/>
    <w:rsid w:val="00175838"/>
    <w:rsid w:val="00180724"/>
    <w:rsid w:val="00181879"/>
    <w:rsid w:val="0018230B"/>
    <w:rsid w:val="0018430A"/>
    <w:rsid w:val="00184873"/>
    <w:rsid w:val="00185990"/>
    <w:rsid w:val="00185C79"/>
    <w:rsid w:val="00185D6D"/>
    <w:rsid w:val="00185E89"/>
    <w:rsid w:val="001874F2"/>
    <w:rsid w:val="00190C01"/>
    <w:rsid w:val="00191401"/>
    <w:rsid w:val="00192397"/>
    <w:rsid w:val="00192574"/>
    <w:rsid w:val="00192D3A"/>
    <w:rsid w:val="00194ADE"/>
    <w:rsid w:val="001953CD"/>
    <w:rsid w:val="001A1478"/>
    <w:rsid w:val="001A1928"/>
    <w:rsid w:val="001A22B2"/>
    <w:rsid w:val="001A53F2"/>
    <w:rsid w:val="001A582B"/>
    <w:rsid w:val="001A5C1F"/>
    <w:rsid w:val="001A5DE7"/>
    <w:rsid w:val="001B0C18"/>
    <w:rsid w:val="001B44EC"/>
    <w:rsid w:val="001B565E"/>
    <w:rsid w:val="001B7B07"/>
    <w:rsid w:val="001C04DC"/>
    <w:rsid w:val="001C0BA0"/>
    <w:rsid w:val="001C2404"/>
    <w:rsid w:val="001C24A4"/>
    <w:rsid w:val="001C251B"/>
    <w:rsid w:val="001C6094"/>
    <w:rsid w:val="001C6599"/>
    <w:rsid w:val="001D0B25"/>
    <w:rsid w:val="001D10BA"/>
    <w:rsid w:val="001D2BAB"/>
    <w:rsid w:val="001D2CAA"/>
    <w:rsid w:val="001D328F"/>
    <w:rsid w:val="001D43BF"/>
    <w:rsid w:val="001D4A78"/>
    <w:rsid w:val="001D6077"/>
    <w:rsid w:val="001D6590"/>
    <w:rsid w:val="001E0753"/>
    <w:rsid w:val="001E150C"/>
    <w:rsid w:val="001E33F4"/>
    <w:rsid w:val="001E60AA"/>
    <w:rsid w:val="001E7588"/>
    <w:rsid w:val="001E7A6E"/>
    <w:rsid w:val="001F138A"/>
    <w:rsid w:val="001F19EF"/>
    <w:rsid w:val="001F4F16"/>
    <w:rsid w:val="001F5E43"/>
    <w:rsid w:val="001F75EE"/>
    <w:rsid w:val="002001CC"/>
    <w:rsid w:val="00200510"/>
    <w:rsid w:val="002005DB"/>
    <w:rsid w:val="00201A88"/>
    <w:rsid w:val="00203947"/>
    <w:rsid w:val="00206062"/>
    <w:rsid w:val="002116D4"/>
    <w:rsid w:val="00211AF4"/>
    <w:rsid w:val="00211D90"/>
    <w:rsid w:val="002125BB"/>
    <w:rsid w:val="00214047"/>
    <w:rsid w:val="00214363"/>
    <w:rsid w:val="00214D0B"/>
    <w:rsid w:val="0021750A"/>
    <w:rsid w:val="00220021"/>
    <w:rsid w:val="00221957"/>
    <w:rsid w:val="00223193"/>
    <w:rsid w:val="00227651"/>
    <w:rsid w:val="0023061E"/>
    <w:rsid w:val="002312B1"/>
    <w:rsid w:val="00232671"/>
    <w:rsid w:val="00232984"/>
    <w:rsid w:val="00235146"/>
    <w:rsid w:val="0023576B"/>
    <w:rsid w:val="002368DB"/>
    <w:rsid w:val="00236ADC"/>
    <w:rsid w:val="00243646"/>
    <w:rsid w:val="00244866"/>
    <w:rsid w:val="00245296"/>
    <w:rsid w:val="0024545D"/>
    <w:rsid w:val="00246D5C"/>
    <w:rsid w:val="002479CC"/>
    <w:rsid w:val="0025048F"/>
    <w:rsid w:val="002535E7"/>
    <w:rsid w:val="0025484D"/>
    <w:rsid w:val="00254CE3"/>
    <w:rsid w:val="00255B29"/>
    <w:rsid w:val="00255DED"/>
    <w:rsid w:val="00256E08"/>
    <w:rsid w:val="00256FFD"/>
    <w:rsid w:val="00257DD7"/>
    <w:rsid w:val="00257EB2"/>
    <w:rsid w:val="002632BA"/>
    <w:rsid w:val="00264369"/>
    <w:rsid w:val="0026600B"/>
    <w:rsid w:val="002662D9"/>
    <w:rsid w:val="002669AA"/>
    <w:rsid w:val="00267332"/>
    <w:rsid w:val="00271C92"/>
    <w:rsid w:val="00272E9B"/>
    <w:rsid w:val="00276BEC"/>
    <w:rsid w:val="0028060B"/>
    <w:rsid w:val="00281D89"/>
    <w:rsid w:val="00282574"/>
    <w:rsid w:val="0028258A"/>
    <w:rsid w:val="002835F4"/>
    <w:rsid w:val="00283E26"/>
    <w:rsid w:val="00284231"/>
    <w:rsid w:val="00285BE0"/>
    <w:rsid w:val="0028668F"/>
    <w:rsid w:val="00293295"/>
    <w:rsid w:val="0029392A"/>
    <w:rsid w:val="002939D8"/>
    <w:rsid w:val="00297C76"/>
    <w:rsid w:val="002A44FE"/>
    <w:rsid w:val="002B0ED8"/>
    <w:rsid w:val="002B12A7"/>
    <w:rsid w:val="002B4701"/>
    <w:rsid w:val="002B5215"/>
    <w:rsid w:val="002B5FB8"/>
    <w:rsid w:val="002B6D3B"/>
    <w:rsid w:val="002C064A"/>
    <w:rsid w:val="002C24CB"/>
    <w:rsid w:val="002C265F"/>
    <w:rsid w:val="002C4DF4"/>
    <w:rsid w:val="002C55B5"/>
    <w:rsid w:val="002C6249"/>
    <w:rsid w:val="002C7C87"/>
    <w:rsid w:val="002D097E"/>
    <w:rsid w:val="002D2662"/>
    <w:rsid w:val="002D54FD"/>
    <w:rsid w:val="002D7B7A"/>
    <w:rsid w:val="002E10AA"/>
    <w:rsid w:val="002E1A40"/>
    <w:rsid w:val="002E26FD"/>
    <w:rsid w:val="002E58A6"/>
    <w:rsid w:val="002E76D7"/>
    <w:rsid w:val="002E7935"/>
    <w:rsid w:val="002E79E4"/>
    <w:rsid w:val="002F2F8D"/>
    <w:rsid w:val="002F48B0"/>
    <w:rsid w:val="002F4F96"/>
    <w:rsid w:val="002F5B5D"/>
    <w:rsid w:val="002F74F0"/>
    <w:rsid w:val="002F7B8F"/>
    <w:rsid w:val="003036C0"/>
    <w:rsid w:val="003043FF"/>
    <w:rsid w:val="00305004"/>
    <w:rsid w:val="00305253"/>
    <w:rsid w:val="00307DA5"/>
    <w:rsid w:val="00310207"/>
    <w:rsid w:val="0031026B"/>
    <w:rsid w:val="00310C8C"/>
    <w:rsid w:val="00312F8B"/>
    <w:rsid w:val="003150B4"/>
    <w:rsid w:val="003157B0"/>
    <w:rsid w:val="00316B85"/>
    <w:rsid w:val="00320785"/>
    <w:rsid w:val="0032531B"/>
    <w:rsid w:val="003262EE"/>
    <w:rsid w:val="00326333"/>
    <w:rsid w:val="00327F78"/>
    <w:rsid w:val="00330FA4"/>
    <w:rsid w:val="00332800"/>
    <w:rsid w:val="00332AEB"/>
    <w:rsid w:val="003379F7"/>
    <w:rsid w:val="0034266E"/>
    <w:rsid w:val="00342933"/>
    <w:rsid w:val="0034326C"/>
    <w:rsid w:val="00344EB7"/>
    <w:rsid w:val="00346E5F"/>
    <w:rsid w:val="0035325B"/>
    <w:rsid w:val="00353D2F"/>
    <w:rsid w:val="00354044"/>
    <w:rsid w:val="00354E33"/>
    <w:rsid w:val="00360834"/>
    <w:rsid w:val="00361930"/>
    <w:rsid w:val="003624A2"/>
    <w:rsid w:val="00362A03"/>
    <w:rsid w:val="00365375"/>
    <w:rsid w:val="00366428"/>
    <w:rsid w:val="00370129"/>
    <w:rsid w:val="00372097"/>
    <w:rsid w:val="003731BC"/>
    <w:rsid w:val="003747A3"/>
    <w:rsid w:val="00375EDB"/>
    <w:rsid w:val="003837DB"/>
    <w:rsid w:val="00390AF2"/>
    <w:rsid w:val="00390D2E"/>
    <w:rsid w:val="003919E6"/>
    <w:rsid w:val="00391A29"/>
    <w:rsid w:val="00392B8E"/>
    <w:rsid w:val="00393254"/>
    <w:rsid w:val="00394412"/>
    <w:rsid w:val="00394727"/>
    <w:rsid w:val="0039490A"/>
    <w:rsid w:val="00396C24"/>
    <w:rsid w:val="003A167D"/>
    <w:rsid w:val="003A231D"/>
    <w:rsid w:val="003A396B"/>
    <w:rsid w:val="003A3E2D"/>
    <w:rsid w:val="003B1F44"/>
    <w:rsid w:val="003B282C"/>
    <w:rsid w:val="003B4F34"/>
    <w:rsid w:val="003B5E31"/>
    <w:rsid w:val="003B79B1"/>
    <w:rsid w:val="003C0259"/>
    <w:rsid w:val="003C1754"/>
    <w:rsid w:val="003C2876"/>
    <w:rsid w:val="003C3127"/>
    <w:rsid w:val="003C405F"/>
    <w:rsid w:val="003C41AA"/>
    <w:rsid w:val="003C563B"/>
    <w:rsid w:val="003C5DB0"/>
    <w:rsid w:val="003C7CC5"/>
    <w:rsid w:val="003D0AEA"/>
    <w:rsid w:val="003D1448"/>
    <w:rsid w:val="003D1A3C"/>
    <w:rsid w:val="003D1E8D"/>
    <w:rsid w:val="003D2D6D"/>
    <w:rsid w:val="003D2E4E"/>
    <w:rsid w:val="003D37BF"/>
    <w:rsid w:val="003D420F"/>
    <w:rsid w:val="003D5D5B"/>
    <w:rsid w:val="003D748E"/>
    <w:rsid w:val="003E084C"/>
    <w:rsid w:val="003E4040"/>
    <w:rsid w:val="003E51C3"/>
    <w:rsid w:val="003E6743"/>
    <w:rsid w:val="003E77BC"/>
    <w:rsid w:val="003F118A"/>
    <w:rsid w:val="003F2049"/>
    <w:rsid w:val="003F6B60"/>
    <w:rsid w:val="003F7849"/>
    <w:rsid w:val="003F7F82"/>
    <w:rsid w:val="004001FE"/>
    <w:rsid w:val="00401B3D"/>
    <w:rsid w:val="00404DC8"/>
    <w:rsid w:val="00404F08"/>
    <w:rsid w:val="00406930"/>
    <w:rsid w:val="0041014F"/>
    <w:rsid w:val="004115B9"/>
    <w:rsid w:val="004125D4"/>
    <w:rsid w:val="004126F6"/>
    <w:rsid w:val="00413774"/>
    <w:rsid w:val="00415951"/>
    <w:rsid w:val="00421589"/>
    <w:rsid w:val="00424968"/>
    <w:rsid w:val="00424F6F"/>
    <w:rsid w:val="00425F00"/>
    <w:rsid w:val="00426911"/>
    <w:rsid w:val="0042770D"/>
    <w:rsid w:val="00427A0D"/>
    <w:rsid w:val="00432054"/>
    <w:rsid w:val="004323B6"/>
    <w:rsid w:val="00433856"/>
    <w:rsid w:val="00433D78"/>
    <w:rsid w:val="00436D33"/>
    <w:rsid w:val="00442A3D"/>
    <w:rsid w:val="00443144"/>
    <w:rsid w:val="0044351F"/>
    <w:rsid w:val="00443910"/>
    <w:rsid w:val="00444660"/>
    <w:rsid w:val="004448D5"/>
    <w:rsid w:val="00446571"/>
    <w:rsid w:val="00450999"/>
    <w:rsid w:val="00452E5E"/>
    <w:rsid w:val="004541DF"/>
    <w:rsid w:val="0045623C"/>
    <w:rsid w:val="004567A7"/>
    <w:rsid w:val="00456C31"/>
    <w:rsid w:val="00460314"/>
    <w:rsid w:val="00460519"/>
    <w:rsid w:val="004622FA"/>
    <w:rsid w:val="00464115"/>
    <w:rsid w:val="00466495"/>
    <w:rsid w:val="00466618"/>
    <w:rsid w:val="00467415"/>
    <w:rsid w:val="00471EE2"/>
    <w:rsid w:val="004721C3"/>
    <w:rsid w:val="00472C88"/>
    <w:rsid w:val="0047439F"/>
    <w:rsid w:val="00475B4C"/>
    <w:rsid w:val="00475CB5"/>
    <w:rsid w:val="004763D7"/>
    <w:rsid w:val="00477AA9"/>
    <w:rsid w:val="004817EA"/>
    <w:rsid w:val="00481CE5"/>
    <w:rsid w:val="00482D14"/>
    <w:rsid w:val="00482EF5"/>
    <w:rsid w:val="00483D63"/>
    <w:rsid w:val="00491012"/>
    <w:rsid w:val="00491B0F"/>
    <w:rsid w:val="00493EF2"/>
    <w:rsid w:val="00494AD8"/>
    <w:rsid w:val="00494B2B"/>
    <w:rsid w:val="004954B6"/>
    <w:rsid w:val="00496CD0"/>
    <w:rsid w:val="004A2CF9"/>
    <w:rsid w:val="004A31AC"/>
    <w:rsid w:val="004A32EF"/>
    <w:rsid w:val="004A4546"/>
    <w:rsid w:val="004A5870"/>
    <w:rsid w:val="004A6D08"/>
    <w:rsid w:val="004A7A5F"/>
    <w:rsid w:val="004A7EC8"/>
    <w:rsid w:val="004B0793"/>
    <w:rsid w:val="004B080E"/>
    <w:rsid w:val="004B1F32"/>
    <w:rsid w:val="004B3742"/>
    <w:rsid w:val="004B3759"/>
    <w:rsid w:val="004B4904"/>
    <w:rsid w:val="004B4971"/>
    <w:rsid w:val="004B6A54"/>
    <w:rsid w:val="004B7758"/>
    <w:rsid w:val="004C0C5B"/>
    <w:rsid w:val="004C1332"/>
    <w:rsid w:val="004C3704"/>
    <w:rsid w:val="004C536B"/>
    <w:rsid w:val="004C5956"/>
    <w:rsid w:val="004D19FD"/>
    <w:rsid w:val="004D2CFC"/>
    <w:rsid w:val="004D753D"/>
    <w:rsid w:val="004D7595"/>
    <w:rsid w:val="004D7C21"/>
    <w:rsid w:val="004E0867"/>
    <w:rsid w:val="004E2786"/>
    <w:rsid w:val="004E283F"/>
    <w:rsid w:val="004E2942"/>
    <w:rsid w:val="004E3612"/>
    <w:rsid w:val="004E40E6"/>
    <w:rsid w:val="004E5309"/>
    <w:rsid w:val="004E5A3E"/>
    <w:rsid w:val="004E604E"/>
    <w:rsid w:val="004E69EF"/>
    <w:rsid w:val="004E6BA1"/>
    <w:rsid w:val="004E7A48"/>
    <w:rsid w:val="004F026C"/>
    <w:rsid w:val="004F211E"/>
    <w:rsid w:val="004F3971"/>
    <w:rsid w:val="004F4CD8"/>
    <w:rsid w:val="004F509C"/>
    <w:rsid w:val="004F5345"/>
    <w:rsid w:val="004F6FA7"/>
    <w:rsid w:val="005021C7"/>
    <w:rsid w:val="0050275B"/>
    <w:rsid w:val="00503F68"/>
    <w:rsid w:val="00512FBF"/>
    <w:rsid w:val="005141F0"/>
    <w:rsid w:val="005142C3"/>
    <w:rsid w:val="00516691"/>
    <w:rsid w:val="005176CF"/>
    <w:rsid w:val="00520E2D"/>
    <w:rsid w:val="005210E5"/>
    <w:rsid w:val="005248E3"/>
    <w:rsid w:val="005249BF"/>
    <w:rsid w:val="00531495"/>
    <w:rsid w:val="0053179E"/>
    <w:rsid w:val="0053357B"/>
    <w:rsid w:val="0053547F"/>
    <w:rsid w:val="00542208"/>
    <w:rsid w:val="00542F33"/>
    <w:rsid w:val="00543C3C"/>
    <w:rsid w:val="005450EE"/>
    <w:rsid w:val="0055090A"/>
    <w:rsid w:val="00550C96"/>
    <w:rsid w:val="0055202F"/>
    <w:rsid w:val="0055300A"/>
    <w:rsid w:val="00553550"/>
    <w:rsid w:val="00553D11"/>
    <w:rsid w:val="005548E8"/>
    <w:rsid w:val="005552A2"/>
    <w:rsid w:val="00555FD7"/>
    <w:rsid w:val="00556FFA"/>
    <w:rsid w:val="0055708F"/>
    <w:rsid w:val="00560B92"/>
    <w:rsid w:val="00562683"/>
    <w:rsid w:val="00562CD2"/>
    <w:rsid w:val="00564641"/>
    <w:rsid w:val="00564842"/>
    <w:rsid w:val="00564D7A"/>
    <w:rsid w:val="00564DEC"/>
    <w:rsid w:val="0056540B"/>
    <w:rsid w:val="00565A02"/>
    <w:rsid w:val="005670B5"/>
    <w:rsid w:val="00570A2A"/>
    <w:rsid w:val="00570A72"/>
    <w:rsid w:val="00574058"/>
    <w:rsid w:val="005741E8"/>
    <w:rsid w:val="00576C14"/>
    <w:rsid w:val="00577832"/>
    <w:rsid w:val="0058040B"/>
    <w:rsid w:val="005842C1"/>
    <w:rsid w:val="00584F64"/>
    <w:rsid w:val="00594023"/>
    <w:rsid w:val="005944F8"/>
    <w:rsid w:val="00595CEC"/>
    <w:rsid w:val="005969E4"/>
    <w:rsid w:val="005A16B4"/>
    <w:rsid w:val="005A258D"/>
    <w:rsid w:val="005A2BED"/>
    <w:rsid w:val="005A30B3"/>
    <w:rsid w:val="005A34CA"/>
    <w:rsid w:val="005B044D"/>
    <w:rsid w:val="005B1A8C"/>
    <w:rsid w:val="005B274D"/>
    <w:rsid w:val="005B2806"/>
    <w:rsid w:val="005B440C"/>
    <w:rsid w:val="005B4923"/>
    <w:rsid w:val="005B623D"/>
    <w:rsid w:val="005C0064"/>
    <w:rsid w:val="005C1080"/>
    <w:rsid w:val="005C2789"/>
    <w:rsid w:val="005C5AA7"/>
    <w:rsid w:val="005C6052"/>
    <w:rsid w:val="005C64AF"/>
    <w:rsid w:val="005C71B2"/>
    <w:rsid w:val="005C7819"/>
    <w:rsid w:val="005D1780"/>
    <w:rsid w:val="005D28BD"/>
    <w:rsid w:val="005D56D7"/>
    <w:rsid w:val="005D58F2"/>
    <w:rsid w:val="005D5BD3"/>
    <w:rsid w:val="005D66BA"/>
    <w:rsid w:val="005D744D"/>
    <w:rsid w:val="005E0F61"/>
    <w:rsid w:val="005E12F7"/>
    <w:rsid w:val="005E1EEA"/>
    <w:rsid w:val="005E3489"/>
    <w:rsid w:val="005E376D"/>
    <w:rsid w:val="005E4AE9"/>
    <w:rsid w:val="005E56FD"/>
    <w:rsid w:val="005E6C6C"/>
    <w:rsid w:val="005E7E6B"/>
    <w:rsid w:val="005F123F"/>
    <w:rsid w:val="005F1EA4"/>
    <w:rsid w:val="005F2674"/>
    <w:rsid w:val="005F50D6"/>
    <w:rsid w:val="005F6357"/>
    <w:rsid w:val="005F716F"/>
    <w:rsid w:val="00600F9F"/>
    <w:rsid w:val="0060254C"/>
    <w:rsid w:val="00604EDB"/>
    <w:rsid w:val="0060549A"/>
    <w:rsid w:val="006127B5"/>
    <w:rsid w:val="00613BF7"/>
    <w:rsid w:val="00617F7E"/>
    <w:rsid w:val="0062048C"/>
    <w:rsid w:val="006210AE"/>
    <w:rsid w:val="00621E43"/>
    <w:rsid w:val="00625B4F"/>
    <w:rsid w:val="006261AA"/>
    <w:rsid w:val="006268C2"/>
    <w:rsid w:val="00630170"/>
    <w:rsid w:val="00630345"/>
    <w:rsid w:val="00630535"/>
    <w:rsid w:val="0063070F"/>
    <w:rsid w:val="00632DFB"/>
    <w:rsid w:val="00632FD7"/>
    <w:rsid w:val="00633653"/>
    <w:rsid w:val="006336AF"/>
    <w:rsid w:val="00634397"/>
    <w:rsid w:val="006362BE"/>
    <w:rsid w:val="0063740A"/>
    <w:rsid w:val="0063750E"/>
    <w:rsid w:val="006375F5"/>
    <w:rsid w:val="00637D7A"/>
    <w:rsid w:val="00640E34"/>
    <w:rsid w:val="0064134A"/>
    <w:rsid w:val="006425EE"/>
    <w:rsid w:val="006453C6"/>
    <w:rsid w:val="00645726"/>
    <w:rsid w:val="0064616A"/>
    <w:rsid w:val="006477BB"/>
    <w:rsid w:val="006510D7"/>
    <w:rsid w:val="006513E2"/>
    <w:rsid w:val="00652598"/>
    <w:rsid w:val="00655AA5"/>
    <w:rsid w:val="0065649D"/>
    <w:rsid w:val="0065711D"/>
    <w:rsid w:val="0065793C"/>
    <w:rsid w:val="006612C0"/>
    <w:rsid w:val="006625FD"/>
    <w:rsid w:val="006640AC"/>
    <w:rsid w:val="00664154"/>
    <w:rsid w:val="0066441C"/>
    <w:rsid w:val="006653E5"/>
    <w:rsid w:val="00671060"/>
    <w:rsid w:val="00672D73"/>
    <w:rsid w:val="00675513"/>
    <w:rsid w:val="00680396"/>
    <w:rsid w:val="0068093A"/>
    <w:rsid w:val="00681C84"/>
    <w:rsid w:val="006838F9"/>
    <w:rsid w:val="00684F21"/>
    <w:rsid w:val="0068688E"/>
    <w:rsid w:val="00687F9A"/>
    <w:rsid w:val="0069142E"/>
    <w:rsid w:val="00691738"/>
    <w:rsid w:val="00695D23"/>
    <w:rsid w:val="006968B6"/>
    <w:rsid w:val="00697368"/>
    <w:rsid w:val="006A0D05"/>
    <w:rsid w:val="006A31C5"/>
    <w:rsid w:val="006A3F76"/>
    <w:rsid w:val="006A447A"/>
    <w:rsid w:val="006A6570"/>
    <w:rsid w:val="006A782E"/>
    <w:rsid w:val="006B036F"/>
    <w:rsid w:val="006B0A41"/>
    <w:rsid w:val="006B15A0"/>
    <w:rsid w:val="006B20E9"/>
    <w:rsid w:val="006B3B86"/>
    <w:rsid w:val="006B3F54"/>
    <w:rsid w:val="006B3FE5"/>
    <w:rsid w:val="006B6BE2"/>
    <w:rsid w:val="006B7130"/>
    <w:rsid w:val="006C11C7"/>
    <w:rsid w:val="006C2048"/>
    <w:rsid w:val="006C5659"/>
    <w:rsid w:val="006C6B6F"/>
    <w:rsid w:val="006D2306"/>
    <w:rsid w:val="006D3F73"/>
    <w:rsid w:val="006D40B4"/>
    <w:rsid w:val="006D568F"/>
    <w:rsid w:val="006D6517"/>
    <w:rsid w:val="006D6B0D"/>
    <w:rsid w:val="006D6CD8"/>
    <w:rsid w:val="006E17D7"/>
    <w:rsid w:val="006E1E90"/>
    <w:rsid w:val="006E5CE9"/>
    <w:rsid w:val="006E5F12"/>
    <w:rsid w:val="006E6D9C"/>
    <w:rsid w:val="006E71B1"/>
    <w:rsid w:val="006E73EA"/>
    <w:rsid w:val="006F20D3"/>
    <w:rsid w:val="006F2DA6"/>
    <w:rsid w:val="006F3FB7"/>
    <w:rsid w:val="0070150C"/>
    <w:rsid w:val="00704A6B"/>
    <w:rsid w:val="00705473"/>
    <w:rsid w:val="007060E8"/>
    <w:rsid w:val="00707DCB"/>
    <w:rsid w:val="007144D6"/>
    <w:rsid w:val="00714F1D"/>
    <w:rsid w:val="00714F70"/>
    <w:rsid w:val="007154FC"/>
    <w:rsid w:val="007156B9"/>
    <w:rsid w:val="00717196"/>
    <w:rsid w:val="00717EB3"/>
    <w:rsid w:val="007206EF"/>
    <w:rsid w:val="00721D35"/>
    <w:rsid w:val="007222F3"/>
    <w:rsid w:val="00723233"/>
    <w:rsid w:val="0072514E"/>
    <w:rsid w:val="00727832"/>
    <w:rsid w:val="007278F1"/>
    <w:rsid w:val="007302F4"/>
    <w:rsid w:val="00730686"/>
    <w:rsid w:val="00732ECF"/>
    <w:rsid w:val="0073301D"/>
    <w:rsid w:val="007333F0"/>
    <w:rsid w:val="00733A6E"/>
    <w:rsid w:val="00733C90"/>
    <w:rsid w:val="00734DF5"/>
    <w:rsid w:val="00734FBF"/>
    <w:rsid w:val="00735326"/>
    <w:rsid w:val="00736C8E"/>
    <w:rsid w:val="00737232"/>
    <w:rsid w:val="0074031C"/>
    <w:rsid w:val="00742050"/>
    <w:rsid w:val="00742AB5"/>
    <w:rsid w:val="00744B74"/>
    <w:rsid w:val="00745684"/>
    <w:rsid w:val="007474AF"/>
    <w:rsid w:val="00751333"/>
    <w:rsid w:val="00754A2C"/>
    <w:rsid w:val="00756D90"/>
    <w:rsid w:val="00757176"/>
    <w:rsid w:val="00757257"/>
    <w:rsid w:val="0076109C"/>
    <w:rsid w:val="00761415"/>
    <w:rsid w:val="0076306C"/>
    <w:rsid w:val="00764F01"/>
    <w:rsid w:val="00770614"/>
    <w:rsid w:val="007738A5"/>
    <w:rsid w:val="00773CE9"/>
    <w:rsid w:val="00775827"/>
    <w:rsid w:val="0077654C"/>
    <w:rsid w:val="00777115"/>
    <w:rsid w:val="00780C15"/>
    <w:rsid w:val="007833BE"/>
    <w:rsid w:val="00784627"/>
    <w:rsid w:val="0078513B"/>
    <w:rsid w:val="00785B82"/>
    <w:rsid w:val="00787C22"/>
    <w:rsid w:val="0079093D"/>
    <w:rsid w:val="00791207"/>
    <w:rsid w:val="00792D20"/>
    <w:rsid w:val="0079472D"/>
    <w:rsid w:val="007947C9"/>
    <w:rsid w:val="0079652E"/>
    <w:rsid w:val="00797F06"/>
    <w:rsid w:val="007A0207"/>
    <w:rsid w:val="007A02F2"/>
    <w:rsid w:val="007A1342"/>
    <w:rsid w:val="007A1F9C"/>
    <w:rsid w:val="007A24B8"/>
    <w:rsid w:val="007A3DA2"/>
    <w:rsid w:val="007A57A7"/>
    <w:rsid w:val="007A6497"/>
    <w:rsid w:val="007A6BA3"/>
    <w:rsid w:val="007B21CA"/>
    <w:rsid w:val="007B2A42"/>
    <w:rsid w:val="007B471A"/>
    <w:rsid w:val="007B6FED"/>
    <w:rsid w:val="007B70B2"/>
    <w:rsid w:val="007C06E8"/>
    <w:rsid w:val="007C285C"/>
    <w:rsid w:val="007C3A6E"/>
    <w:rsid w:val="007C4499"/>
    <w:rsid w:val="007C6409"/>
    <w:rsid w:val="007C7DD1"/>
    <w:rsid w:val="007D1898"/>
    <w:rsid w:val="007D2989"/>
    <w:rsid w:val="007D2E84"/>
    <w:rsid w:val="007D4398"/>
    <w:rsid w:val="007D5629"/>
    <w:rsid w:val="007D631B"/>
    <w:rsid w:val="007D7726"/>
    <w:rsid w:val="007E2DE2"/>
    <w:rsid w:val="007E3169"/>
    <w:rsid w:val="007E3BA2"/>
    <w:rsid w:val="007E5920"/>
    <w:rsid w:val="007E636D"/>
    <w:rsid w:val="007E7485"/>
    <w:rsid w:val="007E7B0B"/>
    <w:rsid w:val="007F1A2E"/>
    <w:rsid w:val="007F33B7"/>
    <w:rsid w:val="007F6E80"/>
    <w:rsid w:val="00800157"/>
    <w:rsid w:val="00800297"/>
    <w:rsid w:val="00801D3A"/>
    <w:rsid w:val="00804B6D"/>
    <w:rsid w:val="008059F9"/>
    <w:rsid w:val="00805A47"/>
    <w:rsid w:val="00806FFC"/>
    <w:rsid w:val="00811039"/>
    <w:rsid w:val="008117BD"/>
    <w:rsid w:val="00811DE9"/>
    <w:rsid w:val="00815155"/>
    <w:rsid w:val="008217A0"/>
    <w:rsid w:val="00821CA8"/>
    <w:rsid w:val="008255F1"/>
    <w:rsid w:val="00832197"/>
    <w:rsid w:val="00833A74"/>
    <w:rsid w:val="008410F5"/>
    <w:rsid w:val="008411BC"/>
    <w:rsid w:val="00843C98"/>
    <w:rsid w:val="00845A00"/>
    <w:rsid w:val="0085173D"/>
    <w:rsid w:val="00852BAF"/>
    <w:rsid w:val="00854505"/>
    <w:rsid w:val="008569F0"/>
    <w:rsid w:val="00857187"/>
    <w:rsid w:val="00860A8C"/>
    <w:rsid w:val="00861E98"/>
    <w:rsid w:val="00862385"/>
    <w:rsid w:val="00862A54"/>
    <w:rsid w:val="008631B5"/>
    <w:rsid w:val="00864251"/>
    <w:rsid w:val="008659C0"/>
    <w:rsid w:val="00865E96"/>
    <w:rsid w:val="008673F6"/>
    <w:rsid w:val="00867D3C"/>
    <w:rsid w:val="0087047B"/>
    <w:rsid w:val="00870C5D"/>
    <w:rsid w:val="00871730"/>
    <w:rsid w:val="00871EF2"/>
    <w:rsid w:val="00872324"/>
    <w:rsid w:val="00872710"/>
    <w:rsid w:val="00873836"/>
    <w:rsid w:val="00873D69"/>
    <w:rsid w:val="00876BFB"/>
    <w:rsid w:val="008843B1"/>
    <w:rsid w:val="00884D36"/>
    <w:rsid w:val="00885F45"/>
    <w:rsid w:val="00886701"/>
    <w:rsid w:val="00892348"/>
    <w:rsid w:val="00892761"/>
    <w:rsid w:val="0089491B"/>
    <w:rsid w:val="008965B2"/>
    <w:rsid w:val="008A0E24"/>
    <w:rsid w:val="008A39FA"/>
    <w:rsid w:val="008A3BD3"/>
    <w:rsid w:val="008A5E4E"/>
    <w:rsid w:val="008A7CE1"/>
    <w:rsid w:val="008B02D4"/>
    <w:rsid w:val="008B05AC"/>
    <w:rsid w:val="008B4876"/>
    <w:rsid w:val="008B7786"/>
    <w:rsid w:val="008C0C41"/>
    <w:rsid w:val="008C10F6"/>
    <w:rsid w:val="008C125B"/>
    <w:rsid w:val="008C3194"/>
    <w:rsid w:val="008C3F18"/>
    <w:rsid w:val="008C42C9"/>
    <w:rsid w:val="008C56E1"/>
    <w:rsid w:val="008D1D49"/>
    <w:rsid w:val="008D1F40"/>
    <w:rsid w:val="008D3778"/>
    <w:rsid w:val="008D63B3"/>
    <w:rsid w:val="008D767E"/>
    <w:rsid w:val="008E10D3"/>
    <w:rsid w:val="008E1B89"/>
    <w:rsid w:val="008E2136"/>
    <w:rsid w:val="008E23D9"/>
    <w:rsid w:val="008E31F2"/>
    <w:rsid w:val="008E3A82"/>
    <w:rsid w:val="008E593D"/>
    <w:rsid w:val="008E6B5B"/>
    <w:rsid w:val="008E75B5"/>
    <w:rsid w:val="008E7FAF"/>
    <w:rsid w:val="008F3C51"/>
    <w:rsid w:val="008F48B4"/>
    <w:rsid w:val="008F4C33"/>
    <w:rsid w:val="008F5D8C"/>
    <w:rsid w:val="008F5FEA"/>
    <w:rsid w:val="008F6952"/>
    <w:rsid w:val="008F7413"/>
    <w:rsid w:val="0090056A"/>
    <w:rsid w:val="009016D1"/>
    <w:rsid w:val="009022EA"/>
    <w:rsid w:val="00903D0E"/>
    <w:rsid w:val="009041BE"/>
    <w:rsid w:val="00904B0B"/>
    <w:rsid w:val="00907F09"/>
    <w:rsid w:val="00910204"/>
    <w:rsid w:val="00911A0F"/>
    <w:rsid w:val="00912869"/>
    <w:rsid w:val="00912AA0"/>
    <w:rsid w:val="0091602F"/>
    <w:rsid w:val="009162C5"/>
    <w:rsid w:val="0092544B"/>
    <w:rsid w:val="00931DAE"/>
    <w:rsid w:val="00933842"/>
    <w:rsid w:val="00937DE1"/>
    <w:rsid w:val="00941926"/>
    <w:rsid w:val="009434D8"/>
    <w:rsid w:val="009439D4"/>
    <w:rsid w:val="009440B4"/>
    <w:rsid w:val="009440FD"/>
    <w:rsid w:val="0094435F"/>
    <w:rsid w:val="00944382"/>
    <w:rsid w:val="009517FF"/>
    <w:rsid w:val="009526FA"/>
    <w:rsid w:val="00952930"/>
    <w:rsid w:val="00954C2D"/>
    <w:rsid w:val="00955143"/>
    <w:rsid w:val="00960E2F"/>
    <w:rsid w:val="009612C6"/>
    <w:rsid w:val="009622A8"/>
    <w:rsid w:val="0096312D"/>
    <w:rsid w:val="009640B3"/>
    <w:rsid w:val="00966CB8"/>
    <w:rsid w:val="00972EB0"/>
    <w:rsid w:val="00973B2A"/>
    <w:rsid w:val="00973CF2"/>
    <w:rsid w:val="00974110"/>
    <w:rsid w:val="0097487C"/>
    <w:rsid w:val="00977A13"/>
    <w:rsid w:val="009830DE"/>
    <w:rsid w:val="009855D1"/>
    <w:rsid w:val="00987E23"/>
    <w:rsid w:val="009905A8"/>
    <w:rsid w:val="00993BB1"/>
    <w:rsid w:val="00994408"/>
    <w:rsid w:val="009944AB"/>
    <w:rsid w:val="00994532"/>
    <w:rsid w:val="009962E9"/>
    <w:rsid w:val="009972EA"/>
    <w:rsid w:val="009B18D9"/>
    <w:rsid w:val="009B1CF5"/>
    <w:rsid w:val="009B33B5"/>
    <w:rsid w:val="009B6D2B"/>
    <w:rsid w:val="009C0E64"/>
    <w:rsid w:val="009C253D"/>
    <w:rsid w:val="009C34ED"/>
    <w:rsid w:val="009C5241"/>
    <w:rsid w:val="009D0FE3"/>
    <w:rsid w:val="009D2B90"/>
    <w:rsid w:val="009D3AD9"/>
    <w:rsid w:val="009D44B2"/>
    <w:rsid w:val="009D51D1"/>
    <w:rsid w:val="009D5E26"/>
    <w:rsid w:val="009D69AF"/>
    <w:rsid w:val="009E2BF4"/>
    <w:rsid w:val="009E4965"/>
    <w:rsid w:val="009E7839"/>
    <w:rsid w:val="009E79BA"/>
    <w:rsid w:val="009E7C0D"/>
    <w:rsid w:val="009F1830"/>
    <w:rsid w:val="009F2E06"/>
    <w:rsid w:val="009F37E0"/>
    <w:rsid w:val="009F4502"/>
    <w:rsid w:val="009F6A51"/>
    <w:rsid w:val="00A04FE1"/>
    <w:rsid w:val="00A05E4F"/>
    <w:rsid w:val="00A07422"/>
    <w:rsid w:val="00A143C6"/>
    <w:rsid w:val="00A205FB"/>
    <w:rsid w:val="00A217AA"/>
    <w:rsid w:val="00A22609"/>
    <w:rsid w:val="00A25532"/>
    <w:rsid w:val="00A266CC"/>
    <w:rsid w:val="00A26CC1"/>
    <w:rsid w:val="00A26F37"/>
    <w:rsid w:val="00A270FC"/>
    <w:rsid w:val="00A27D40"/>
    <w:rsid w:val="00A27DBB"/>
    <w:rsid w:val="00A305E6"/>
    <w:rsid w:val="00A329B6"/>
    <w:rsid w:val="00A3374F"/>
    <w:rsid w:val="00A36CBE"/>
    <w:rsid w:val="00A37AE7"/>
    <w:rsid w:val="00A416C2"/>
    <w:rsid w:val="00A42012"/>
    <w:rsid w:val="00A42D36"/>
    <w:rsid w:val="00A43644"/>
    <w:rsid w:val="00A43C28"/>
    <w:rsid w:val="00A43D67"/>
    <w:rsid w:val="00A452C6"/>
    <w:rsid w:val="00A45ACA"/>
    <w:rsid w:val="00A45BFF"/>
    <w:rsid w:val="00A461B7"/>
    <w:rsid w:val="00A4626F"/>
    <w:rsid w:val="00A46FF4"/>
    <w:rsid w:val="00A472AB"/>
    <w:rsid w:val="00A47CE1"/>
    <w:rsid w:val="00A50BE8"/>
    <w:rsid w:val="00A515F9"/>
    <w:rsid w:val="00A52BBE"/>
    <w:rsid w:val="00A53053"/>
    <w:rsid w:val="00A54852"/>
    <w:rsid w:val="00A5584A"/>
    <w:rsid w:val="00A566AC"/>
    <w:rsid w:val="00A579D6"/>
    <w:rsid w:val="00A63603"/>
    <w:rsid w:val="00A647F6"/>
    <w:rsid w:val="00A6635A"/>
    <w:rsid w:val="00A718C0"/>
    <w:rsid w:val="00A72182"/>
    <w:rsid w:val="00A72611"/>
    <w:rsid w:val="00A74FB0"/>
    <w:rsid w:val="00A75F69"/>
    <w:rsid w:val="00A75FD1"/>
    <w:rsid w:val="00A77ABA"/>
    <w:rsid w:val="00A82449"/>
    <w:rsid w:val="00A8280D"/>
    <w:rsid w:val="00A82B6B"/>
    <w:rsid w:val="00A8504F"/>
    <w:rsid w:val="00A877C5"/>
    <w:rsid w:val="00A914CD"/>
    <w:rsid w:val="00A91C08"/>
    <w:rsid w:val="00A91EDD"/>
    <w:rsid w:val="00A92E0B"/>
    <w:rsid w:val="00A93ABB"/>
    <w:rsid w:val="00A943CB"/>
    <w:rsid w:val="00A95F91"/>
    <w:rsid w:val="00A97525"/>
    <w:rsid w:val="00AA14B0"/>
    <w:rsid w:val="00AA39D0"/>
    <w:rsid w:val="00AA50DF"/>
    <w:rsid w:val="00AA6A44"/>
    <w:rsid w:val="00AA7F45"/>
    <w:rsid w:val="00AB30C7"/>
    <w:rsid w:val="00AC0388"/>
    <w:rsid w:val="00AC0CC2"/>
    <w:rsid w:val="00AC5572"/>
    <w:rsid w:val="00AC7B89"/>
    <w:rsid w:val="00AD1612"/>
    <w:rsid w:val="00AD33B3"/>
    <w:rsid w:val="00AD3DDA"/>
    <w:rsid w:val="00AD4338"/>
    <w:rsid w:val="00AE04F0"/>
    <w:rsid w:val="00AE0CED"/>
    <w:rsid w:val="00AE200C"/>
    <w:rsid w:val="00AE2613"/>
    <w:rsid w:val="00AE43B6"/>
    <w:rsid w:val="00AE4FBA"/>
    <w:rsid w:val="00AE59DC"/>
    <w:rsid w:val="00AE5C2E"/>
    <w:rsid w:val="00AF106B"/>
    <w:rsid w:val="00AF1C6A"/>
    <w:rsid w:val="00AF1DE6"/>
    <w:rsid w:val="00AF397C"/>
    <w:rsid w:val="00AF55F2"/>
    <w:rsid w:val="00AF6455"/>
    <w:rsid w:val="00AF731B"/>
    <w:rsid w:val="00B0096B"/>
    <w:rsid w:val="00B01F2B"/>
    <w:rsid w:val="00B05170"/>
    <w:rsid w:val="00B07CF3"/>
    <w:rsid w:val="00B1011F"/>
    <w:rsid w:val="00B110D4"/>
    <w:rsid w:val="00B11810"/>
    <w:rsid w:val="00B11B40"/>
    <w:rsid w:val="00B11BCB"/>
    <w:rsid w:val="00B12FA7"/>
    <w:rsid w:val="00B13B5A"/>
    <w:rsid w:val="00B15D24"/>
    <w:rsid w:val="00B1688D"/>
    <w:rsid w:val="00B21BCB"/>
    <w:rsid w:val="00B22122"/>
    <w:rsid w:val="00B22B9C"/>
    <w:rsid w:val="00B2409B"/>
    <w:rsid w:val="00B24801"/>
    <w:rsid w:val="00B24BD8"/>
    <w:rsid w:val="00B267B2"/>
    <w:rsid w:val="00B27433"/>
    <w:rsid w:val="00B33AC2"/>
    <w:rsid w:val="00B3544F"/>
    <w:rsid w:val="00B3551F"/>
    <w:rsid w:val="00B361F2"/>
    <w:rsid w:val="00B365F8"/>
    <w:rsid w:val="00B374B9"/>
    <w:rsid w:val="00B37D18"/>
    <w:rsid w:val="00B401AF"/>
    <w:rsid w:val="00B41D48"/>
    <w:rsid w:val="00B423D1"/>
    <w:rsid w:val="00B437FC"/>
    <w:rsid w:val="00B43FB2"/>
    <w:rsid w:val="00B46028"/>
    <w:rsid w:val="00B4604F"/>
    <w:rsid w:val="00B46348"/>
    <w:rsid w:val="00B467EE"/>
    <w:rsid w:val="00B47673"/>
    <w:rsid w:val="00B47C26"/>
    <w:rsid w:val="00B47CBF"/>
    <w:rsid w:val="00B5132F"/>
    <w:rsid w:val="00B55393"/>
    <w:rsid w:val="00B558E3"/>
    <w:rsid w:val="00B56748"/>
    <w:rsid w:val="00B57DC7"/>
    <w:rsid w:val="00B60F35"/>
    <w:rsid w:val="00B63694"/>
    <w:rsid w:val="00B642A4"/>
    <w:rsid w:val="00B65B1D"/>
    <w:rsid w:val="00B668EA"/>
    <w:rsid w:val="00B67240"/>
    <w:rsid w:val="00B709D6"/>
    <w:rsid w:val="00B715FA"/>
    <w:rsid w:val="00B73985"/>
    <w:rsid w:val="00B75FA7"/>
    <w:rsid w:val="00B771F4"/>
    <w:rsid w:val="00B77FEE"/>
    <w:rsid w:val="00B815A9"/>
    <w:rsid w:val="00B81EE0"/>
    <w:rsid w:val="00B82FAC"/>
    <w:rsid w:val="00B8410B"/>
    <w:rsid w:val="00B85C6A"/>
    <w:rsid w:val="00B86E93"/>
    <w:rsid w:val="00B900E4"/>
    <w:rsid w:val="00B90657"/>
    <w:rsid w:val="00B93C7D"/>
    <w:rsid w:val="00B960B5"/>
    <w:rsid w:val="00BA0A95"/>
    <w:rsid w:val="00BA0E07"/>
    <w:rsid w:val="00BA3227"/>
    <w:rsid w:val="00BA41F4"/>
    <w:rsid w:val="00BA6D42"/>
    <w:rsid w:val="00BA7C86"/>
    <w:rsid w:val="00BB0861"/>
    <w:rsid w:val="00BB16AE"/>
    <w:rsid w:val="00BB2302"/>
    <w:rsid w:val="00BB2468"/>
    <w:rsid w:val="00BB520F"/>
    <w:rsid w:val="00BB5544"/>
    <w:rsid w:val="00BB5CD6"/>
    <w:rsid w:val="00BB7C1C"/>
    <w:rsid w:val="00BC02F8"/>
    <w:rsid w:val="00BC0D65"/>
    <w:rsid w:val="00BC16C1"/>
    <w:rsid w:val="00BC424C"/>
    <w:rsid w:val="00BC4311"/>
    <w:rsid w:val="00BC5859"/>
    <w:rsid w:val="00BC76C2"/>
    <w:rsid w:val="00BD0A40"/>
    <w:rsid w:val="00BD2C5D"/>
    <w:rsid w:val="00BD2FFD"/>
    <w:rsid w:val="00BD77DD"/>
    <w:rsid w:val="00BD7CB5"/>
    <w:rsid w:val="00BE0A46"/>
    <w:rsid w:val="00BE266D"/>
    <w:rsid w:val="00BE3AC6"/>
    <w:rsid w:val="00BE4C16"/>
    <w:rsid w:val="00BF15E9"/>
    <w:rsid w:val="00BF3A74"/>
    <w:rsid w:val="00BF3B29"/>
    <w:rsid w:val="00BF5131"/>
    <w:rsid w:val="00C02342"/>
    <w:rsid w:val="00C026D9"/>
    <w:rsid w:val="00C0462E"/>
    <w:rsid w:val="00C04EB3"/>
    <w:rsid w:val="00C052F6"/>
    <w:rsid w:val="00C104EC"/>
    <w:rsid w:val="00C11654"/>
    <w:rsid w:val="00C12908"/>
    <w:rsid w:val="00C12A4B"/>
    <w:rsid w:val="00C1506B"/>
    <w:rsid w:val="00C15B79"/>
    <w:rsid w:val="00C16234"/>
    <w:rsid w:val="00C1634E"/>
    <w:rsid w:val="00C16360"/>
    <w:rsid w:val="00C1763B"/>
    <w:rsid w:val="00C20405"/>
    <w:rsid w:val="00C240A3"/>
    <w:rsid w:val="00C24E4C"/>
    <w:rsid w:val="00C25F3C"/>
    <w:rsid w:val="00C30533"/>
    <w:rsid w:val="00C308B9"/>
    <w:rsid w:val="00C32934"/>
    <w:rsid w:val="00C329CA"/>
    <w:rsid w:val="00C331BD"/>
    <w:rsid w:val="00C33EC7"/>
    <w:rsid w:val="00C349EB"/>
    <w:rsid w:val="00C35CA4"/>
    <w:rsid w:val="00C366D6"/>
    <w:rsid w:val="00C36EFF"/>
    <w:rsid w:val="00C3716F"/>
    <w:rsid w:val="00C37D6B"/>
    <w:rsid w:val="00C37D76"/>
    <w:rsid w:val="00C41500"/>
    <w:rsid w:val="00C41698"/>
    <w:rsid w:val="00C41FDD"/>
    <w:rsid w:val="00C4257E"/>
    <w:rsid w:val="00C42D2E"/>
    <w:rsid w:val="00C42F51"/>
    <w:rsid w:val="00C50FB2"/>
    <w:rsid w:val="00C51513"/>
    <w:rsid w:val="00C5419D"/>
    <w:rsid w:val="00C573A8"/>
    <w:rsid w:val="00C574AD"/>
    <w:rsid w:val="00C574F1"/>
    <w:rsid w:val="00C6304B"/>
    <w:rsid w:val="00C6371A"/>
    <w:rsid w:val="00C65749"/>
    <w:rsid w:val="00C662BC"/>
    <w:rsid w:val="00C70486"/>
    <w:rsid w:val="00C73834"/>
    <w:rsid w:val="00C745F8"/>
    <w:rsid w:val="00C74A57"/>
    <w:rsid w:val="00C762C4"/>
    <w:rsid w:val="00C777B0"/>
    <w:rsid w:val="00C7793C"/>
    <w:rsid w:val="00C80403"/>
    <w:rsid w:val="00C87538"/>
    <w:rsid w:val="00C91BD1"/>
    <w:rsid w:val="00C93D14"/>
    <w:rsid w:val="00C9422A"/>
    <w:rsid w:val="00C958DD"/>
    <w:rsid w:val="00C96E9D"/>
    <w:rsid w:val="00CA198D"/>
    <w:rsid w:val="00CA1B7A"/>
    <w:rsid w:val="00CA2780"/>
    <w:rsid w:val="00CA38F7"/>
    <w:rsid w:val="00CA3D4F"/>
    <w:rsid w:val="00CA45B5"/>
    <w:rsid w:val="00CB0B24"/>
    <w:rsid w:val="00CB0E2B"/>
    <w:rsid w:val="00CB4CB8"/>
    <w:rsid w:val="00CB5000"/>
    <w:rsid w:val="00CB5464"/>
    <w:rsid w:val="00CB6FA5"/>
    <w:rsid w:val="00CC0812"/>
    <w:rsid w:val="00CC1233"/>
    <w:rsid w:val="00CC1917"/>
    <w:rsid w:val="00CC1F5A"/>
    <w:rsid w:val="00CC1F65"/>
    <w:rsid w:val="00CC2AFD"/>
    <w:rsid w:val="00CC2C58"/>
    <w:rsid w:val="00CC3F8E"/>
    <w:rsid w:val="00CC41CB"/>
    <w:rsid w:val="00CC4580"/>
    <w:rsid w:val="00CC5007"/>
    <w:rsid w:val="00CC70B4"/>
    <w:rsid w:val="00CD17CE"/>
    <w:rsid w:val="00CD306E"/>
    <w:rsid w:val="00CD5EC6"/>
    <w:rsid w:val="00CD7CF7"/>
    <w:rsid w:val="00CE55D7"/>
    <w:rsid w:val="00CE6869"/>
    <w:rsid w:val="00CF2189"/>
    <w:rsid w:val="00CF2EDF"/>
    <w:rsid w:val="00CF3FCF"/>
    <w:rsid w:val="00CF56E3"/>
    <w:rsid w:val="00CF655D"/>
    <w:rsid w:val="00CF6F6A"/>
    <w:rsid w:val="00CF7F26"/>
    <w:rsid w:val="00D00EA2"/>
    <w:rsid w:val="00D01470"/>
    <w:rsid w:val="00D01979"/>
    <w:rsid w:val="00D036E8"/>
    <w:rsid w:val="00D03EC9"/>
    <w:rsid w:val="00D04CD0"/>
    <w:rsid w:val="00D07876"/>
    <w:rsid w:val="00D10DB5"/>
    <w:rsid w:val="00D13F0C"/>
    <w:rsid w:val="00D14CC6"/>
    <w:rsid w:val="00D15A65"/>
    <w:rsid w:val="00D21A23"/>
    <w:rsid w:val="00D22270"/>
    <w:rsid w:val="00D22333"/>
    <w:rsid w:val="00D22CA2"/>
    <w:rsid w:val="00D26164"/>
    <w:rsid w:val="00D31AFD"/>
    <w:rsid w:val="00D321AF"/>
    <w:rsid w:val="00D333CB"/>
    <w:rsid w:val="00D34C9A"/>
    <w:rsid w:val="00D4120B"/>
    <w:rsid w:val="00D45B8F"/>
    <w:rsid w:val="00D5002A"/>
    <w:rsid w:val="00D506C5"/>
    <w:rsid w:val="00D50837"/>
    <w:rsid w:val="00D510D3"/>
    <w:rsid w:val="00D51D86"/>
    <w:rsid w:val="00D53D4A"/>
    <w:rsid w:val="00D54E08"/>
    <w:rsid w:val="00D55AC5"/>
    <w:rsid w:val="00D608AE"/>
    <w:rsid w:val="00D60B25"/>
    <w:rsid w:val="00D613DD"/>
    <w:rsid w:val="00D618A2"/>
    <w:rsid w:val="00D64A94"/>
    <w:rsid w:val="00D650C6"/>
    <w:rsid w:val="00D74D12"/>
    <w:rsid w:val="00D76AC9"/>
    <w:rsid w:val="00D77F18"/>
    <w:rsid w:val="00D81236"/>
    <w:rsid w:val="00D8134D"/>
    <w:rsid w:val="00D81C40"/>
    <w:rsid w:val="00D8302E"/>
    <w:rsid w:val="00D8313C"/>
    <w:rsid w:val="00D84CF7"/>
    <w:rsid w:val="00D85E18"/>
    <w:rsid w:val="00D90B0A"/>
    <w:rsid w:val="00D91717"/>
    <w:rsid w:val="00D931EB"/>
    <w:rsid w:val="00D9501E"/>
    <w:rsid w:val="00DA1C0E"/>
    <w:rsid w:val="00DA24A8"/>
    <w:rsid w:val="00DA36FA"/>
    <w:rsid w:val="00DA3A1C"/>
    <w:rsid w:val="00DA4452"/>
    <w:rsid w:val="00DA5A30"/>
    <w:rsid w:val="00DB0DB9"/>
    <w:rsid w:val="00DB0FB4"/>
    <w:rsid w:val="00DB1ED4"/>
    <w:rsid w:val="00DB40CF"/>
    <w:rsid w:val="00DC0159"/>
    <w:rsid w:val="00DC0CAB"/>
    <w:rsid w:val="00DC30FF"/>
    <w:rsid w:val="00DC6155"/>
    <w:rsid w:val="00DC63F8"/>
    <w:rsid w:val="00DC78B4"/>
    <w:rsid w:val="00DC7997"/>
    <w:rsid w:val="00DC7F06"/>
    <w:rsid w:val="00DD01D9"/>
    <w:rsid w:val="00DD31DC"/>
    <w:rsid w:val="00DD53DC"/>
    <w:rsid w:val="00DD66B3"/>
    <w:rsid w:val="00DD6C5D"/>
    <w:rsid w:val="00DD6FB7"/>
    <w:rsid w:val="00DE18E9"/>
    <w:rsid w:val="00DE2DD2"/>
    <w:rsid w:val="00DE3664"/>
    <w:rsid w:val="00DE4E50"/>
    <w:rsid w:val="00DE5A1B"/>
    <w:rsid w:val="00DF1B7C"/>
    <w:rsid w:val="00DF31F8"/>
    <w:rsid w:val="00DF5853"/>
    <w:rsid w:val="00DF5FD7"/>
    <w:rsid w:val="00E019E6"/>
    <w:rsid w:val="00E0289E"/>
    <w:rsid w:val="00E02A04"/>
    <w:rsid w:val="00E07676"/>
    <w:rsid w:val="00E14E04"/>
    <w:rsid w:val="00E17553"/>
    <w:rsid w:val="00E22433"/>
    <w:rsid w:val="00E2611F"/>
    <w:rsid w:val="00E264ED"/>
    <w:rsid w:val="00E27B4B"/>
    <w:rsid w:val="00E32436"/>
    <w:rsid w:val="00E32F2A"/>
    <w:rsid w:val="00E338FE"/>
    <w:rsid w:val="00E34E80"/>
    <w:rsid w:val="00E35442"/>
    <w:rsid w:val="00E35EE0"/>
    <w:rsid w:val="00E37886"/>
    <w:rsid w:val="00E40B2F"/>
    <w:rsid w:val="00E410E8"/>
    <w:rsid w:val="00E45E85"/>
    <w:rsid w:val="00E45EB4"/>
    <w:rsid w:val="00E475EE"/>
    <w:rsid w:val="00E4770A"/>
    <w:rsid w:val="00E510DB"/>
    <w:rsid w:val="00E510F5"/>
    <w:rsid w:val="00E531A0"/>
    <w:rsid w:val="00E55F0E"/>
    <w:rsid w:val="00E56EAC"/>
    <w:rsid w:val="00E61440"/>
    <w:rsid w:val="00E61E21"/>
    <w:rsid w:val="00E636CB"/>
    <w:rsid w:val="00E64991"/>
    <w:rsid w:val="00E64EE2"/>
    <w:rsid w:val="00E650D6"/>
    <w:rsid w:val="00E65836"/>
    <w:rsid w:val="00E73060"/>
    <w:rsid w:val="00E73697"/>
    <w:rsid w:val="00E749D6"/>
    <w:rsid w:val="00E74F2C"/>
    <w:rsid w:val="00E750BE"/>
    <w:rsid w:val="00E76362"/>
    <w:rsid w:val="00E76B0F"/>
    <w:rsid w:val="00E76BA6"/>
    <w:rsid w:val="00E7737B"/>
    <w:rsid w:val="00E8035C"/>
    <w:rsid w:val="00E846D4"/>
    <w:rsid w:val="00E84BCF"/>
    <w:rsid w:val="00E85E0A"/>
    <w:rsid w:val="00E86FD2"/>
    <w:rsid w:val="00E900EE"/>
    <w:rsid w:val="00E91946"/>
    <w:rsid w:val="00E92649"/>
    <w:rsid w:val="00E929C7"/>
    <w:rsid w:val="00E93FAF"/>
    <w:rsid w:val="00E9472B"/>
    <w:rsid w:val="00E94C46"/>
    <w:rsid w:val="00E973D2"/>
    <w:rsid w:val="00E9766C"/>
    <w:rsid w:val="00EA1602"/>
    <w:rsid w:val="00EA30E4"/>
    <w:rsid w:val="00EA5DB0"/>
    <w:rsid w:val="00EA66AD"/>
    <w:rsid w:val="00EA6F79"/>
    <w:rsid w:val="00EB3FF7"/>
    <w:rsid w:val="00EB57E5"/>
    <w:rsid w:val="00EB679C"/>
    <w:rsid w:val="00EB6ACA"/>
    <w:rsid w:val="00EC0420"/>
    <w:rsid w:val="00EC1A41"/>
    <w:rsid w:val="00EC36E4"/>
    <w:rsid w:val="00EC6C91"/>
    <w:rsid w:val="00EC7CD4"/>
    <w:rsid w:val="00EC7DEA"/>
    <w:rsid w:val="00ED248B"/>
    <w:rsid w:val="00ED28EA"/>
    <w:rsid w:val="00ED37D3"/>
    <w:rsid w:val="00ED3AFB"/>
    <w:rsid w:val="00ED6417"/>
    <w:rsid w:val="00ED66F8"/>
    <w:rsid w:val="00EE070D"/>
    <w:rsid w:val="00EE0F4F"/>
    <w:rsid w:val="00EE2524"/>
    <w:rsid w:val="00EE2C1F"/>
    <w:rsid w:val="00EE3FD8"/>
    <w:rsid w:val="00EE449C"/>
    <w:rsid w:val="00EE4B9B"/>
    <w:rsid w:val="00EE60E0"/>
    <w:rsid w:val="00EE6202"/>
    <w:rsid w:val="00EF1832"/>
    <w:rsid w:val="00EF2AD8"/>
    <w:rsid w:val="00EF62EB"/>
    <w:rsid w:val="00EF6B83"/>
    <w:rsid w:val="00F00994"/>
    <w:rsid w:val="00F0106A"/>
    <w:rsid w:val="00F02304"/>
    <w:rsid w:val="00F02C6C"/>
    <w:rsid w:val="00F03765"/>
    <w:rsid w:val="00F039B4"/>
    <w:rsid w:val="00F057F7"/>
    <w:rsid w:val="00F05F12"/>
    <w:rsid w:val="00F06F4B"/>
    <w:rsid w:val="00F07838"/>
    <w:rsid w:val="00F1035E"/>
    <w:rsid w:val="00F1064D"/>
    <w:rsid w:val="00F12F7C"/>
    <w:rsid w:val="00F15387"/>
    <w:rsid w:val="00F16F95"/>
    <w:rsid w:val="00F17004"/>
    <w:rsid w:val="00F21E7A"/>
    <w:rsid w:val="00F21E99"/>
    <w:rsid w:val="00F21F47"/>
    <w:rsid w:val="00F248B1"/>
    <w:rsid w:val="00F25096"/>
    <w:rsid w:val="00F25644"/>
    <w:rsid w:val="00F33998"/>
    <w:rsid w:val="00F33D00"/>
    <w:rsid w:val="00F342F5"/>
    <w:rsid w:val="00F34BD1"/>
    <w:rsid w:val="00F35809"/>
    <w:rsid w:val="00F36066"/>
    <w:rsid w:val="00F41C43"/>
    <w:rsid w:val="00F47988"/>
    <w:rsid w:val="00F47CEF"/>
    <w:rsid w:val="00F47E16"/>
    <w:rsid w:val="00F518EC"/>
    <w:rsid w:val="00F52792"/>
    <w:rsid w:val="00F527D3"/>
    <w:rsid w:val="00F54ADD"/>
    <w:rsid w:val="00F54D8A"/>
    <w:rsid w:val="00F572C6"/>
    <w:rsid w:val="00F61EC0"/>
    <w:rsid w:val="00F664C5"/>
    <w:rsid w:val="00F67165"/>
    <w:rsid w:val="00F7053C"/>
    <w:rsid w:val="00F705FE"/>
    <w:rsid w:val="00F70938"/>
    <w:rsid w:val="00F71ED5"/>
    <w:rsid w:val="00F71F54"/>
    <w:rsid w:val="00F73C8F"/>
    <w:rsid w:val="00F74B83"/>
    <w:rsid w:val="00F75122"/>
    <w:rsid w:val="00F762E3"/>
    <w:rsid w:val="00F81C6F"/>
    <w:rsid w:val="00F826A3"/>
    <w:rsid w:val="00F84840"/>
    <w:rsid w:val="00F86920"/>
    <w:rsid w:val="00F87FA2"/>
    <w:rsid w:val="00F90DB0"/>
    <w:rsid w:val="00F9502F"/>
    <w:rsid w:val="00F95F4B"/>
    <w:rsid w:val="00F9680D"/>
    <w:rsid w:val="00F97367"/>
    <w:rsid w:val="00F97A12"/>
    <w:rsid w:val="00FA1E43"/>
    <w:rsid w:val="00FA23AB"/>
    <w:rsid w:val="00FA6B8A"/>
    <w:rsid w:val="00FB0FBF"/>
    <w:rsid w:val="00FB12EE"/>
    <w:rsid w:val="00FB1B75"/>
    <w:rsid w:val="00FB1C9B"/>
    <w:rsid w:val="00FB2591"/>
    <w:rsid w:val="00FB2A16"/>
    <w:rsid w:val="00FB4E20"/>
    <w:rsid w:val="00FB6683"/>
    <w:rsid w:val="00FC2914"/>
    <w:rsid w:val="00FC3EF3"/>
    <w:rsid w:val="00FC58F9"/>
    <w:rsid w:val="00FD0957"/>
    <w:rsid w:val="00FD0C8A"/>
    <w:rsid w:val="00FD1858"/>
    <w:rsid w:val="00FD1B7C"/>
    <w:rsid w:val="00FD1CD0"/>
    <w:rsid w:val="00FD3340"/>
    <w:rsid w:val="00FD352D"/>
    <w:rsid w:val="00FD5248"/>
    <w:rsid w:val="00FD5DCA"/>
    <w:rsid w:val="00FD73DC"/>
    <w:rsid w:val="00FE0DF0"/>
    <w:rsid w:val="00FE2A73"/>
    <w:rsid w:val="00FE3907"/>
    <w:rsid w:val="00FE4170"/>
    <w:rsid w:val="00FE4F6D"/>
    <w:rsid w:val="00FE55F8"/>
    <w:rsid w:val="00FE70DF"/>
    <w:rsid w:val="00FF25A6"/>
    <w:rsid w:val="00FF3382"/>
    <w:rsid w:val="00FF64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5373"/>
  <w15:chartTrackingRefBased/>
  <w15:docId w15:val="{5C754A46-681F-4B19-B67E-580F5B31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3"/>
    <w:pPr>
      <w:spacing w:after="160" w:line="259" w:lineRule="auto"/>
      <w:jc w:val="left"/>
    </w:pPr>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FE3"/>
    <w:rPr>
      <w:rFonts w:ascii="Segoe UI" w:hAnsi="Segoe UI" w:cs="Segoe UI"/>
      <w:sz w:val="18"/>
      <w:szCs w:val="18"/>
    </w:rPr>
  </w:style>
  <w:style w:type="paragraph" w:styleId="Prrafodelista">
    <w:name w:val="List Paragraph"/>
    <w:basedOn w:val="Normal"/>
    <w:uiPriority w:val="34"/>
    <w:qFormat/>
    <w:rsid w:val="009D0FE3"/>
    <w:pPr>
      <w:ind w:left="720"/>
      <w:contextualSpacing/>
    </w:pPr>
  </w:style>
  <w:style w:type="paragraph" w:styleId="Textonotapie">
    <w:name w:val="footnote text"/>
    <w:aliases w:val="fn"/>
    <w:basedOn w:val="Normal"/>
    <w:link w:val="TextonotapieCar"/>
    <w:uiPriority w:val="99"/>
    <w:unhideWhenUsed/>
    <w:rsid w:val="007C6409"/>
    <w:pPr>
      <w:spacing w:after="0" w:line="240" w:lineRule="auto"/>
    </w:pPr>
    <w:rPr>
      <w:sz w:val="20"/>
      <w:szCs w:val="20"/>
    </w:rPr>
  </w:style>
  <w:style w:type="character" w:customStyle="1" w:styleId="TextonotapieCar">
    <w:name w:val="Texto nota pie Car"/>
    <w:aliases w:val="fn Car"/>
    <w:basedOn w:val="Fuentedeprrafopredeter"/>
    <w:link w:val="Textonotapie"/>
    <w:uiPriority w:val="99"/>
    <w:rsid w:val="007C6409"/>
    <w:rPr>
      <w:rFonts w:ascii="Calibri" w:eastAsia="Calibri" w:hAnsi="Calibri" w:cs="Calibri"/>
      <w:sz w:val="20"/>
      <w:szCs w:val="20"/>
      <w:lang w:eastAsia="es-PE"/>
    </w:rPr>
  </w:style>
  <w:style w:type="character" w:styleId="Refdenotaalpie">
    <w:name w:val="footnote reference"/>
    <w:aliases w:val="sobrescrito"/>
    <w:basedOn w:val="Fuentedeprrafopredeter"/>
    <w:uiPriority w:val="99"/>
    <w:unhideWhenUsed/>
    <w:rsid w:val="007C6409"/>
    <w:rPr>
      <w:vertAlign w:val="superscript"/>
    </w:rPr>
  </w:style>
  <w:style w:type="paragraph" w:styleId="Encabezado">
    <w:name w:val="header"/>
    <w:basedOn w:val="Normal"/>
    <w:link w:val="EncabezadoCar"/>
    <w:uiPriority w:val="99"/>
    <w:unhideWhenUsed/>
    <w:rsid w:val="00560B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B92"/>
    <w:rPr>
      <w:rFonts w:ascii="Calibri" w:eastAsia="Calibri" w:hAnsi="Calibri" w:cs="Calibri"/>
      <w:lang w:eastAsia="es-PE"/>
    </w:rPr>
  </w:style>
  <w:style w:type="paragraph" w:styleId="Piedepgina">
    <w:name w:val="footer"/>
    <w:basedOn w:val="Normal"/>
    <w:link w:val="PiedepginaCar"/>
    <w:uiPriority w:val="99"/>
    <w:unhideWhenUsed/>
    <w:rsid w:val="00560B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B92"/>
    <w:rPr>
      <w:rFonts w:ascii="Calibri" w:eastAsia="Calibri" w:hAnsi="Calibri" w:cs="Calibri"/>
      <w:lang w:eastAsia="es-PE"/>
    </w:rPr>
  </w:style>
  <w:style w:type="paragraph" w:styleId="Revisin">
    <w:name w:val="Revision"/>
    <w:hidden/>
    <w:uiPriority w:val="99"/>
    <w:semiHidden/>
    <w:rsid w:val="005C1080"/>
    <w:pPr>
      <w:jc w:val="left"/>
    </w:pPr>
    <w:rPr>
      <w:rFonts w:ascii="Calibri" w:eastAsia="Calibri" w:hAnsi="Calibri" w:cs="Calibri"/>
      <w:lang w:eastAsia="es-PE"/>
    </w:rPr>
  </w:style>
  <w:style w:type="character" w:styleId="Refdecomentario">
    <w:name w:val="annotation reference"/>
    <w:basedOn w:val="Fuentedeprrafopredeter"/>
    <w:uiPriority w:val="99"/>
    <w:semiHidden/>
    <w:unhideWhenUsed/>
    <w:rsid w:val="005E56FD"/>
    <w:rPr>
      <w:sz w:val="16"/>
      <w:szCs w:val="16"/>
    </w:rPr>
  </w:style>
  <w:style w:type="paragraph" w:styleId="Textocomentario">
    <w:name w:val="annotation text"/>
    <w:basedOn w:val="Normal"/>
    <w:link w:val="TextocomentarioCar"/>
    <w:uiPriority w:val="99"/>
    <w:unhideWhenUsed/>
    <w:rsid w:val="005E56FD"/>
    <w:pPr>
      <w:spacing w:line="240" w:lineRule="auto"/>
    </w:pPr>
    <w:rPr>
      <w:sz w:val="20"/>
      <w:szCs w:val="20"/>
    </w:rPr>
  </w:style>
  <w:style w:type="character" w:customStyle="1" w:styleId="TextocomentarioCar">
    <w:name w:val="Texto comentario Car"/>
    <w:basedOn w:val="Fuentedeprrafopredeter"/>
    <w:link w:val="Textocomentario"/>
    <w:uiPriority w:val="99"/>
    <w:rsid w:val="005E56FD"/>
    <w:rPr>
      <w:rFonts w:ascii="Calibri" w:eastAsia="Calibri" w:hAnsi="Calibri" w:cs="Calibri"/>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E56FD"/>
    <w:rPr>
      <w:b/>
      <w:bCs/>
    </w:rPr>
  </w:style>
  <w:style w:type="character" w:customStyle="1" w:styleId="AsuntodelcomentarioCar">
    <w:name w:val="Asunto del comentario Car"/>
    <w:basedOn w:val="TextocomentarioCar"/>
    <w:link w:val="Asuntodelcomentario"/>
    <w:uiPriority w:val="99"/>
    <w:semiHidden/>
    <w:rsid w:val="005E56FD"/>
    <w:rPr>
      <w:rFonts w:ascii="Calibri" w:eastAsia="Calibri" w:hAnsi="Calibri" w:cs="Calibri"/>
      <w:b/>
      <w:bCs/>
      <w:sz w:val="20"/>
      <w:szCs w:val="20"/>
      <w:lang w:eastAsia="es-PE"/>
    </w:rPr>
  </w:style>
  <w:style w:type="character" w:styleId="Hipervnculo">
    <w:name w:val="Hyperlink"/>
    <w:basedOn w:val="Fuentedeprrafopredeter"/>
    <w:uiPriority w:val="99"/>
    <w:unhideWhenUsed/>
    <w:rsid w:val="008704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26698">
      <w:bodyDiv w:val="1"/>
      <w:marLeft w:val="0"/>
      <w:marRight w:val="0"/>
      <w:marTop w:val="0"/>
      <w:marBottom w:val="0"/>
      <w:divBdr>
        <w:top w:val="none" w:sz="0" w:space="0" w:color="auto"/>
        <w:left w:val="none" w:sz="0" w:space="0" w:color="auto"/>
        <w:bottom w:val="none" w:sz="0" w:space="0" w:color="auto"/>
        <w:right w:val="none" w:sz="0" w:space="0" w:color="auto"/>
      </w:divBdr>
    </w:div>
    <w:div w:id="545722953">
      <w:bodyDiv w:val="1"/>
      <w:marLeft w:val="0"/>
      <w:marRight w:val="0"/>
      <w:marTop w:val="0"/>
      <w:marBottom w:val="0"/>
      <w:divBdr>
        <w:top w:val="none" w:sz="0" w:space="0" w:color="auto"/>
        <w:left w:val="none" w:sz="0" w:space="0" w:color="auto"/>
        <w:bottom w:val="none" w:sz="0" w:space="0" w:color="auto"/>
        <w:right w:val="none" w:sz="0" w:space="0" w:color="auto"/>
      </w:divBdr>
    </w:div>
    <w:div w:id="551621608">
      <w:bodyDiv w:val="1"/>
      <w:marLeft w:val="0"/>
      <w:marRight w:val="0"/>
      <w:marTop w:val="0"/>
      <w:marBottom w:val="0"/>
      <w:divBdr>
        <w:top w:val="none" w:sz="0" w:space="0" w:color="auto"/>
        <w:left w:val="none" w:sz="0" w:space="0" w:color="auto"/>
        <w:bottom w:val="none" w:sz="0" w:space="0" w:color="auto"/>
        <w:right w:val="none" w:sz="0" w:space="0" w:color="auto"/>
      </w:divBdr>
    </w:div>
    <w:div w:id="813110033">
      <w:bodyDiv w:val="1"/>
      <w:marLeft w:val="0"/>
      <w:marRight w:val="0"/>
      <w:marTop w:val="0"/>
      <w:marBottom w:val="0"/>
      <w:divBdr>
        <w:top w:val="none" w:sz="0" w:space="0" w:color="auto"/>
        <w:left w:val="none" w:sz="0" w:space="0" w:color="auto"/>
        <w:bottom w:val="none" w:sz="0" w:space="0" w:color="auto"/>
        <w:right w:val="none" w:sz="0" w:space="0" w:color="auto"/>
      </w:divBdr>
    </w:div>
    <w:div w:id="1051538350">
      <w:bodyDiv w:val="1"/>
      <w:marLeft w:val="0"/>
      <w:marRight w:val="0"/>
      <w:marTop w:val="0"/>
      <w:marBottom w:val="0"/>
      <w:divBdr>
        <w:top w:val="none" w:sz="0" w:space="0" w:color="auto"/>
        <w:left w:val="none" w:sz="0" w:space="0" w:color="auto"/>
        <w:bottom w:val="none" w:sz="0" w:space="0" w:color="auto"/>
        <w:right w:val="none" w:sz="0" w:space="0" w:color="auto"/>
      </w:divBdr>
    </w:div>
    <w:div w:id="1176653143">
      <w:bodyDiv w:val="1"/>
      <w:marLeft w:val="0"/>
      <w:marRight w:val="0"/>
      <w:marTop w:val="0"/>
      <w:marBottom w:val="0"/>
      <w:divBdr>
        <w:top w:val="none" w:sz="0" w:space="0" w:color="auto"/>
        <w:left w:val="none" w:sz="0" w:space="0" w:color="auto"/>
        <w:bottom w:val="none" w:sz="0" w:space="0" w:color="auto"/>
        <w:right w:val="none" w:sz="0" w:space="0" w:color="auto"/>
      </w:divBdr>
    </w:div>
    <w:div w:id="1381435298">
      <w:bodyDiv w:val="1"/>
      <w:marLeft w:val="0"/>
      <w:marRight w:val="0"/>
      <w:marTop w:val="0"/>
      <w:marBottom w:val="0"/>
      <w:divBdr>
        <w:top w:val="none" w:sz="0" w:space="0" w:color="auto"/>
        <w:left w:val="none" w:sz="0" w:space="0" w:color="auto"/>
        <w:bottom w:val="none" w:sz="0" w:space="0" w:color="auto"/>
        <w:right w:val="none" w:sz="0" w:space="0" w:color="auto"/>
      </w:divBdr>
    </w:div>
    <w:div w:id="1779370445">
      <w:bodyDiv w:val="1"/>
      <w:marLeft w:val="0"/>
      <w:marRight w:val="0"/>
      <w:marTop w:val="0"/>
      <w:marBottom w:val="0"/>
      <w:divBdr>
        <w:top w:val="none" w:sz="0" w:space="0" w:color="auto"/>
        <w:left w:val="none" w:sz="0" w:space="0" w:color="auto"/>
        <w:bottom w:val="none" w:sz="0" w:space="0" w:color="auto"/>
        <w:right w:val="none" w:sz="0" w:space="0" w:color="auto"/>
      </w:divBdr>
    </w:div>
    <w:div w:id="2017149517">
      <w:bodyDiv w:val="1"/>
      <w:marLeft w:val="0"/>
      <w:marRight w:val="0"/>
      <w:marTop w:val="0"/>
      <w:marBottom w:val="0"/>
      <w:divBdr>
        <w:top w:val="none" w:sz="0" w:space="0" w:color="auto"/>
        <w:left w:val="none" w:sz="0" w:space="0" w:color="auto"/>
        <w:bottom w:val="none" w:sz="0" w:space="0" w:color="auto"/>
        <w:right w:val="none" w:sz="0" w:space="0" w:color="auto"/>
      </w:divBdr>
      <w:divsChild>
        <w:div w:id="1029066504">
          <w:marLeft w:val="562"/>
          <w:marRight w:val="0"/>
          <w:marTop w:val="120"/>
          <w:marBottom w:val="0"/>
          <w:divBdr>
            <w:top w:val="none" w:sz="0" w:space="0" w:color="auto"/>
            <w:left w:val="none" w:sz="0" w:space="0" w:color="auto"/>
            <w:bottom w:val="none" w:sz="0" w:space="0" w:color="auto"/>
            <w:right w:val="none" w:sz="0" w:space="0" w:color="auto"/>
          </w:divBdr>
        </w:div>
      </w:divsChild>
    </w:div>
    <w:div w:id="21347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General a las</a:t>
            </a:r>
            <a:r>
              <a:rPr lang="es-PE" sz="1000" baseline="0" dirty="0"/>
              <a:t> Ventas</a:t>
            </a:r>
            <a:r>
              <a:rPr lang="es-PE" sz="1000" dirty="0"/>
              <a:t>: 2021 - 2023 </a:t>
            </a:r>
          </a:p>
          <a:p>
            <a:pPr algn="l">
              <a:defRPr sz="1000"/>
            </a:pPr>
            <a:r>
              <a:rPr lang="es-PE" sz="1000" b="0" dirty="0"/>
              <a:t>En millones de soles y Var. % real anual </a:t>
            </a:r>
          </a:p>
        </c:rich>
      </c:tx>
      <c:layout>
        <c:manualLayout>
          <c:xMode val="edge"/>
          <c:yMode val="edge"/>
          <c:x val="1.5008859933117487E-2"/>
          <c:y val="1.0522302190736191E-2"/>
        </c:manualLayout>
      </c:layout>
      <c:overlay val="0"/>
    </c:title>
    <c:autoTitleDeleted val="0"/>
    <c:plotArea>
      <c:layout>
        <c:manualLayout>
          <c:layoutTarget val="inner"/>
          <c:xMode val="edge"/>
          <c:yMode val="edge"/>
          <c:x val="0.12527972074556673"/>
          <c:y val="0.20892182271403034"/>
          <c:w val="0.77181208053691219"/>
          <c:h val="0.52386966947277702"/>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DD21-4290-8FD1-491482C27D75}"/>
              </c:ext>
            </c:extLst>
          </c:dPt>
          <c:dPt>
            <c:idx val="1"/>
            <c:invertIfNegative val="0"/>
            <c:bubble3D val="0"/>
            <c:extLst>
              <c:ext xmlns:c16="http://schemas.microsoft.com/office/drawing/2014/chart" uri="{C3380CC4-5D6E-409C-BE32-E72D297353CC}">
                <c16:uniqueId val="{00000001-DD21-4290-8FD1-491482C27D75}"/>
              </c:ext>
            </c:extLst>
          </c:dPt>
          <c:dPt>
            <c:idx val="2"/>
            <c:invertIfNegative val="0"/>
            <c:bubble3D val="0"/>
            <c:extLst>
              <c:ext xmlns:c16="http://schemas.microsoft.com/office/drawing/2014/chart" uri="{C3380CC4-5D6E-409C-BE32-E72D297353CC}">
                <c16:uniqueId val="{00000002-DD21-4290-8FD1-491482C27D75}"/>
              </c:ext>
            </c:extLst>
          </c:dPt>
          <c:dPt>
            <c:idx val="3"/>
            <c:invertIfNegative val="0"/>
            <c:bubble3D val="0"/>
            <c:extLst>
              <c:ext xmlns:c16="http://schemas.microsoft.com/office/drawing/2014/chart" uri="{C3380CC4-5D6E-409C-BE32-E72D297353CC}">
                <c16:uniqueId val="{00000003-DD21-4290-8FD1-491482C27D75}"/>
              </c:ext>
            </c:extLst>
          </c:dPt>
          <c:dPt>
            <c:idx val="4"/>
            <c:invertIfNegative val="0"/>
            <c:bubble3D val="0"/>
            <c:extLst>
              <c:ext xmlns:c16="http://schemas.microsoft.com/office/drawing/2014/chart" uri="{C3380CC4-5D6E-409C-BE32-E72D297353CC}">
                <c16:uniqueId val="{00000005-DD21-4290-8FD1-491482C27D75}"/>
              </c:ext>
            </c:extLst>
          </c:dPt>
          <c:dPt>
            <c:idx val="5"/>
            <c:invertIfNegative val="0"/>
            <c:bubble3D val="0"/>
            <c:extLst>
              <c:ext xmlns:c16="http://schemas.microsoft.com/office/drawing/2014/chart" uri="{C3380CC4-5D6E-409C-BE32-E72D297353CC}">
                <c16:uniqueId val="{00000006-DD21-4290-8FD1-491482C27D75}"/>
              </c:ext>
            </c:extLst>
          </c:dPt>
          <c:dPt>
            <c:idx val="6"/>
            <c:invertIfNegative val="0"/>
            <c:bubble3D val="0"/>
            <c:spPr>
              <a:solidFill>
                <a:schemeClr val="accent1">
                  <a:lumMod val="20000"/>
                  <a:lumOff val="8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7-DD21-4290-8FD1-491482C27D75}"/>
              </c:ext>
            </c:extLst>
          </c:dPt>
          <c:dPt>
            <c:idx val="7"/>
            <c:invertIfNegative val="0"/>
            <c:bubble3D val="0"/>
            <c:extLst>
              <c:ext xmlns:c16="http://schemas.microsoft.com/office/drawing/2014/chart" uri="{C3380CC4-5D6E-409C-BE32-E72D297353CC}">
                <c16:uniqueId val="{00000008-DD21-4290-8FD1-491482C27D75}"/>
              </c:ext>
            </c:extLst>
          </c:dPt>
          <c:dPt>
            <c:idx val="8"/>
            <c:invertIfNegative val="0"/>
            <c:bubble3D val="0"/>
            <c:extLst>
              <c:ext xmlns:c16="http://schemas.microsoft.com/office/drawing/2014/chart" uri="{C3380CC4-5D6E-409C-BE32-E72D297353CC}">
                <c16:uniqueId val="{00000009-DD21-4290-8FD1-491482C27D75}"/>
              </c:ext>
            </c:extLst>
          </c:dPt>
          <c:dPt>
            <c:idx val="9"/>
            <c:invertIfNegative val="0"/>
            <c:bubble3D val="0"/>
            <c:extLst>
              <c:ext xmlns:c16="http://schemas.microsoft.com/office/drawing/2014/chart" uri="{C3380CC4-5D6E-409C-BE32-E72D297353CC}">
                <c16:uniqueId val="{0000000A-DD21-4290-8FD1-491482C27D75}"/>
              </c:ext>
            </c:extLst>
          </c:dPt>
          <c:dPt>
            <c:idx val="10"/>
            <c:invertIfNegative val="0"/>
            <c:bubble3D val="0"/>
            <c:extLst>
              <c:ext xmlns:c16="http://schemas.microsoft.com/office/drawing/2014/chart" uri="{C3380CC4-5D6E-409C-BE32-E72D297353CC}">
                <c16:uniqueId val="{0000000B-DD21-4290-8FD1-491482C27D75}"/>
              </c:ext>
            </c:extLst>
          </c:dPt>
          <c:dPt>
            <c:idx val="12"/>
            <c:invertIfNegative val="0"/>
            <c:bubble3D val="0"/>
            <c:extLst>
              <c:ext xmlns:c16="http://schemas.microsoft.com/office/drawing/2014/chart" uri="{C3380CC4-5D6E-409C-BE32-E72D297353CC}">
                <c16:uniqueId val="{0000000C-DD21-4290-8FD1-491482C27D75}"/>
              </c:ext>
            </c:extLst>
          </c:dPt>
          <c:dPt>
            <c:idx val="13"/>
            <c:invertIfNegative val="0"/>
            <c:bubble3D val="0"/>
            <c:extLst>
              <c:ext xmlns:c16="http://schemas.microsoft.com/office/drawing/2014/chart" uri="{C3380CC4-5D6E-409C-BE32-E72D297353CC}">
                <c16:uniqueId val="{0000000D-DD21-4290-8FD1-491482C27D75}"/>
              </c:ext>
            </c:extLst>
          </c:dPt>
          <c:dPt>
            <c:idx val="14"/>
            <c:invertIfNegative val="0"/>
            <c:bubble3D val="0"/>
            <c:extLst>
              <c:ext xmlns:c16="http://schemas.microsoft.com/office/drawing/2014/chart" uri="{C3380CC4-5D6E-409C-BE32-E72D297353CC}">
                <c16:uniqueId val="{0000000E-DD21-4290-8FD1-491482C27D75}"/>
              </c:ext>
            </c:extLst>
          </c:dPt>
          <c:dPt>
            <c:idx val="15"/>
            <c:invertIfNegative val="0"/>
            <c:bubble3D val="0"/>
            <c:extLst>
              <c:ext xmlns:c16="http://schemas.microsoft.com/office/drawing/2014/chart" uri="{C3380CC4-5D6E-409C-BE32-E72D297353CC}">
                <c16:uniqueId val="{0000000F-DD21-4290-8FD1-491482C27D75}"/>
              </c:ext>
            </c:extLst>
          </c:dPt>
          <c:dPt>
            <c:idx val="16"/>
            <c:invertIfNegative val="0"/>
            <c:bubble3D val="0"/>
            <c:extLst>
              <c:ext xmlns:c16="http://schemas.microsoft.com/office/drawing/2014/chart" uri="{C3380CC4-5D6E-409C-BE32-E72D297353CC}">
                <c16:uniqueId val="{00000011-DD21-4290-8FD1-491482C27D75}"/>
              </c:ext>
            </c:extLst>
          </c:dPt>
          <c:dPt>
            <c:idx val="17"/>
            <c:invertIfNegative val="0"/>
            <c:bubble3D val="0"/>
            <c:extLst>
              <c:ext xmlns:c16="http://schemas.microsoft.com/office/drawing/2014/chart" uri="{C3380CC4-5D6E-409C-BE32-E72D297353CC}">
                <c16:uniqueId val="{00000012-DD21-4290-8FD1-491482C27D75}"/>
              </c:ext>
            </c:extLst>
          </c:dPt>
          <c:dPt>
            <c:idx val="18"/>
            <c:invertIfNegative val="0"/>
            <c:bubble3D val="0"/>
            <c:spPr>
              <a:solidFill>
                <a:schemeClr val="accent1">
                  <a:lumMod val="20000"/>
                  <a:lumOff val="8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3-DD21-4290-8FD1-491482C27D75}"/>
              </c:ext>
            </c:extLst>
          </c:dPt>
          <c:dPt>
            <c:idx val="19"/>
            <c:invertIfNegative val="0"/>
            <c:bubble3D val="0"/>
            <c:extLst>
              <c:ext xmlns:c16="http://schemas.microsoft.com/office/drawing/2014/chart" uri="{C3380CC4-5D6E-409C-BE32-E72D297353CC}">
                <c16:uniqueId val="{00000014-DD21-4290-8FD1-491482C27D75}"/>
              </c:ext>
            </c:extLst>
          </c:dPt>
          <c:dPt>
            <c:idx val="20"/>
            <c:invertIfNegative val="0"/>
            <c:bubble3D val="0"/>
            <c:extLst>
              <c:ext xmlns:c16="http://schemas.microsoft.com/office/drawing/2014/chart" uri="{C3380CC4-5D6E-409C-BE32-E72D297353CC}">
                <c16:uniqueId val="{00000015-DD21-4290-8FD1-491482C27D75}"/>
              </c:ext>
            </c:extLst>
          </c:dPt>
          <c:dPt>
            <c:idx val="21"/>
            <c:invertIfNegative val="0"/>
            <c:bubble3D val="0"/>
            <c:extLst>
              <c:ext xmlns:c16="http://schemas.microsoft.com/office/drawing/2014/chart" uri="{C3380CC4-5D6E-409C-BE32-E72D297353CC}">
                <c16:uniqueId val="{00000016-DD21-4290-8FD1-491482C27D75}"/>
              </c:ext>
            </c:extLst>
          </c:dPt>
          <c:dPt>
            <c:idx val="24"/>
            <c:invertIfNegative val="0"/>
            <c:bubble3D val="0"/>
            <c:extLst>
              <c:ext xmlns:c16="http://schemas.microsoft.com/office/drawing/2014/chart" uri="{C3380CC4-5D6E-409C-BE32-E72D297353CC}">
                <c16:uniqueId val="{00000017-DD21-4290-8FD1-491482C27D75}"/>
              </c:ext>
            </c:extLst>
          </c:dPt>
          <c:dPt>
            <c:idx val="25"/>
            <c:invertIfNegative val="0"/>
            <c:bubble3D val="0"/>
            <c:extLst>
              <c:ext xmlns:c16="http://schemas.microsoft.com/office/drawing/2014/chart" uri="{C3380CC4-5D6E-409C-BE32-E72D297353CC}">
                <c16:uniqueId val="{00000018-DD21-4290-8FD1-491482C27D75}"/>
              </c:ext>
            </c:extLst>
          </c:dPt>
          <c:dPt>
            <c:idx val="26"/>
            <c:invertIfNegative val="0"/>
            <c:bubble3D val="0"/>
            <c:extLst>
              <c:ext xmlns:c16="http://schemas.microsoft.com/office/drawing/2014/chart" uri="{C3380CC4-5D6E-409C-BE32-E72D297353CC}">
                <c16:uniqueId val="{00000019-DD21-4290-8FD1-491482C27D75}"/>
              </c:ext>
            </c:extLst>
          </c:dPt>
          <c:dPt>
            <c:idx val="27"/>
            <c:invertIfNegative val="0"/>
            <c:bubble3D val="0"/>
            <c:extLst>
              <c:ext xmlns:c16="http://schemas.microsoft.com/office/drawing/2014/chart" uri="{C3380CC4-5D6E-409C-BE32-E72D297353CC}">
                <c16:uniqueId val="{0000001A-DD21-4290-8FD1-491482C27D75}"/>
              </c:ext>
            </c:extLst>
          </c:dPt>
          <c:dPt>
            <c:idx val="28"/>
            <c:invertIfNegative val="0"/>
            <c:bubble3D val="0"/>
            <c:extLst>
              <c:ext xmlns:c16="http://schemas.microsoft.com/office/drawing/2014/chart" uri="{C3380CC4-5D6E-409C-BE32-E72D297353CC}">
                <c16:uniqueId val="{0000001C-DD21-4290-8FD1-491482C27D75}"/>
              </c:ext>
            </c:extLst>
          </c:dPt>
          <c:dPt>
            <c:idx val="29"/>
            <c:invertIfNegative val="0"/>
            <c:bubble3D val="0"/>
            <c:extLst>
              <c:ext xmlns:c16="http://schemas.microsoft.com/office/drawing/2014/chart" uri="{C3380CC4-5D6E-409C-BE32-E72D297353CC}">
                <c16:uniqueId val="{0000001E-ADD6-4682-B037-13E444BD62D7}"/>
              </c:ext>
            </c:extLst>
          </c:dPt>
          <c:dPt>
            <c:idx val="30"/>
            <c:invertIfNegative val="0"/>
            <c:bubble3D val="0"/>
            <c:spPr>
              <a:solidFill>
                <a:schemeClr val="accent1">
                  <a:lumMod val="20000"/>
                  <a:lumOff val="8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F-2886-45F4-AC5A-AD5C8C7A7BB1}"/>
              </c:ext>
            </c:extLst>
          </c:dPt>
          <c:dLbls>
            <c:dLbl>
              <c:idx val="6"/>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D21-4290-8FD1-491482C27D75}"/>
                </c:ext>
              </c:extLst>
            </c:dLbl>
            <c:dLbl>
              <c:idx val="18"/>
              <c:layout>
                <c:manualLayout>
                  <c:x val="0"/>
                  <c:y val="-5.668934240362812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D21-4290-8FD1-491482C27D75}"/>
                </c:ext>
              </c:extLst>
            </c:dLbl>
            <c:dLbl>
              <c:idx val="3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2886-45F4-AC5A-AD5C8C7A7BB1}"/>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Hoja1!$A$2:$A$56</c:f>
              <c:strCache>
                <c:ptCount val="31"/>
                <c:pt idx="0">
                  <c:v>E-21</c:v>
                </c:pt>
                <c:pt idx="1">
                  <c:v>F</c:v>
                </c:pt>
                <c:pt idx="2">
                  <c:v>M</c:v>
                </c:pt>
                <c:pt idx="3">
                  <c:v>A</c:v>
                </c:pt>
                <c:pt idx="4">
                  <c:v>M</c:v>
                </c:pt>
                <c:pt idx="5">
                  <c:v>J</c:v>
                </c:pt>
                <c:pt idx="6">
                  <c:v>Jl</c:v>
                </c:pt>
                <c:pt idx="7">
                  <c:v>A</c:v>
                </c:pt>
                <c:pt idx="8">
                  <c:v>S</c:v>
                </c:pt>
                <c:pt idx="9">
                  <c:v>O</c:v>
                </c:pt>
                <c:pt idx="10">
                  <c:v>N</c:v>
                </c:pt>
                <c:pt idx="11">
                  <c:v>D</c:v>
                </c:pt>
                <c:pt idx="12">
                  <c:v>E-22</c:v>
                </c:pt>
                <c:pt idx="13">
                  <c:v>F</c:v>
                </c:pt>
                <c:pt idx="14">
                  <c:v>M</c:v>
                </c:pt>
                <c:pt idx="15">
                  <c:v>A</c:v>
                </c:pt>
                <c:pt idx="16">
                  <c:v>M</c:v>
                </c:pt>
                <c:pt idx="17">
                  <c:v>J</c:v>
                </c:pt>
                <c:pt idx="18">
                  <c:v>Jl</c:v>
                </c:pt>
                <c:pt idx="19">
                  <c:v>A</c:v>
                </c:pt>
                <c:pt idx="20">
                  <c:v>S</c:v>
                </c:pt>
                <c:pt idx="21">
                  <c:v>O</c:v>
                </c:pt>
                <c:pt idx="22">
                  <c:v>N</c:v>
                </c:pt>
                <c:pt idx="23">
                  <c:v>D</c:v>
                </c:pt>
                <c:pt idx="24">
                  <c:v>E-23</c:v>
                </c:pt>
                <c:pt idx="25">
                  <c:v>F</c:v>
                </c:pt>
                <c:pt idx="26">
                  <c:v>M</c:v>
                </c:pt>
                <c:pt idx="27">
                  <c:v>A</c:v>
                </c:pt>
                <c:pt idx="28">
                  <c:v>M</c:v>
                </c:pt>
                <c:pt idx="29">
                  <c:v>J</c:v>
                </c:pt>
                <c:pt idx="30">
                  <c:v>Jl</c:v>
                </c:pt>
              </c:strCache>
            </c:strRef>
          </c:cat>
          <c:val>
            <c:numRef>
              <c:f>Hoja1!$B$2:$B$56</c:f>
              <c:numCache>
                <c:formatCode>_ * #,##0_ ;_ * \-#,##0_ ;_ * "-"??_ ;_ @_ </c:formatCode>
                <c:ptCount val="31"/>
                <c:pt idx="0">
                  <c:v>6343.6893576983939</c:v>
                </c:pt>
                <c:pt idx="1">
                  <c:v>5623.6288904024132</c:v>
                </c:pt>
                <c:pt idx="2">
                  <c:v>6093.3190117378572</c:v>
                </c:pt>
                <c:pt idx="3">
                  <c:v>5906.2370168636126</c:v>
                </c:pt>
                <c:pt idx="4">
                  <c:v>6022.1384266739315</c:v>
                </c:pt>
                <c:pt idx="5">
                  <c:v>6170.4570452325506</c:v>
                </c:pt>
                <c:pt idx="6">
                  <c:v>6235.3764663249322</c:v>
                </c:pt>
                <c:pt idx="7">
                  <c:v>7004.1239552114903</c:v>
                </c:pt>
                <c:pt idx="8">
                  <c:v>6863.384087718151</c:v>
                </c:pt>
                <c:pt idx="9">
                  <c:v>6574.5597955193634</c:v>
                </c:pt>
                <c:pt idx="10">
                  <c:v>7487.3287247026319</c:v>
                </c:pt>
                <c:pt idx="11">
                  <c:v>7773.3392810805344</c:v>
                </c:pt>
                <c:pt idx="12">
                  <c:v>7837.8744152137442</c:v>
                </c:pt>
                <c:pt idx="13">
                  <c:v>6495.0821647086941</c:v>
                </c:pt>
                <c:pt idx="14">
                  <c:v>7036.728550604792</c:v>
                </c:pt>
                <c:pt idx="15">
                  <c:v>6974.0671460806752</c:v>
                </c:pt>
                <c:pt idx="16">
                  <c:v>7517.5186494777645</c:v>
                </c:pt>
                <c:pt idx="17">
                  <c:v>6901.4268986379393</c:v>
                </c:pt>
                <c:pt idx="18">
                  <c:v>7087.8074243599794</c:v>
                </c:pt>
                <c:pt idx="19">
                  <c:v>8248.4253892669476</c:v>
                </c:pt>
                <c:pt idx="20">
                  <c:v>7878.46595897916</c:v>
                </c:pt>
                <c:pt idx="21">
                  <c:v>7570.2773743994903</c:v>
                </c:pt>
                <c:pt idx="22">
                  <c:v>7704.988486291666</c:v>
                </c:pt>
                <c:pt idx="23">
                  <c:v>7051.8799201166976</c:v>
                </c:pt>
                <c:pt idx="24">
                  <c:v>7937.2199861947529</c:v>
                </c:pt>
                <c:pt idx="25">
                  <c:v>6567.5429748180668</c:v>
                </c:pt>
                <c:pt idx="26">
                  <c:v>6907.6321761391991</c:v>
                </c:pt>
                <c:pt idx="27">
                  <c:v>6255.687667849571</c:v>
                </c:pt>
                <c:pt idx="28">
                  <c:v>7081</c:v>
                </c:pt>
                <c:pt idx="29">
                  <c:v>6491</c:v>
                </c:pt>
                <c:pt idx="30">
                  <c:v>6779</c:v>
                </c:pt>
              </c:numCache>
            </c:numRef>
          </c:val>
          <c:extLst>
            <c:ext xmlns:c16="http://schemas.microsoft.com/office/drawing/2014/chart" uri="{C3380CC4-5D6E-409C-BE32-E72D297353CC}">
              <c16:uniqueId val="{0000001D-DD21-4290-8FD1-491482C27D75}"/>
            </c:ext>
          </c:extLst>
        </c:ser>
        <c:dLbls>
          <c:showLegendKey val="0"/>
          <c:showVal val="0"/>
          <c:showCatName val="0"/>
          <c:showSerName val="0"/>
          <c:showPercent val="0"/>
          <c:showBubbleSize val="0"/>
        </c:dLbls>
        <c:gapWidth val="105"/>
        <c:overlap val="100"/>
        <c:axId val="144871808"/>
        <c:axId val="144873344"/>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6"/>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2886-45F4-AC5A-AD5C8C7A7BB1}"/>
                </c:ext>
              </c:extLst>
            </c:dLbl>
            <c:dLbl>
              <c:idx val="18"/>
              <c:layout>
                <c:manualLayout>
                  <c:x val="-3.7175823936135409E-2"/>
                  <c:y val="-4.07029478458049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2886-45F4-AC5A-AD5C8C7A7BB1}"/>
                </c:ext>
              </c:extLst>
            </c:dLbl>
            <c:dLbl>
              <c:idx val="30"/>
              <c:layout>
                <c:manualLayout>
                  <c:x val="-4.0953209984989601E-2"/>
                  <c:y val="-1.519252057778492E-2"/>
                </c:manualLayout>
              </c:layout>
              <c:spPr>
                <a:noFill/>
                <a:ln>
                  <a:noFill/>
                </a:ln>
                <a:effectLst/>
              </c:spPr>
              <c:txPr>
                <a:bodyPr wrap="square" lIns="38100" tIns="19050" rIns="38100" bIns="19050" anchor="ctr">
                  <a:noAutofit/>
                </a:bodyPr>
                <a:lstStyle/>
                <a:p>
                  <a:pPr>
                    <a:defRPr/>
                  </a:pPr>
                  <a:endParaRPr lang="es-PE"/>
                </a:p>
              </c:txPr>
              <c:dLblPos val="r"/>
              <c:showLegendKey val="0"/>
              <c:showVal val="1"/>
              <c:showCatName val="0"/>
              <c:showSerName val="0"/>
              <c:showPercent val="0"/>
              <c:showBubbleSize val="0"/>
              <c:extLst>
                <c:ext xmlns:c15="http://schemas.microsoft.com/office/drawing/2012/chart" uri="{CE6537A1-D6FC-4f65-9D91-7224C49458BB}">
                  <c15:layout>
                    <c:manualLayout>
                      <c:w val="5.4205390657066886E-2"/>
                      <c:h val="5.8730158730158716E-2"/>
                    </c:manualLayout>
                  </c15:layout>
                </c:ext>
                <c:ext xmlns:c16="http://schemas.microsoft.com/office/drawing/2014/chart" uri="{C3380CC4-5D6E-409C-BE32-E72D297353CC}">
                  <c16:uniqueId val="{00000022-2886-45F4-AC5A-AD5C8C7A7BB1}"/>
                </c:ext>
              </c:extLst>
            </c:dLbl>
            <c:spPr>
              <a:noFill/>
              <a:ln>
                <a:noFill/>
              </a:ln>
              <a:effectLst/>
            </c:spPr>
            <c:dLblPos val="t"/>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Hoja1!$A$2:$A$56</c:f>
              <c:strCache>
                <c:ptCount val="31"/>
                <c:pt idx="0">
                  <c:v>E-21</c:v>
                </c:pt>
                <c:pt idx="1">
                  <c:v>F</c:v>
                </c:pt>
                <c:pt idx="2">
                  <c:v>M</c:v>
                </c:pt>
                <c:pt idx="3">
                  <c:v>A</c:v>
                </c:pt>
                <c:pt idx="4">
                  <c:v>M</c:v>
                </c:pt>
                <c:pt idx="5">
                  <c:v>J</c:v>
                </c:pt>
                <c:pt idx="6">
                  <c:v>Jl</c:v>
                </c:pt>
                <c:pt idx="7">
                  <c:v>A</c:v>
                </c:pt>
                <c:pt idx="8">
                  <c:v>S</c:v>
                </c:pt>
                <c:pt idx="9">
                  <c:v>O</c:v>
                </c:pt>
                <c:pt idx="10">
                  <c:v>N</c:v>
                </c:pt>
                <c:pt idx="11">
                  <c:v>D</c:v>
                </c:pt>
                <c:pt idx="12">
                  <c:v>E-22</c:v>
                </c:pt>
                <c:pt idx="13">
                  <c:v>F</c:v>
                </c:pt>
                <c:pt idx="14">
                  <c:v>M</c:v>
                </c:pt>
                <c:pt idx="15">
                  <c:v>A</c:v>
                </c:pt>
                <c:pt idx="16">
                  <c:v>M</c:v>
                </c:pt>
                <c:pt idx="17">
                  <c:v>J</c:v>
                </c:pt>
                <c:pt idx="18">
                  <c:v>Jl</c:v>
                </c:pt>
                <c:pt idx="19">
                  <c:v>A</c:v>
                </c:pt>
                <c:pt idx="20">
                  <c:v>S</c:v>
                </c:pt>
                <c:pt idx="21">
                  <c:v>O</c:v>
                </c:pt>
                <c:pt idx="22">
                  <c:v>N</c:v>
                </c:pt>
                <c:pt idx="23">
                  <c:v>D</c:v>
                </c:pt>
                <c:pt idx="24">
                  <c:v>E-23</c:v>
                </c:pt>
                <c:pt idx="25">
                  <c:v>F</c:v>
                </c:pt>
                <c:pt idx="26">
                  <c:v>M</c:v>
                </c:pt>
                <c:pt idx="27">
                  <c:v>A</c:v>
                </c:pt>
                <c:pt idx="28">
                  <c:v>M</c:v>
                </c:pt>
                <c:pt idx="29">
                  <c:v>J</c:v>
                </c:pt>
                <c:pt idx="30">
                  <c:v>Jl</c:v>
                </c:pt>
              </c:strCache>
            </c:strRef>
          </c:cat>
          <c:val>
            <c:numRef>
              <c:f>Hoja1!$C$2:$C$56</c:f>
              <c:numCache>
                <c:formatCode>0.0</c:formatCode>
                <c:ptCount val="31"/>
                <c:pt idx="0">
                  <c:v>-3.334541013896386</c:v>
                </c:pt>
                <c:pt idx="1">
                  <c:v>12.760649894470788</c:v>
                </c:pt>
                <c:pt idx="2">
                  <c:v>41.409243852701707</c:v>
                </c:pt>
                <c:pt idx="3">
                  <c:v>70.748239312387611</c:v>
                </c:pt>
                <c:pt idx="4">
                  <c:v>82.261773333039855</c:v>
                </c:pt>
                <c:pt idx="5">
                  <c:v>79.60964370400545</c:v>
                </c:pt>
                <c:pt idx="6">
                  <c:v>48.618547859661135</c:v>
                </c:pt>
                <c:pt idx="7">
                  <c:v>48.968345980000706</c:v>
                </c:pt>
                <c:pt idx="8">
                  <c:v>34.259213448754508</c:v>
                </c:pt>
                <c:pt idx="9">
                  <c:v>19.445027952645244</c:v>
                </c:pt>
                <c:pt idx="10">
                  <c:v>30.6468470021805</c:v>
                </c:pt>
                <c:pt idx="11">
                  <c:v>22.093688133375068</c:v>
                </c:pt>
                <c:pt idx="12">
                  <c:v>16.907771790801963</c:v>
                </c:pt>
                <c:pt idx="13">
                  <c:v>8.8078159080318343</c:v>
                </c:pt>
                <c:pt idx="14">
                  <c:v>8.1054737731597992</c:v>
                </c:pt>
                <c:pt idx="15">
                  <c:v>9.3688538410029221</c:v>
                </c:pt>
                <c:pt idx="16">
                  <c:v>15.487155652260153</c:v>
                </c:pt>
                <c:pt idx="17">
                  <c:v>2.7879582382656309</c:v>
                </c:pt>
                <c:pt idx="18">
                  <c:v>4.5337591656852139</c:v>
                </c:pt>
                <c:pt idx="19">
                  <c:v>8.6415623277861453</c:v>
                </c:pt>
                <c:pt idx="20">
                  <c:v>5.7679649106155528</c:v>
                </c:pt>
                <c:pt idx="21">
                  <c:v>6.3447713352839052</c:v>
                </c:pt>
                <c:pt idx="22">
                  <c:v>-5.1131700223851713</c:v>
                </c:pt>
                <c:pt idx="23">
                  <c:v>-16.35682975605728</c:v>
                </c:pt>
                <c:pt idx="24">
                  <c:v>-6.8069850954073807</c:v>
                </c:pt>
                <c:pt idx="25">
                  <c:v>-6.9310449468802933</c:v>
                </c:pt>
                <c:pt idx="26">
                  <c:v>-9.4419996888319151</c:v>
                </c:pt>
                <c:pt idx="27">
                  <c:v>-16.918226350795752</c:v>
                </c:pt>
                <c:pt idx="28">
                  <c:v>-12.7</c:v>
                </c:pt>
                <c:pt idx="29">
                  <c:v>-11.7</c:v>
                </c:pt>
                <c:pt idx="30">
                  <c:v>-9.6999999999999993</c:v>
                </c:pt>
              </c:numCache>
            </c:numRef>
          </c:val>
          <c:smooth val="1"/>
          <c:extLst>
            <c:ext xmlns:c16="http://schemas.microsoft.com/office/drawing/2014/chart" uri="{C3380CC4-5D6E-409C-BE32-E72D297353CC}">
              <c16:uniqueId val="{00000021-DD21-4290-8FD1-491482C27D75}"/>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Hoja1!$A$2:$A$56</c:f>
              <c:strCache>
                <c:ptCount val="31"/>
                <c:pt idx="0">
                  <c:v>E-21</c:v>
                </c:pt>
                <c:pt idx="1">
                  <c:v>F</c:v>
                </c:pt>
                <c:pt idx="2">
                  <c:v>M</c:v>
                </c:pt>
                <c:pt idx="3">
                  <c:v>A</c:v>
                </c:pt>
                <c:pt idx="4">
                  <c:v>M</c:v>
                </c:pt>
                <c:pt idx="5">
                  <c:v>J</c:v>
                </c:pt>
                <c:pt idx="6">
                  <c:v>Jl</c:v>
                </c:pt>
                <c:pt idx="7">
                  <c:v>A</c:v>
                </c:pt>
                <c:pt idx="8">
                  <c:v>S</c:v>
                </c:pt>
                <c:pt idx="9">
                  <c:v>O</c:v>
                </c:pt>
                <c:pt idx="10">
                  <c:v>N</c:v>
                </c:pt>
                <c:pt idx="11">
                  <c:v>D</c:v>
                </c:pt>
                <c:pt idx="12">
                  <c:v>E-22</c:v>
                </c:pt>
                <c:pt idx="13">
                  <c:v>F</c:v>
                </c:pt>
                <c:pt idx="14">
                  <c:v>M</c:v>
                </c:pt>
                <c:pt idx="15">
                  <c:v>A</c:v>
                </c:pt>
                <c:pt idx="16">
                  <c:v>M</c:v>
                </c:pt>
                <c:pt idx="17">
                  <c:v>J</c:v>
                </c:pt>
                <c:pt idx="18">
                  <c:v>Jl</c:v>
                </c:pt>
                <c:pt idx="19">
                  <c:v>A</c:v>
                </c:pt>
                <c:pt idx="20">
                  <c:v>S</c:v>
                </c:pt>
                <c:pt idx="21">
                  <c:v>O</c:v>
                </c:pt>
                <c:pt idx="22">
                  <c:v>N</c:v>
                </c:pt>
                <c:pt idx="23">
                  <c:v>D</c:v>
                </c:pt>
                <c:pt idx="24">
                  <c:v>E-23</c:v>
                </c:pt>
                <c:pt idx="25">
                  <c:v>F</c:v>
                </c:pt>
                <c:pt idx="26">
                  <c:v>M</c:v>
                </c:pt>
                <c:pt idx="27">
                  <c:v>A</c:v>
                </c:pt>
                <c:pt idx="28">
                  <c:v>M</c:v>
                </c:pt>
                <c:pt idx="29">
                  <c:v>J</c:v>
                </c:pt>
                <c:pt idx="30">
                  <c:v>Jl</c:v>
                </c:pt>
              </c:strCache>
            </c:strRef>
          </c:cat>
          <c:val>
            <c:numRef>
              <c:f>Hoja1!$D$2:$D$56</c:f>
              <c:numCache>
                <c:formatCode>General</c:formatCode>
                <c:ptCount val="3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mooth val="0"/>
          <c:extLst>
            <c:ext xmlns:c16="http://schemas.microsoft.com/office/drawing/2014/chart" uri="{C3380CC4-5D6E-409C-BE32-E72D297353CC}">
              <c16:uniqueId val="{00000022-DD21-4290-8FD1-491482C27D75}"/>
            </c:ext>
          </c:extLst>
        </c:ser>
        <c:dLbls>
          <c:showLegendKey val="0"/>
          <c:showVal val="0"/>
          <c:showCatName val="0"/>
          <c:showSerName val="0"/>
          <c:showPercent val="0"/>
          <c:showBubbleSize val="0"/>
        </c:dLbls>
        <c:marker val="1"/>
        <c:smooth val="0"/>
        <c:axId val="144874880"/>
        <c:axId val="147063936"/>
      </c:lineChart>
      <c:catAx>
        <c:axId val="144871808"/>
        <c:scaling>
          <c:orientation val="minMax"/>
        </c:scaling>
        <c:delete val="0"/>
        <c:axPos val="b"/>
        <c:numFmt formatCode="mmm\-yy" sourceLinked="0"/>
        <c:majorTickMark val="none"/>
        <c:minorTickMark val="none"/>
        <c:tickLblPos val="nextTo"/>
        <c:txPr>
          <a:bodyPr rot="0" vert="horz"/>
          <a:lstStyle/>
          <a:p>
            <a:pPr>
              <a:defRPr sz="475"/>
            </a:pPr>
            <a:endParaRPr lang="es-PE"/>
          </a:p>
        </c:txPr>
        <c:crossAx val="144873344"/>
        <c:crosses val="autoZero"/>
        <c:auto val="1"/>
        <c:lblAlgn val="ctr"/>
        <c:lblOffset val="100"/>
        <c:noMultiLvlLbl val="1"/>
      </c:catAx>
      <c:valAx>
        <c:axId val="144873344"/>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4871808"/>
        <c:crosses val="autoZero"/>
        <c:crossBetween val="between"/>
      </c:valAx>
      <c:catAx>
        <c:axId val="144874880"/>
        <c:scaling>
          <c:orientation val="minMax"/>
        </c:scaling>
        <c:delete val="1"/>
        <c:axPos val="b"/>
        <c:numFmt formatCode="General" sourceLinked="1"/>
        <c:majorTickMark val="out"/>
        <c:minorTickMark val="none"/>
        <c:tickLblPos val="nextTo"/>
        <c:crossAx val="147063936"/>
        <c:crosses val="autoZero"/>
        <c:auto val="1"/>
        <c:lblAlgn val="ctr"/>
        <c:lblOffset val="100"/>
        <c:noMultiLvlLbl val="1"/>
      </c:catAx>
      <c:valAx>
        <c:axId val="147063936"/>
        <c:scaling>
          <c:orientation val="minMax"/>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4874880"/>
        <c:crosses val="max"/>
        <c:crossBetween val="between"/>
      </c:valAx>
      <c:spPr>
        <a:noFill/>
        <a:ln w="22874">
          <a:noFill/>
        </a:ln>
      </c:spPr>
    </c:plotArea>
    <c:legend>
      <c:legendPos val="b"/>
      <c:legendEntry>
        <c:idx val="2"/>
        <c:delete val="1"/>
      </c:legendEntry>
      <c:layout>
        <c:manualLayout>
          <c:xMode val="edge"/>
          <c:yMode val="edge"/>
          <c:x val="4.9013015370068205E-2"/>
          <c:y val="0.87091998115620151"/>
          <c:w val="0.88035227436764107"/>
          <c:h val="5.0904612950778416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a la Renta: 2021 - 2023 </a:t>
            </a:r>
          </a:p>
          <a:p>
            <a:pPr algn="l">
              <a:defRPr sz="1000"/>
            </a:pPr>
            <a:r>
              <a:rPr lang="es-PE" sz="1000" b="0" dirty="0"/>
              <a:t>En millones de soles y Var. % real anual </a:t>
            </a:r>
          </a:p>
        </c:rich>
      </c:tx>
      <c:layout>
        <c:manualLayout>
          <c:xMode val="edge"/>
          <c:yMode val="edge"/>
          <c:x val="1.5008859933117487E-2"/>
          <c:y val="1.0522302190736191E-2"/>
        </c:manualLayout>
      </c:layout>
      <c:overlay val="0"/>
    </c:title>
    <c:autoTitleDeleted val="0"/>
    <c:plotArea>
      <c:layout>
        <c:manualLayout>
          <c:layoutTarget val="inner"/>
          <c:xMode val="edge"/>
          <c:yMode val="edge"/>
          <c:x val="0.12527972074556673"/>
          <c:y val="0.18609725139564404"/>
          <c:w val="0.77181208053691219"/>
          <c:h val="0.54669437361699258"/>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9EE3-4C2E-8A2E-16EE2876F1E7}"/>
              </c:ext>
            </c:extLst>
          </c:dPt>
          <c:dPt>
            <c:idx val="1"/>
            <c:invertIfNegative val="0"/>
            <c:bubble3D val="0"/>
            <c:extLst>
              <c:ext xmlns:c16="http://schemas.microsoft.com/office/drawing/2014/chart" uri="{C3380CC4-5D6E-409C-BE32-E72D297353CC}">
                <c16:uniqueId val="{00000001-9EE3-4C2E-8A2E-16EE2876F1E7}"/>
              </c:ext>
            </c:extLst>
          </c:dPt>
          <c:dPt>
            <c:idx val="2"/>
            <c:invertIfNegative val="0"/>
            <c:bubble3D val="0"/>
            <c:extLst>
              <c:ext xmlns:c16="http://schemas.microsoft.com/office/drawing/2014/chart" uri="{C3380CC4-5D6E-409C-BE32-E72D297353CC}">
                <c16:uniqueId val="{00000002-9EE3-4C2E-8A2E-16EE2876F1E7}"/>
              </c:ext>
            </c:extLst>
          </c:dPt>
          <c:dPt>
            <c:idx val="3"/>
            <c:invertIfNegative val="0"/>
            <c:bubble3D val="0"/>
            <c:extLst>
              <c:ext xmlns:c16="http://schemas.microsoft.com/office/drawing/2014/chart" uri="{C3380CC4-5D6E-409C-BE32-E72D297353CC}">
                <c16:uniqueId val="{00000003-9EE3-4C2E-8A2E-16EE2876F1E7}"/>
              </c:ext>
            </c:extLst>
          </c:dPt>
          <c:dPt>
            <c:idx val="4"/>
            <c:invertIfNegative val="0"/>
            <c:bubble3D val="0"/>
            <c:extLst>
              <c:ext xmlns:c16="http://schemas.microsoft.com/office/drawing/2014/chart" uri="{C3380CC4-5D6E-409C-BE32-E72D297353CC}">
                <c16:uniqueId val="{00000005-9EE3-4C2E-8A2E-16EE2876F1E7}"/>
              </c:ext>
            </c:extLst>
          </c:dPt>
          <c:dPt>
            <c:idx val="5"/>
            <c:invertIfNegative val="0"/>
            <c:bubble3D val="0"/>
            <c:extLst>
              <c:ext xmlns:c16="http://schemas.microsoft.com/office/drawing/2014/chart" uri="{C3380CC4-5D6E-409C-BE32-E72D297353CC}">
                <c16:uniqueId val="{00000006-9EE3-4C2E-8A2E-16EE2876F1E7}"/>
              </c:ext>
            </c:extLst>
          </c:dPt>
          <c:dPt>
            <c:idx val="6"/>
            <c:invertIfNegative val="0"/>
            <c:bubble3D val="0"/>
            <c:spPr>
              <a:solidFill>
                <a:schemeClr val="accent1">
                  <a:lumMod val="20000"/>
                  <a:lumOff val="8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7-9EE3-4C2E-8A2E-16EE2876F1E7}"/>
              </c:ext>
            </c:extLst>
          </c:dPt>
          <c:dPt>
            <c:idx val="7"/>
            <c:invertIfNegative val="0"/>
            <c:bubble3D val="0"/>
            <c:extLst>
              <c:ext xmlns:c16="http://schemas.microsoft.com/office/drawing/2014/chart" uri="{C3380CC4-5D6E-409C-BE32-E72D297353CC}">
                <c16:uniqueId val="{00000008-9EE3-4C2E-8A2E-16EE2876F1E7}"/>
              </c:ext>
            </c:extLst>
          </c:dPt>
          <c:dPt>
            <c:idx val="8"/>
            <c:invertIfNegative val="0"/>
            <c:bubble3D val="0"/>
            <c:extLst>
              <c:ext xmlns:c16="http://schemas.microsoft.com/office/drawing/2014/chart" uri="{C3380CC4-5D6E-409C-BE32-E72D297353CC}">
                <c16:uniqueId val="{00000009-9EE3-4C2E-8A2E-16EE2876F1E7}"/>
              </c:ext>
            </c:extLst>
          </c:dPt>
          <c:dPt>
            <c:idx val="9"/>
            <c:invertIfNegative val="0"/>
            <c:bubble3D val="0"/>
            <c:extLst>
              <c:ext xmlns:c16="http://schemas.microsoft.com/office/drawing/2014/chart" uri="{C3380CC4-5D6E-409C-BE32-E72D297353CC}">
                <c16:uniqueId val="{0000000A-9EE3-4C2E-8A2E-16EE2876F1E7}"/>
              </c:ext>
            </c:extLst>
          </c:dPt>
          <c:dPt>
            <c:idx val="10"/>
            <c:invertIfNegative val="0"/>
            <c:bubble3D val="0"/>
            <c:extLst>
              <c:ext xmlns:c16="http://schemas.microsoft.com/office/drawing/2014/chart" uri="{C3380CC4-5D6E-409C-BE32-E72D297353CC}">
                <c16:uniqueId val="{0000000B-9EE3-4C2E-8A2E-16EE2876F1E7}"/>
              </c:ext>
            </c:extLst>
          </c:dPt>
          <c:dPt>
            <c:idx val="12"/>
            <c:invertIfNegative val="0"/>
            <c:bubble3D val="0"/>
            <c:extLst>
              <c:ext xmlns:c16="http://schemas.microsoft.com/office/drawing/2014/chart" uri="{C3380CC4-5D6E-409C-BE32-E72D297353CC}">
                <c16:uniqueId val="{0000000C-9EE3-4C2E-8A2E-16EE2876F1E7}"/>
              </c:ext>
            </c:extLst>
          </c:dPt>
          <c:dPt>
            <c:idx val="13"/>
            <c:invertIfNegative val="0"/>
            <c:bubble3D val="0"/>
            <c:extLst>
              <c:ext xmlns:c16="http://schemas.microsoft.com/office/drawing/2014/chart" uri="{C3380CC4-5D6E-409C-BE32-E72D297353CC}">
                <c16:uniqueId val="{0000000D-9EE3-4C2E-8A2E-16EE2876F1E7}"/>
              </c:ext>
            </c:extLst>
          </c:dPt>
          <c:dPt>
            <c:idx val="14"/>
            <c:invertIfNegative val="0"/>
            <c:bubble3D val="0"/>
            <c:extLst>
              <c:ext xmlns:c16="http://schemas.microsoft.com/office/drawing/2014/chart" uri="{C3380CC4-5D6E-409C-BE32-E72D297353CC}">
                <c16:uniqueId val="{0000000E-9EE3-4C2E-8A2E-16EE2876F1E7}"/>
              </c:ext>
            </c:extLst>
          </c:dPt>
          <c:dPt>
            <c:idx val="15"/>
            <c:invertIfNegative val="0"/>
            <c:bubble3D val="0"/>
            <c:extLst>
              <c:ext xmlns:c16="http://schemas.microsoft.com/office/drawing/2014/chart" uri="{C3380CC4-5D6E-409C-BE32-E72D297353CC}">
                <c16:uniqueId val="{0000000F-9EE3-4C2E-8A2E-16EE2876F1E7}"/>
              </c:ext>
            </c:extLst>
          </c:dPt>
          <c:dPt>
            <c:idx val="16"/>
            <c:invertIfNegative val="0"/>
            <c:bubble3D val="0"/>
            <c:extLst>
              <c:ext xmlns:c16="http://schemas.microsoft.com/office/drawing/2014/chart" uri="{C3380CC4-5D6E-409C-BE32-E72D297353CC}">
                <c16:uniqueId val="{00000011-9EE3-4C2E-8A2E-16EE2876F1E7}"/>
              </c:ext>
            </c:extLst>
          </c:dPt>
          <c:dPt>
            <c:idx val="17"/>
            <c:invertIfNegative val="0"/>
            <c:bubble3D val="0"/>
            <c:extLst>
              <c:ext xmlns:c16="http://schemas.microsoft.com/office/drawing/2014/chart" uri="{C3380CC4-5D6E-409C-BE32-E72D297353CC}">
                <c16:uniqueId val="{00000012-9EE3-4C2E-8A2E-16EE2876F1E7}"/>
              </c:ext>
            </c:extLst>
          </c:dPt>
          <c:dPt>
            <c:idx val="18"/>
            <c:invertIfNegative val="0"/>
            <c:bubble3D val="0"/>
            <c:spPr>
              <a:solidFill>
                <a:schemeClr val="accent1">
                  <a:lumMod val="20000"/>
                  <a:lumOff val="8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3-9EE3-4C2E-8A2E-16EE2876F1E7}"/>
              </c:ext>
            </c:extLst>
          </c:dPt>
          <c:dPt>
            <c:idx val="19"/>
            <c:invertIfNegative val="0"/>
            <c:bubble3D val="0"/>
            <c:extLst>
              <c:ext xmlns:c16="http://schemas.microsoft.com/office/drawing/2014/chart" uri="{C3380CC4-5D6E-409C-BE32-E72D297353CC}">
                <c16:uniqueId val="{00000014-9EE3-4C2E-8A2E-16EE2876F1E7}"/>
              </c:ext>
            </c:extLst>
          </c:dPt>
          <c:dPt>
            <c:idx val="20"/>
            <c:invertIfNegative val="0"/>
            <c:bubble3D val="0"/>
            <c:extLst>
              <c:ext xmlns:c16="http://schemas.microsoft.com/office/drawing/2014/chart" uri="{C3380CC4-5D6E-409C-BE32-E72D297353CC}">
                <c16:uniqueId val="{00000015-9EE3-4C2E-8A2E-16EE2876F1E7}"/>
              </c:ext>
            </c:extLst>
          </c:dPt>
          <c:dPt>
            <c:idx val="21"/>
            <c:invertIfNegative val="0"/>
            <c:bubble3D val="0"/>
            <c:extLst>
              <c:ext xmlns:c16="http://schemas.microsoft.com/office/drawing/2014/chart" uri="{C3380CC4-5D6E-409C-BE32-E72D297353CC}">
                <c16:uniqueId val="{00000016-9EE3-4C2E-8A2E-16EE2876F1E7}"/>
              </c:ext>
            </c:extLst>
          </c:dPt>
          <c:dPt>
            <c:idx val="24"/>
            <c:invertIfNegative val="0"/>
            <c:bubble3D val="0"/>
            <c:extLst>
              <c:ext xmlns:c16="http://schemas.microsoft.com/office/drawing/2014/chart" uri="{C3380CC4-5D6E-409C-BE32-E72D297353CC}">
                <c16:uniqueId val="{00000017-9EE3-4C2E-8A2E-16EE2876F1E7}"/>
              </c:ext>
            </c:extLst>
          </c:dPt>
          <c:dPt>
            <c:idx val="25"/>
            <c:invertIfNegative val="0"/>
            <c:bubble3D val="0"/>
            <c:extLst>
              <c:ext xmlns:c16="http://schemas.microsoft.com/office/drawing/2014/chart" uri="{C3380CC4-5D6E-409C-BE32-E72D297353CC}">
                <c16:uniqueId val="{00000018-9EE3-4C2E-8A2E-16EE2876F1E7}"/>
              </c:ext>
            </c:extLst>
          </c:dPt>
          <c:dPt>
            <c:idx val="26"/>
            <c:invertIfNegative val="0"/>
            <c:bubble3D val="0"/>
            <c:extLst>
              <c:ext xmlns:c16="http://schemas.microsoft.com/office/drawing/2014/chart" uri="{C3380CC4-5D6E-409C-BE32-E72D297353CC}">
                <c16:uniqueId val="{00000019-9EE3-4C2E-8A2E-16EE2876F1E7}"/>
              </c:ext>
            </c:extLst>
          </c:dPt>
          <c:dPt>
            <c:idx val="27"/>
            <c:invertIfNegative val="0"/>
            <c:bubble3D val="0"/>
            <c:extLst>
              <c:ext xmlns:c16="http://schemas.microsoft.com/office/drawing/2014/chart" uri="{C3380CC4-5D6E-409C-BE32-E72D297353CC}">
                <c16:uniqueId val="{0000001A-9EE3-4C2E-8A2E-16EE2876F1E7}"/>
              </c:ext>
            </c:extLst>
          </c:dPt>
          <c:dPt>
            <c:idx val="28"/>
            <c:invertIfNegative val="0"/>
            <c:bubble3D val="0"/>
            <c:extLst>
              <c:ext xmlns:c16="http://schemas.microsoft.com/office/drawing/2014/chart" uri="{C3380CC4-5D6E-409C-BE32-E72D297353CC}">
                <c16:uniqueId val="{0000001C-9EE3-4C2E-8A2E-16EE2876F1E7}"/>
              </c:ext>
            </c:extLst>
          </c:dPt>
          <c:dPt>
            <c:idx val="29"/>
            <c:invertIfNegative val="0"/>
            <c:bubble3D val="0"/>
            <c:extLst>
              <c:ext xmlns:c16="http://schemas.microsoft.com/office/drawing/2014/chart" uri="{C3380CC4-5D6E-409C-BE32-E72D297353CC}">
                <c16:uniqueId val="{0000001E-B453-4B2E-A4BC-9C300AC0F921}"/>
              </c:ext>
            </c:extLst>
          </c:dPt>
          <c:dPt>
            <c:idx val="30"/>
            <c:invertIfNegative val="0"/>
            <c:bubble3D val="0"/>
            <c:spPr>
              <a:solidFill>
                <a:schemeClr val="accent1">
                  <a:lumMod val="20000"/>
                  <a:lumOff val="8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F-A3C4-4343-8FA2-77F95318B608}"/>
              </c:ext>
            </c:extLst>
          </c:dPt>
          <c:dLbls>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E3-4C2E-8A2E-16EE2876F1E7}"/>
                </c:ext>
              </c:extLst>
            </c:dLbl>
            <c:dLbl>
              <c:idx val="1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EE3-4C2E-8A2E-16EE2876F1E7}"/>
                </c:ext>
              </c:extLst>
            </c:dLbl>
            <c:dLbl>
              <c:idx val="3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A3C4-4343-8FA2-77F95318B60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Hoja1!$A$2:$A$56</c:f>
              <c:strCache>
                <c:ptCount val="31"/>
                <c:pt idx="0">
                  <c:v>E-21</c:v>
                </c:pt>
                <c:pt idx="1">
                  <c:v>F</c:v>
                </c:pt>
                <c:pt idx="2">
                  <c:v>M</c:v>
                </c:pt>
                <c:pt idx="3">
                  <c:v>A</c:v>
                </c:pt>
                <c:pt idx="4">
                  <c:v>M</c:v>
                </c:pt>
                <c:pt idx="5">
                  <c:v>J</c:v>
                </c:pt>
                <c:pt idx="6">
                  <c:v>Jl</c:v>
                </c:pt>
                <c:pt idx="7">
                  <c:v>A</c:v>
                </c:pt>
                <c:pt idx="8">
                  <c:v>S</c:v>
                </c:pt>
                <c:pt idx="9">
                  <c:v>O</c:v>
                </c:pt>
                <c:pt idx="10">
                  <c:v>N</c:v>
                </c:pt>
                <c:pt idx="11">
                  <c:v>D</c:v>
                </c:pt>
                <c:pt idx="12">
                  <c:v>E-22</c:v>
                </c:pt>
                <c:pt idx="13">
                  <c:v>F</c:v>
                </c:pt>
                <c:pt idx="14">
                  <c:v>M</c:v>
                </c:pt>
                <c:pt idx="15">
                  <c:v>A</c:v>
                </c:pt>
                <c:pt idx="16">
                  <c:v>M</c:v>
                </c:pt>
                <c:pt idx="17">
                  <c:v>J</c:v>
                </c:pt>
                <c:pt idx="18">
                  <c:v>Jl</c:v>
                </c:pt>
                <c:pt idx="19">
                  <c:v>A</c:v>
                </c:pt>
                <c:pt idx="20">
                  <c:v>S</c:v>
                </c:pt>
                <c:pt idx="21">
                  <c:v>O</c:v>
                </c:pt>
                <c:pt idx="22">
                  <c:v>N</c:v>
                </c:pt>
                <c:pt idx="23">
                  <c:v>D</c:v>
                </c:pt>
                <c:pt idx="24">
                  <c:v>E-23</c:v>
                </c:pt>
                <c:pt idx="25">
                  <c:v>F</c:v>
                </c:pt>
                <c:pt idx="26">
                  <c:v>M</c:v>
                </c:pt>
                <c:pt idx="27">
                  <c:v>A</c:v>
                </c:pt>
                <c:pt idx="28">
                  <c:v>M</c:v>
                </c:pt>
                <c:pt idx="29">
                  <c:v>J</c:v>
                </c:pt>
                <c:pt idx="30">
                  <c:v>Jl</c:v>
                </c:pt>
              </c:strCache>
            </c:strRef>
          </c:cat>
          <c:val>
            <c:numRef>
              <c:f>Hoja1!$B$2:$B$56</c:f>
              <c:numCache>
                <c:formatCode>_ * #,##0_ ;_ * \-#,##0_ ;_ * "-"??_ ;_ @_ </c:formatCode>
                <c:ptCount val="31"/>
                <c:pt idx="0">
                  <c:v>4471.9462622699994</c:v>
                </c:pt>
                <c:pt idx="1">
                  <c:v>3695.7075470399996</c:v>
                </c:pt>
                <c:pt idx="2">
                  <c:v>5752.7969224099998</c:v>
                </c:pt>
                <c:pt idx="3">
                  <c:v>8125.5638842900016</c:v>
                </c:pt>
                <c:pt idx="4">
                  <c:v>3353.3452668999998</c:v>
                </c:pt>
                <c:pt idx="5">
                  <c:v>3649.2751305399993</c:v>
                </c:pt>
                <c:pt idx="6">
                  <c:v>4165.6857682400005</c:v>
                </c:pt>
                <c:pt idx="7">
                  <c:v>3827.2850066399997</c:v>
                </c:pt>
                <c:pt idx="8">
                  <c:v>3933.3115622300002</c:v>
                </c:pt>
                <c:pt idx="9">
                  <c:v>4317.146560879999</c:v>
                </c:pt>
                <c:pt idx="10">
                  <c:v>4163.7431395999993</c:v>
                </c:pt>
                <c:pt idx="11">
                  <c:v>5421.1817133199993</c:v>
                </c:pt>
                <c:pt idx="12">
                  <c:v>5455.3902150000013</c:v>
                </c:pt>
                <c:pt idx="13">
                  <c:v>4269.6271683500017</c:v>
                </c:pt>
                <c:pt idx="14">
                  <c:v>10690.65227156</c:v>
                </c:pt>
                <c:pt idx="15">
                  <c:v>13604.517631609997</c:v>
                </c:pt>
                <c:pt idx="16">
                  <c:v>4678.8152603900007</c:v>
                </c:pt>
                <c:pt idx="17">
                  <c:v>4406.2783848900008</c:v>
                </c:pt>
                <c:pt idx="18">
                  <c:v>4218.2969078699989</c:v>
                </c:pt>
                <c:pt idx="19">
                  <c:v>4219.645626919998</c:v>
                </c:pt>
                <c:pt idx="20">
                  <c:v>4366.6837682200003</c:v>
                </c:pt>
                <c:pt idx="21">
                  <c:v>5011.9027635800003</c:v>
                </c:pt>
                <c:pt idx="22">
                  <c:v>4264.0878449000002</c:v>
                </c:pt>
                <c:pt idx="23">
                  <c:v>4735.6417137999979</c:v>
                </c:pt>
                <c:pt idx="24">
                  <c:v>5886.4057224299986</c:v>
                </c:pt>
                <c:pt idx="25">
                  <c:v>5171.7336311600002</c:v>
                </c:pt>
                <c:pt idx="26">
                  <c:v>8904.57399687</c:v>
                </c:pt>
                <c:pt idx="27">
                  <c:v>9694.011493330001</c:v>
                </c:pt>
                <c:pt idx="28">
                  <c:v>4205.1735714100005</c:v>
                </c:pt>
                <c:pt idx="29">
                  <c:v>3779.2984297100002</c:v>
                </c:pt>
                <c:pt idx="30">
                  <c:v>3959.8356118300007</c:v>
                </c:pt>
              </c:numCache>
            </c:numRef>
          </c:val>
          <c:extLst>
            <c:ext xmlns:c16="http://schemas.microsoft.com/office/drawing/2014/chart" uri="{C3380CC4-5D6E-409C-BE32-E72D297353CC}">
              <c16:uniqueId val="{0000001D-9EE3-4C2E-8A2E-16EE2876F1E7}"/>
            </c:ext>
          </c:extLst>
        </c:ser>
        <c:dLbls>
          <c:showLegendKey val="0"/>
          <c:showVal val="0"/>
          <c:showCatName val="0"/>
          <c:showSerName val="0"/>
          <c:showPercent val="0"/>
          <c:showBubbleSize val="0"/>
        </c:dLbls>
        <c:gapWidth val="105"/>
        <c:overlap val="100"/>
        <c:axId val="144871808"/>
        <c:axId val="144873344"/>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6"/>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A3C4-4343-8FA2-77F95318B608}"/>
                </c:ext>
              </c:extLst>
            </c:dLbl>
            <c:dLbl>
              <c:idx val="1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A3C4-4343-8FA2-77F95318B608}"/>
                </c:ext>
              </c:extLst>
            </c:dLbl>
            <c:dLbl>
              <c:idx val="3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A3C4-4343-8FA2-77F95318B60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Hoja1!$A$2:$A$56</c:f>
              <c:strCache>
                <c:ptCount val="31"/>
                <c:pt idx="0">
                  <c:v>E-21</c:v>
                </c:pt>
                <c:pt idx="1">
                  <c:v>F</c:v>
                </c:pt>
                <c:pt idx="2">
                  <c:v>M</c:v>
                </c:pt>
                <c:pt idx="3">
                  <c:v>A</c:v>
                </c:pt>
                <c:pt idx="4">
                  <c:v>M</c:v>
                </c:pt>
                <c:pt idx="5">
                  <c:v>J</c:v>
                </c:pt>
                <c:pt idx="6">
                  <c:v>Jl</c:v>
                </c:pt>
                <c:pt idx="7">
                  <c:v>A</c:v>
                </c:pt>
                <c:pt idx="8">
                  <c:v>S</c:v>
                </c:pt>
                <c:pt idx="9">
                  <c:v>O</c:v>
                </c:pt>
                <c:pt idx="10">
                  <c:v>N</c:v>
                </c:pt>
                <c:pt idx="11">
                  <c:v>D</c:v>
                </c:pt>
                <c:pt idx="12">
                  <c:v>E-22</c:v>
                </c:pt>
                <c:pt idx="13">
                  <c:v>F</c:v>
                </c:pt>
                <c:pt idx="14">
                  <c:v>M</c:v>
                </c:pt>
                <c:pt idx="15">
                  <c:v>A</c:v>
                </c:pt>
                <c:pt idx="16">
                  <c:v>M</c:v>
                </c:pt>
                <c:pt idx="17">
                  <c:v>J</c:v>
                </c:pt>
                <c:pt idx="18">
                  <c:v>Jl</c:v>
                </c:pt>
                <c:pt idx="19">
                  <c:v>A</c:v>
                </c:pt>
                <c:pt idx="20">
                  <c:v>S</c:v>
                </c:pt>
                <c:pt idx="21">
                  <c:v>O</c:v>
                </c:pt>
                <c:pt idx="22">
                  <c:v>N</c:v>
                </c:pt>
                <c:pt idx="23">
                  <c:v>D</c:v>
                </c:pt>
                <c:pt idx="24">
                  <c:v>E-23</c:v>
                </c:pt>
                <c:pt idx="25">
                  <c:v>F</c:v>
                </c:pt>
                <c:pt idx="26">
                  <c:v>M</c:v>
                </c:pt>
                <c:pt idx="27">
                  <c:v>A</c:v>
                </c:pt>
                <c:pt idx="28">
                  <c:v>M</c:v>
                </c:pt>
                <c:pt idx="29">
                  <c:v>J</c:v>
                </c:pt>
                <c:pt idx="30">
                  <c:v>Jl</c:v>
                </c:pt>
              </c:strCache>
            </c:strRef>
          </c:cat>
          <c:val>
            <c:numRef>
              <c:f>Hoja1!$C$2:$C$56</c:f>
              <c:numCache>
                <c:formatCode>0.0</c:formatCode>
                <c:ptCount val="31"/>
                <c:pt idx="0">
                  <c:v>-0.44023744453924873</c:v>
                </c:pt>
                <c:pt idx="1">
                  <c:v>5.9727246557977898</c:v>
                </c:pt>
                <c:pt idx="2">
                  <c:v>45.468281860599433</c:v>
                </c:pt>
                <c:pt idx="3">
                  <c:v>71.857139961041568</c:v>
                </c:pt>
                <c:pt idx="4">
                  <c:v>-22.703862969507128</c:v>
                </c:pt>
                <c:pt idx="5">
                  <c:v>122.79814895742831</c:v>
                </c:pt>
                <c:pt idx="6">
                  <c:v>68.834529969625422</c:v>
                </c:pt>
                <c:pt idx="7">
                  <c:v>47.733097800044931</c:v>
                </c:pt>
                <c:pt idx="8">
                  <c:v>53.910469281501719</c:v>
                </c:pt>
                <c:pt idx="9">
                  <c:v>36.883178336018993</c:v>
                </c:pt>
                <c:pt idx="10">
                  <c:v>41.688598139310741</c:v>
                </c:pt>
                <c:pt idx="11">
                  <c:v>66.577098393572356</c:v>
                </c:pt>
                <c:pt idx="12">
                  <c:v>15.429346056143501</c:v>
                </c:pt>
                <c:pt idx="13">
                  <c:v>8.8389766073256659</c:v>
                </c:pt>
                <c:pt idx="14">
                  <c:v>73.967188138020461</c:v>
                </c:pt>
                <c:pt idx="15">
                  <c:v>55.084206226302456</c:v>
                </c:pt>
                <c:pt idx="16">
                  <c:v>29.082548546419673</c:v>
                </c:pt>
                <c:pt idx="17">
                  <c:v>10.964996847799991</c:v>
                </c:pt>
                <c:pt idx="18">
                  <c:v>-6.8767816643242945</c:v>
                </c:pt>
                <c:pt idx="19">
                  <c:v>1.7100694937971506</c:v>
                </c:pt>
                <c:pt idx="20">
                  <c:v>2.2925916342797281</c:v>
                </c:pt>
                <c:pt idx="21">
                  <c:v>7.2202642219105995</c:v>
                </c:pt>
                <c:pt idx="22">
                  <c:v>-5.5670083946791848</c:v>
                </c:pt>
                <c:pt idx="23">
                  <c:v>-19.458701312724479</c:v>
                </c:pt>
                <c:pt idx="24">
                  <c:v>-0.70265935607963792</c:v>
                </c:pt>
                <c:pt idx="25">
                  <c:v>11.489189745414885</c:v>
                </c:pt>
                <c:pt idx="26">
                  <c:v>-23.161768330198473</c:v>
                </c:pt>
                <c:pt idx="27">
                  <c:v>-34.001022227376232</c:v>
                </c:pt>
                <c:pt idx="28">
                  <c:v>-16.698812087768356</c:v>
                </c:pt>
                <c:pt idx="29">
                  <c:v>-19.434948998957157</c:v>
                </c:pt>
                <c:pt idx="30">
                  <c:v>-11.34073556524352</c:v>
                </c:pt>
              </c:numCache>
            </c:numRef>
          </c:val>
          <c:smooth val="1"/>
          <c:extLst>
            <c:ext xmlns:c16="http://schemas.microsoft.com/office/drawing/2014/chart" uri="{C3380CC4-5D6E-409C-BE32-E72D297353CC}">
              <c16:uniqueId val="{00000021-9EE3-4C2E-8A2E-16EE2876F1E7}"/>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Hoja1!$A$2:$A$56</c:f>
              <c:strCache>
                <c:ptCount val="31"/>
                <c:pt idx="0">
                  <c:v>E-21</c:v>
                </c:pt>
                <c:pt idx="1">
                  <c:v>F</c:v>
                </c:pt>
                <c:pt idx="2">
                  <c:v>M</c:v>
                </c:pt>
                <c:pt idx="3">
                  <c:v>A</c:v>
                </c:pt>
                <c:pt idx="4">
                  <c:v>M</c:v>
                </c:pt>
                <c:pt idx="5">
                  <c:v>J</c:v>
                </c:pt>
                <c:pt idx="6">
                  <c:v>Jl</c:v>
                </c:pt>
                <c:pt idx="7">
                  <c:v>A</c:v>
                </c:pt>
                <c:pt idx="8">
                  <c:v>S</c:v>
                </c:pt>
                <c:pt idx="9">
                  <c:v>O</c:v>
                </c:pt>
                <c:pt idx="10">
                  <c:v>N</c:v>
                </c:pt>
                <c:pt idx="11">
                  <c:v>D</c:v>
                </c:pt>
                <c:pt idx="12">
                  <c:v>E-22</c:v>
                </c:pt>
                <c:pt idx="13">
                  <c:v>F</c:v>
                </c:pt>
                <c:pt idx="14">
                  <c:v>M</c:v>
                </c:pt>
                <c:pt idx="15">
                  <c:v>A</c:v>
                </c:pt>
                <c:pt idx="16">
                  <c:v>M</c:v>
                </c:pt>
                <c:pt idx="17">
                  <c:v>J</c:v>
                </c:pt>
                <c:pt idx="18">
                  <c:v>Jl</c:v>
                </c:pt>
                <c:pt idx="19">
                  <c:v>A</c:v>
                </c:pt>
                <c:pt idx="20">
                  <c:v>S</c:v>
                </c:pt>
                <c:pt idx="21">
                  <c:v>O</c:v>
                </c:pt>
                <c:pt idx="22">
                  <c:v>N</c:v>
                </c:pt>
                <c:pt idx="23">
                  <c:v>D</c:v>
                </c:pt>
                <c:pt idx="24">
                  <c:v>E-23</c:v>
                </c:pt>
                <c:pt idx="25">
                  <c:v>F</c:v>
                </c:pt>
                <c:pt idx="26">
                  <c:v>M</c:v>
                </c:pt>
                <c:pt idx="27">
                  <c:v>A</c:v>
                </c:pt>
                <c:pt idx="28">
                  <c:v>M</c:v>
                </c:pt>
                <c:pt idx="29">
                  <c:v>J</c:v>
                </c:pt>
                <c:pt idx="30">
                  <c:v>Jl</c:v>
                </c:pt>
              </c:strCache>
            </c:strRef>
          </c:cat>
          <c:val>
            <c:numRef>
              <c:f>Hoja1!$D$2:$D$56</c:f>
              <c:numCache>
                <c:formatCode>General</c:formatCode>
                <c:ptCount val="3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mooth val="0"/>
          <c:extLst>
            <c:ext xmlns:c16="http://schemas.microsoft.com/office/drawing/2014/chart" uri="{C3380CC4-5D6E-409C-BE32-E72D297353CC}">
              <c16:uniqueId val="{00000022-9EE3-4C2E-8A2E-16EE2876F1E7}"/>
            </c:ext>
          </c:extLst>
        </c:ser>
        <c:dLbls>
          <c:showLegendKey val="0"/>
          <c:showVal val="0"/>
          <c:showCatName val="0"/>
          <c:showSerName val="0"/>
          <c:showPercent val="0"/>
          <c:showBubbleSize val="0"/>
        </c:dLbls>
        <c:marker val="1"/>
        <c:smooth val="0"/>
        <c:axId val="144874880"/>
        <c:axId val="147063936"/>
      </c:lineChart>
      <c:catAx>
        <c:axId val="144871808"/>
        <c:scaling>
          <c:orientation val="minMax"/>
        </c:scaling>
        <c:delete val="0"/>
        <c:axPos val="b"/>
        <c:numFmt formatCode="mmm\-yy" sourceLinked="0"/>
        <c:majorTickMark val="none"/>
        <c:minorTickMark val="none"/>
        <c:tickLblPos val="nextTo"/>
        <c:txPr>
          <a:bodyPr rot="0" vert="horz"/>
          <a:lstStyle/>
          <a:p>
            <a:pPr>
              <a:defRPr sz="480"/>
            </a:pPr>
            <a:endParaRPr lang="es-PE"/>
          </a:p>
        </c:txPr>
        <c:crossAx val="144873344"/>
        <c:crosses val="autoZero"/>
        <c:auto val="1"/>
        <c:lblAlgn val="ctr"/>
        <c:lblOffset val="100"/>
        <c:noMultiLvlLbl val="1"/>
      </c:catAx>
      <c:valAx>
        <c:axId val="144873344"/>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4871808"/>
        <c:crosses val="autoZero"/>
        <c:crossBetween val="between"/>
      </c:valAx>
      <c:catAx>
        <c:axId val="144874880"/>
        <c:scaling>
          <c:orientation val="minMax"/>
        </c:scaling>
        <c:delete val="1"/>
        <c:axPos val="b"/>
        <c:numFmt formatCode="General" sourceLinked="1"/>
        <c:majorTickMark val="out"/>
        <c:minorTickMark val="none"/>
        <c:tickLblPos val="nextTo"/>
        <c:crossAx val="147063936"/>
        <c:crosses val="autoZero"/>
        <c:auto val="1"/>
        <c:lblAlgn val="ctr"/>
        <c:lblOffset val="100"/>
        <c:noMultiLvlLbl val="1"/>
      </c:catAx>
      <c:valAx>
        <c:axId val="147063936"/>
        <c:scaling>
          <c:orientation val="minMax"/>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4874880"/>
        <c:crosses val="max"/>
        <c:crossBetween val="between"/>
      </c:valAx>
      <c:spPr>
        <a:noFill/>
        <a:ln w="22874">
          <a:noFill/>
        </a:ln>
      </c:spPr>
    </c:plotArea>
    <c:legend>
      <c:legendPos val="b"/>
      <c:legendEntry>
        <c:idx val="2"/>
        <c:delete val="1"/>
      </c:legendEntry>
      <c:layout>
        <c:manualLayout>
          <c:xMode val="edge"/>
          <c:yMode val="edge"/>
          <c:x val="0.20825664706815852"/>
          <c:y val="0.85876169734102381"/>
          <c:w val="0.52549993828527097"/>
          <c:h val="9.024675107100974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Selectivo al Consumo: 2021 -2023 </a:t>
            </a:r>
          </a:p>
          <a:p>
            <a:pPr algn="l">
              <a:defRPr sz="1000"/>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0.12898939773814339"/>
          <c:y val="0.25506406373759494"/>
          <c:w val="0.77181208053691219"/>
          <c:h val="0.53958070852647577"/>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A8EF-49D9-80BA-BA5E5E0CB65B}"/>
              </c:ext>
            </c:extLst>
          </c:dPt>
          <c:dPt>
            <c:idx val="1"/>
            <c:invertIfNegative val="0"/>
            <c:bubble3D val="0"/>
            <c:extLst>
              <c:ext xmlns:c16="http://schemas.microsoft.com/office/drawing/2014/chart" uri="{C3380CC4-5D6E-409C-BE32-E72D297353CC}">
                <c16:uniqueId val="{00000001-A8EF-49D9-80BA-BA5E5E0CB65B}"/>
              </c:ext>
            </c:extLst>
          </c:dPt>
          <c:dPt>
            <c:idx val="2"/>
            <c:invertIfNegative val="0"/>
            <c:bubble3D val="0"/>
            <c:extLst>
              <c:ext xmlns:c16="http://schemas.microsoft.com/office/drawing/2014/chart" uri="{C3380CC4-5D6E-409C-BE32-E72D297353CC}">
                <c16:uniqueId val="{00000002-A8EF-49D9-80BA-BA5E5E0CB65B}"/>
              </c:ext>
            </c:extLst>
          </c:dPt>
          <c:dPt>
            <c:idx val="3"/>
            <c:invertIfNegative val="0"/>
            <c:bubble3D val="0"/>
            <c:extLst>
              <c:ext xmlns:c16="http://schemas.microsoft.com/office/drawing/2014/chart" uri="{C3380CC4-5D6E-409C-BE32-E72D297353CC}">
                <c16:uniqueId val="{00000003-A8EF-49D9-80BA-BA5E5E0CB65B}"/>
              </c:ext>
            </c:extLst>
          </c:dPt>
          <c:dPt>
            <c:idx val="4"/>
            <c:invertIfNegative val="0"/>
            <c:bubble3D val="0"/>
            <c:extLst>
              <c:ext xmlns:c16="http://schemas.microsoft.com/office/drawing/2014/chart" uri="{C3380CC4-5D6E-409C-BE32-E72D297353CC}">
                <c16:uniqueId val="{00000005-A8EF-49D9-80BA-BA5E5E0CB65B}"/>
              </c:ext>
            </c:extLst>
          </c:dPt>
          <c:dPt>
            <c:idx val="5"/>
            <c:invertIfNegative val="0"/>
            <c:bubble3D val="0"/>
            <c:extLst>
              <c:ext xmlns:c16="http://schemas.microsoft.com/office/drawing/2014/chart" uri="{C3380CC4-5D6E-409C-BE32-E72D297353CC}">
                <c16:uniqueId val="{00000006-A8EF-49D9-80BA-BA5E5E0CB65B}"/>
              </c:ext>
            </c:extLst>
          </c:dPt>
          <c:dPt>
            <c:idx val="6"/>
            <c:invertIfNegative val="0"/>
            <c:bubble3D val="0"/>
            <c:spPr>
              <a:solidFill>
                <a:schemeClr val="accent1">
                  <a:lumMod val="20000"/>
                  <a:lumOff val="8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7-A8EF-49D9-80BA-BA5E5E0CB65B}"/>
              </c:ext>
            </c:extLst>
          </c:dPt>
          <c:dPt>
            <c:idx val="7"/>
            <c:invertIfNegative val="0"/>
            <c:bubble3D val="0"/>
            <c:extLst>
              <c:ext xmlns:c16="http://schemas.microsoft.com/office/drawing/2014/chart" uri="{C3380CC4-5D6E-409C-BE32-E72D297353CC}">
                <c16:uniqueId val="{00000008-A8EF-49D9-80BA-BA5E5E0CB65B}"/>
              </c:ext>
            </c:extLst>
          </c:dPt>
          <c:dPt>
            <c:idx val="8"/>
            <c:invertIfNegative val="0"/>
            <c:bubble3D val="0"/>
            <c:extLst>
              <c:ext xmlns:c16="http://schemas.microsoft.com/office/drawing/2014/chart" uri="{C3380CC4-5D6E-409C-BE32-E72D297353CC}">
                <c16:uniqueId val="{00000009-A8EF-49D9-80BA-BA5E5E0CB65B}"/>
              </c:ext>
            </c:extLst>
          </c:dPt>
          <c:dPt>
            <c:idx val="9"/>
            <c:invertIfNegative val="0"/>
            <c:bubble3D val="0"/>
            <c:extLst>
              <c:ext xmlns:c16="http://schemas.microsoft.com/office/drawing/2014/chart" uri="{C3380CC4-5D6E-409C-BE32-E72D297353CC}">
                <c16:uniqueId val="{0000000A-A8EF-49D9-80BA-BA5E5E0CB65B}"/>
              </c:ext>
            </c:extLst>
          </c:dPt>
          <c:dPt>
            <c:idx val="10"/>
            <c:invertIfNegative val="0"/>
            <c:bubble3D val="0"/>
            <c:extLst>
              <c:ext xmlns:c16="http://schemas.microsoft.com/office/drawing/2014/chart" uri="{C3380CC4-5D6E-409C-BE32-E72D297353CC}">
                <c16:uniqueId val="{0000000B-A8EF-49D9-80BA-BA5E5E0CB65B}"/>
              </c:ext>
            </c:extLst>
          </c:dPt>
          <c:dPt>
            <c:idx val="12"/>
            <c:invertIfNegative val="0"/>
            <c:bubble3D val="0"/>
            <c:extLst>
              <c:ext xmlns:c16="http://schemas.microsoft.com/office/drawing/2014/chart" uri="{C3380CC4-5D6E-409C-BE32-E72D297353CC}">
                <c16:uniqueId val="{0000000C-A8EF-49D9-80BA-BA5E5E0CB65B}"/>
              </c:ext>
            </c:extLst>
          </c:dPt>
          <c:dPt>
            <c:idx val="13"/>
            <c:invertIfNegative val="0"/>
            <c:bubble3D val="0"/>
            <c:extLst>
              <c:ext xmlns:c16="http://schemas.microsoft.com/office/drawing/2014/chart" uri="{C3380CC4-5D6E-409C-BE32-E72D297353CC}">
                <c16:uniqueId val="{0000000D-A8EF-49D9-80BA-BA5E5E0CB65B}"/>
              </c:ext>
            </c:extLst>
          </c:dPt>
          <c:dPt>
            <c:idx val="14"/>
            <c:invertIfNegative val="0"/>
            <c:bubble3D val="0"/>
            <c:extLst>
              <c:ext xmlns:c16="http://schemas.microsoft.com/office/drawing/2014/chart" uri="{C3380CC4-5D6E-409C-BE32-E72D297353CC}">
                <c16:uniqueId val="{0000000E-A8EF-49D9-80BA-BA5E5E0CB65B}"/>
              </c:ext>
            </c:extLst>
          </c:dPt>
          <c:dPt>
            <c:idx val="15"/>
            <c:invertIfNegative val="0"/>
            <c:bubble3D val="0"/>
            <c:extLst>
              <c:ext xmlns:c16="http://schemas.microsoft.com/office/drawing/2014/chart" uri="{C3380CC4-5D6E-409C-BE32-E72D297353CC}">
                <c16:uniqueId val="{0000000F-A8EF-49D9-80BA-BA5E5E0CB65B}"/>
              </c:ext>
            </c:extLst>
          </c:dPt>
          <c:dPt>
            <c:idx val="16"/>
            <c:invertIfNegative val="0"/>
            <c:bubble3D val="0"/>
            <c:extLst>
              <c:ext xmlns:c16="http://schemas.microsoft.com/office/drawing/2014/chart" uri="{C3380CC4-5D6E-409C-BE32-E72D297353CC}">
                <c16:uniqueId val="{00000011-A8EF-49D9-80BA-BA5E5E0CB65B}"/>
              </c:ext>
            </c:extLst>
          </c:dPt>
          <c:dPt>
            <c:idx val="17"/>
            <c:invertIfNegative val="0"/>
            <c:bubble3D val="0"/>
            <c:extLst>
              <c:ext xmlns:c16="http://schemas.microsoft.com/office/drawing/2014/chart" uri="{C3380CC4-5D6E-409C-BE32-E72D297353CC}">
                <c16:uniqueId val="{00000012-A8EF-49D9-80BA-BA5E5E0CB65B}"/>
              </c:ext>
            </c:extLst>
          </c:dPt>
          <c:dPt>
            <c:idx val="18"/>
            <c:invertIfNegative val="0"/>
            <c:bubble3D val="0"/>
            <c:spPr>
              <a:solidFill>
                <a:schemeClr val="accent1">
                  <a:lumMod val="20000"/>
                  <a:lumOff val="8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3-A8EF-49D9-80BA-BA5E5E0CB65B}"/>
              </c:ext>
            </c:extLst>
          </c:dPt>
          <c:dPt>
            <c:idx val="19"/>
            <c:invertIfNegative val="0"/>
            <c:bubble3D val="0"/>
            <c:extLst>
              <c:ext xmlns:c16="http://schemas.microsoft.com/office/drawing/2014/chart" uri="{C3380CC4-5D6E-409C-BE32-E72D297353CC}">
                <c16:uniqueId val="{00000014-A8EF-49D9-80BA-BA5E5E0CB65B}"/>
              </c:ext>
            </c:extLst>
          </c:dPt>
          <c:dPt>
            <c:idx val="20"/>
            <c:invertIfNegative val="0"/>
            <c:bubble3D val="0"/>
            <c:extLst>
              <c:ext xmlns:c16="http://schemas.microsoft.com/office/drawing/2014/chart" uri="{C3380CC4-5D6E-409C-BE32-E72D297353CC}">
                <c16:uniqueId val="{00000015-A8EF-49D9-80BA-BA5E5E0CB65B}"/>
              </c:ext>
            </c:extLst>
          </c:dPt>
          <c:dPt>
            <c:idx val="21"/>
            <c:invertIfNegative val="0"/>
            <c:bubble3D val="0"/>
            <c:extLst>
              <c:ext xmlns:c16="http://schemas.microsoft.com/office/drawing/2014/chart" uri="{C3380CC4-5D6E-409C-BE32-E72D297353CC}">
                <c16:uniqueId val="{00000016-A8EF-49D9-80BA-BA5E5E0CB65B}"/>
              </c:ext>
            </c:extLst>
          </c:dPt>
          <c:dPt>
            <c:idx val="24"/>
            <c:invertIfNegative val="0"/>
            <c:bubble3D val="0"/>
            <c:extLst>
              <c:ext xmlns:c16="http://schemas.microsoft.com/office/drawing/2014/chart" uri="{C3380CC4-5D6E-409C-BE32-E72D297353CC}">
                <c16:uniqueId val="{00000017-A8EF-49D9-80BA-BA5E5E0CB65B}"/>
              </c:ext>
            </c:extLst>
          </c:dPt>
          <c:dPt>
            <c:idx val="25"/>
            <c:invertIfNegative val="0"/>
            <c:bubble3D val="0"/>
            <c:extLst>
              <c:ext xmlns:c16="http://schemas.microsoft.com/office/drawing/2014/chart" uri="{C3380CC4-5D6E-409C-BE32-E72D297353CC}">
                <c16:uniqueId val="{00000018-A8EF-49D9-80BA-BA5E5E0CB65B}"/>
              </c:ext>
            </c:extLst>
          </c:dPt>
          <c:dPt>
            <c:idx val="26"/>
            <c:invertIfNegative val="0"/>
            <c:bubble3D val="0"/>
            <c:extLst>
              <c:ext xmlns:c16="http://schemas.microsoft.com/office/drawing/2014/chart" uri="{C3380CC4-5D6E-409C-BE32-E72D297353CC}">
                <c16:uniqueId val="{00000019-A8EF-49D9-80BA-BA5E5E0CB65B}"/>
              </c:ext>
            </c:extLst>
          </c:dPt>
          <c:dPt>
            <c:idx val="27"/>
            <c:invertIfNegative val="0"/>
            <c:bubble3D val="0"/>
            <c:extLst>
              <c:ext xmlns:c16="http://schemas.microsoft.com/office/drawing/2014/chart" uri="{C3380CC4-5D6E-409C-BE32-E72D297353CC}">
                <c16:uniqueId val="{0000001A-A8EF-49D9-80BA-BA5E5E0CB65B}"/>
              </c:ext>
            </c:extLst>
          </c:dPt>
          <c:dPt>
            <c:idx val="28"/>
            <c:invertIfNegative val="0"/>
            <c:bubble3D val="0"/>
            <c:extLst>
              <c:ext xmlns:c16="http://schemas.microsoft.com/office/drawing/2014/chart" uri="{C3380CC4-5D6E-409C-BE32-E72D297353CC}">
                <c16:uniqueId val="{0000001C-A8EF-49D9-80BA-BA5E5E0CB65B}"/>
              </c:ext>
            </c:extLst>
          </c:dPt>
          <c:dPt>
            <c:idx val="29"/>
            <c:invertIfNegative val="0"/>
            <c:bubble3D val="0"/>
            <c:extLst>
              <c:ext xmlns:c16="http://schemas.microsoft.com/office/drawing/2014/chart" uri="{C3380CC4-5D6E-409C-BE32-E72D297353CC}">
                <c16:uniqueId val="{0000001E-24DA-451A-BBE8-33955B88F80F}"/>
              </c:ext>
            </c:extLst>
          </c:dPt>
          <c:dPt>
            <c:idx val="30"/>
            <c:invertIfNegative val="0"/>
            <c:bubble3D val="0"/>
            <c:spPr>
              <a:solidFill>
                <a:schemeClr val="accent1">
                  <a:lumMod val="20000"/>
                  <a:lumOff val="8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F-4474-4933-BFA3-03FF714CB854}"/>
              </c:ext>
            </c:extLst>
          </c:dPt>
          <c:dLbls>
            <c:dLbl>
              <c:idx val="6"/>
              <c:layout>
                <c:manualLayout>
                  <c:x val="-5.1753137533962993E-3"/>
                  <c:y val="-0.1124260355029585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8EF-49D9-80BA-BA5E5E0CB65B}"/>
                </c:ext>
              </c:extLst>
            </c:dLbl>
            <c:dLbl>
              <c:idx val="18"/>
              <c:layout>
                <c:manualLayout>
                  <c:x val="0"/>
                  <c:y val="-3.550295857988165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A8EF-49D9-80BA-BA5E5E0CB65B}"/>
                </c:ext>
              </c:extLst>
            </c:dLbl>
            <c:dLbl>
              <c:idx val="30"/>
              <c:layout>
                <c:manualLayout>
                  <c:x val="-2.5876568766983396E-3"/>
                  <c:y val="-0.1183431952662722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4474-4933-BFA3-03FF714CB854}"/>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Hoja1!$A$2:$A$56</c:f>
              <c:strCache>
                <c:ptCount val="31"/>
                <c:pt idx="0">
                  <c:v>E-21</c:v>
                </c:pt>
                <c:pt idx="1">
                  <c:v>F</c:v>
                </c:pt>
                <c:pt idx="2">
                  <c:v>M</c:v>
                </c:pt>
                <c:pt idx="3">
                  <c:v>A</c:v>
                </c:pt>
                <c:pt idx="4">
                  <c:v>M</c:v>
                </c:pt>
                <c:pt idx="5">
                  <c:v>J</c:v>
                </c:pt>
                <c:pt idx="6">
                  <c:v>Jl</c:v>
                </c:pt>
                <c:pt idx="7">
                  <c:v>A</c:v>
                </c:pt>
                <c:pt idx="8">
                  <c:v>S</c:v>
                </c:pt>
                <c:pt idx="9">
                  <c:v>O</c:v>
                </c:pt>
                <c:pt idx="10">
                  <c:v>N</c:v>
                </c:pt>
                <c:pt idx="11">
                  <c:v>D</c:v>
                </c:pt>
                <c:pt idx="12">
                  <c:v>E-22</c:v>
                </c:pt>
                <c:pt idx="13">
                  <c:v>F</c:v>
                </c:pt>
                <c:pt idx="14">
                  <c:v>M</c:v>
                </c:pt>
                <c:pt idx="15">
                  <c:v>A</c:v>
                </c:pt>
                <c:pt idx="16">
                  <c:v>M</c:v>
                </c:pt>
                <c:pt idx="17">
                  <c:v>J</c:v>
                </c:pt>
                <c:pt idx="18">
                  <c:v>Jl</c:v>
                </c:pt>
                <c:pt idx="19">
                  <c:v>A</c:v>
                </c:pt>
                <c:pt idx="20">
                  <c:v>S</c:v>
                </c:pt>
                <c:pt idx="21">
                  <c:v>O</c:v>
                </c:pt>
                <c:pt idx="22">
                  <c:v>N</c:v>
                </c:pt>
                <c:pt idx="23">
                  <c:v>D</c:v>
                </c:pt>
                <c:pt idx="24">
                  <c:v>E-23</c:v>
                </c:pt>
                <c:pt idx="25">
                  <c:v>F</c:v>
                </c:pt>
                <c:pt idx="26">
                  <c:v>M</c:v>
                </c:pt>
                <c:pt idx="27">
                  <c:v>A</c:v>
                </c:pt>
                <c:pt idx="28">
                  <c:v>M</c:v>
                </c:pt>
                <c:pt idx="29">
                  <c:v>J</c:v>
                </c:pt>
                <c:pt idx="30">
                  <c:v>Jl</c:v>
                </c:pt>
              </c:strCache>
            </c:strRef>
          </c:cat>
          <c:val>
            <c:numRef>
              <c:f>Hoja1!$B$2:$B$56</c:f>
              <c:numCache>
                <c:formatCode>_ * #,##0_ ;_ * \-#,##0_ ;_ * "-"??_ ;_ @_ </c:formatCode>
                <c:ptCount val="31"/>
                <c:pt idx="0">
                  <c:v>883.23857244714952</c:v>
                </c:pt>
                <c:pt idx="1">
                  <c:v>696.78826587000003</c:v>
                </c:pt>
                <c:pt idx="2">
                  <c:v>709.48963996000009</c:v>
                </c:pt>
                <c:pt idx="3">
                  <c:v>703.13503943581031</c:v>
                </c:pt>
                <c:pt idx="4">
                  <c:v>660.4005959499998</c:v>
                </c:pt>
                <c:pt idx="5">
                  <c:v>679.61585008999987</c:v>
                </c:pt>
                <c:pt idx="6">
                  <c:v>723.59360617889786</c:v>
                </c:pt>
                <c:pt idx="7">
                  <c:v>819.25913312518537</c:v>
                </c:pt>
                <c:pt idx="8">
                  <c:v>741.81619597376709</c:v>
                </c:pt>
                <c:pt idx="9">
                  <c:v>801.93143897999983</c:v>
                </c:pt>
                <c:pt idx="10">
                  <c:v>851.47573002000013</c:v>
                </c:pt>
                <c:pt idx="11">
                  <c:v>867.65660188000015</c:v>
                </c:pt>
                <c:pt idx="12">
                  <c:v>923.88320605000024</c:v>
                </c:pt>
                <c:pt idx="13">
                  <c:v>803.16341792999981</c:v>
                </c:pt>
                <c:pt idx="14">
                  <c:v>645.61855411466479</c:v>
                </c:pt>
                <c:pt idx="15">
                  <c:v>843.29260213167834</c:v>
                </c:pt>
                <c:pt idx="16">
                  <c:v>572.24213474692351</c:v>
                </c:pt>
                <c:pt idx="17">
                  <c:v>530.68895388178851</c:v>
                </c:pt>
                <c:pt idx="18">
                  <c:v>549.08954829281458</c:v>
                </c:pt>
                <c:pt idx="19">
                  <c:v>812.20006718661091</c:v>
                </c:pt>
                <c:pt idx="20">
                  <c:v>842.70640650652558</c:v>
                </c:pt>
                <c:pt idx="21">
                  <c:v>818.86550608000016</c:v>
                </c:pt>
                <c:pt idx="22">
                  <c:v>861.02382519608875</c:v>
                </c:pt>
                <c:pt idx="23">
                  <c:v>822.8154959200001</c:v>
                </c:pt>
                <c:pt idx="24">
                  <c:v>817.24611390999974</c:v>
                </c:pt>
                <c:pt idx="25">
                  <c:v>756.13355803000002</c:v>
                </c:pt>
                <c:pt idx="26">
                  <c:v>752.44119710408995</c:v>
                </c:pt>
                <c:pt idx="27">
                  <c:v>709.75602995999986</c:v>
                </c:pt>
                <c:pt idx="28">
                  <c:v>711</c:v>
                </c:pt>
                <c:pt idx="29">
                  <c:v>761</c:v>
                </c:pt>
                <c:pt idx="30">
                  <c:v>866.79624880999995</c:v>
                </c:pt>
              </c:numCache>
            </c:numRef>
          </c:val>
          <c:extLst>
            <c:ext xmlns:c16="http://schemas.microsoft.com/office/drawing/2014/chart" uri="{C3380CC4-5D6E-409C-BE32-E72D297353CC}">
              <c16:uniqueId val="{0000001D-A8EF-49D9-80BA-BA5E5E0CB65B}"/>
            </c:ext>
          </c:extLst>
        </c:ser>
        <c:dLbls>
          <c:showLegendKey val="0"/>
          <c:showVal val="0"/>
          <c:showCatName val="0"/>
          <c:showSerName val="0"/>
          <c:showPercent val="0"/>
          <c:showBubbleSize val="0"/>
        </c:dLbls>
        <c:gapWidth val="105"/>
        <c:overlap val="100"/>
        <c:axId val="147737216"/>
        <c:axId val="147747200"/>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6"/>
              <c:layout>
                <c:manualLayout>
                  <c:x val="-5.2445284810352308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4474-4933-BFA3-03FF714CB854}"/>
                </c:ext>
              </c:extLst>
            </c:dLbl>
            <c:dLbl>
              <c:idx val="18"/>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4474-4933-BFA3-03FF714CB854}"/>
                </c:ext>
              </c:extLst>
            </c:dLbl>
            <c:dLbl>
              <c:idx val="30"/>
              <c:spPr>
                <a:noFill/>
                <a:ln>
                  <a:noFill/>
                </a:ln>
                <a:effectLst/>
              </c:spPr>
              <c:txPr>
                <a:bodyPr wrap="square" lIns="38100" tIns="19050" rIns="38100" bIns="19050" anchor="ctr">
                  <a:noAutofit/>
                </a:bodyPr>
                <a:lstStyle/>
                <a:p>
                  <a:pPr>
                    <a:defRPr/>
                  </a:pPr>
                  <a:endParaRPr lang="es-PE"/>
                </a:p>
              </c:txPr>
              <c:dLblPos val="ctr"/>
              <c:showLegendKey val="0"/>
              <c:showVal val="1"/>
              <c:showCatName val="0"/>
              <c:showSerName val="0"/>
              <c:showPercent val="0"/>
              <c:showBubbleSize val="0"/>
              <c:extLst>
                <c:ext xmlns:c15="http://schemas.microsoft.com/office/drawing/2012/chart" uri="{CE6537A1-D6FC-4f65-9D91-7224C49458BB}">
                  <c15:layout>
                    <c:manualLayout>
                      <c:w val="6.0900402716835958E-2"/>
                      <c:h val="6.7218934911242603E-2"/>
                    </c:manualLayout>
                  </c15:layout>
                </c:ext>
                <c:ext xmlns:c16="http://schemas.microsoft.com/office/drawing/2014/chart" uri="{C3380CC4-5D6E-409C-BE32-E72D297353CC}">
                  <c16:uniqueId val="{00000022-4474-4933-BFA3-03FF714CB854}"/>
                </c:ext>
              </c:extLst>
            </c:dLbl>
            <c:spPr>
              <a:noFill/>
              <a:ln>
                <a:noFill/>
              </a:ln>
              <a:effectLst/>
            </c:spPr>
            <c:dLblPos val="ct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Hoja1!$A$2:$A$56</c:f>
              <c:strCache>
                <c:ptCount val="31"/>
                <c:pt idx="0">
                  <c:v>E-21</c:v>
                </c:pt>
                <c:pt idx="1">
                  <c:v>F</c:v>
                </c:pt>
                <c:pt idx="2">
                  <c:v>M</c:v>
                </c:pt>
                <c:pt idx="3">
                  <c:v>A</c:v>
                </c:pt>
                <c:pt idx="4">
                  <c:v>M</c:v>
                </c:pt>
                <c:pt idx="5">
                  <c:v>J</c:v>
                </c:pt>
                <c:pt idx="6">
                  <c:v>Jl</c:v>
                </c:pt>
                <c:pt idx="7">
                  <c:v>A</c:v>
                </c:pt>
                <c:pt idx="8">
                  <c:v>S</c:v>
                </c:pt>
                <c:pt idx="9">
                  <c:v>O</c:v>
                </c:pt>
                <c:pt idx="10">
                  <c:v>N</c:v>
                </c:pt>
                <c:pt idx="11">
                  <c:v>D</c:v>
                </c:pt>
                <c:pt idx="12">
                  <c:v>E-22</c:v>
                </c:pt>
                <c:pt idx="13">
                  <c:v>F</c:v>
                </c:pt>
                <c:pt idx="14">
                  <c:v>M</c:v>
                </c:pt>
                <c:pt idx="15">
                  <c:v>A</c:v>
                </c:pt>
                <c:pt idx="16">
                  <c:v>M</c:v>
                </c:pt>
                <c:pt idx="17">
                  <c:v>J</c:v>
                </c:pt>
                <c:pt idx="18">
                  <c:v>Jl</c:v>
                </c:pt>
                <c:pt idx="19">
                  <c:v>A</c:v>
                </c:pt>
                <c:pt idx="20">
                  <c:v>S</c:v>
                </c:pt>
                <c:pt idx="21">
                  <c:v>O</c:v>
                </c:pt>
                <c:pt idx="22">
                  <c:v>N</c:v>
                </c:pt>
                <c:pt idx="23">
                  <c:v>D</c:v>
                </c:pt>
                <c:pt idx="24">
                  <c:v>E-23</c:v>
                </c:pt>
                <c:pt idx="25">
                  <c:v>F</c:v>
                </c:pt>
                <c:pt idx="26">
                  <c:v>M</c:v>
                </c:pt>
                <c:pt idx="27">
                  <c:v>A</c:v>
                </c:pt>
                <c:pt idx="28">
                  <c:v>M</c:v>
                </c:pt>
                <c:pt idx="29">
                  <c:v>J</c:v>
                </c:pt>
                <c:pt idx="30">
                  <c:v>Jl</c:v>
                </c:pt>
              </c:strCache>
            </c:strRef>
          </c:cat>
          <c:val>
            <c:numRef>
              <c:f>Hoja1!$C$2:$C$56</c:f>
              <c:numCache>
                <c:formatCode>0.0</c:formatCode>
                <c:ptCount val="31"/>
                <c:pt idx="0">
                  <c:v>-8.069978575230973</c:v>
                </c:pt>
                <c:pt idx="1">
                  <c:v>1.5208894792315464</c:v>
                </c:pt>
                <c:pt idx="2">
                  <c:v>-1.7639810346156248</c:v>
                </c:pt>
                <c:pt idx="3">
                  <c:v>105.66653872100247</c:v>
                </c:pt>
                <c:pt idx="4">
                  <c:v>164.83453510400574</c:v>
                </c:pt>
                <c:pt idx="5">
                  <c:v>102.43522824162588</c:v>
                </c:pt>
                <c:pt idx="6">
                  <c:v>50.145827577159416</c:v>
                </c:pt>
                <c:pt idx="7">
                  <c:v>40.701978352222248</c:v>
                </c:pt>
                <c:pt idx="8">
                  <c:v>36.071445207742833</c:v>
                </c:pt>
                <c:pt idx="9">
                  <c:v>28.832815338460161</c:v>
                </c:pt>
                <c:pt idx="10">
                  <c:v>6.2290154874449666</c:v>
                </c:pt>
                <c:pt idx="11">
                  <c:v>-1.0864862412733767</c:v>
                </c:pt>
                <c:pt idx="12">
                  <c:v>-1.024880183103638</c:v>
                </c:pt>
                <c:pt idx="13">
                  <c:v>8.5913388348930031</c:v>
                </c:pt>
                <c:pt idx="14">
                  <c:v>-14.815466968212231</c:v>
                </c:pt>
                <c:pt idx="15">
                  <c:v>11.085649163178601</c:v>
                </c:pt>
                <c:pt idx="16">
                  <c:v>-19.8354644386175</c:v>
                </c:pt>
                <c:pt idx="17">
                  <c:v>-28.237554573285518</c:v>
                </c:pt>
                <c:pt idx="18">
                  <c:v>-30.216010330461561</c:v>
                </c:pt>
                <c:pt idx="19">
                  <c:v>-8.5422516829971364</c:v>
                </c:pt>
                <c:pt idx="20">
                  <c:v>4.6720604719719727</c:v>
                </c:pt>
                <c:pt idx="21">
                  <c:v>-5.6924708718805501</c:v>
                </c:pt>
                <c:pt idx="22">
                  <c:v>-6.7552410508057275</c:v>
                </c:pt>
                <c:pt idx="23">
                  <c:v>-12.564390479174293</c:v>
                </c:pt>
                <c:pt idx="24">
                  <c:v>-18.595383140741394</c:v>
                </c:pt>
                <c:pt idx="25">
                  <c:v>-13.347487896693966</c:v>
                </c:pt>
                <c:pt idx="26">
                  <c:v>7.5139903622241988</c:v>
                </c:pt>
                <c:pt idx="27">
                  <c:v>-22.044344628214475</c:v>
                </c:pt>
                <c:pt idx="28">
                  <c:v>15.1</c:v>
                </c:pt>
                <c:pt idx="29">
                  <c:v>34.700000000000003</c:v>
                </c:pt>
                <c:pt idx="30">
                  <c:v>49.09324163259641</c:v>
                </c:pt>
              </c:numCache>
            </c:numRef>
          </c:val>
          <c:smooth val="1"/>
          <c:extLst>
            <c:ext xmlns:c16="http://schemas.microsoft.com/office/drawing/2014/chart" uri="{C3380CC4-5D6E-409C-BE32-E72D297353CC}">
              <c16:uniqueId val="{00000021-A8EF-49D9-80BA-BA5E5E0CB65B}"/>
            </c:ext>
          </c:extLst>
        </c:ser>
        <c:ser>
          <c:idx val="1"/>
          <c:order val="2"/>
          <c:tx>
            <c:strRef>
              <c:f>Hoja1!$D$1</c:f>
              <c:strCache>
                <c:ptCount val="1"/>
                <c:pt idx="0">
                  <c:v>Columna1</c:v>
                </c:pt>
              </c:strCache>
            </c:strRef>
          </c:tx>
          <c:spPr>
            <a:ln w="9525">
              <a:solidFill>
                <a:schemeClr val="accent5">
                  <a:lumMod val="75000"/>
                </a:schemeClr>
              </a:solidFill>
              <a:prstDash val="dash"/>
            </a:ln>
          </c:spPr>
          <c:marker>
            <c:symbol val="none"/>
          </c:marker>
          <c:cat>
            <c:strRef>
              <c:f>Hoja1!$A$2:$A$56</c:f>
              <c:strCache>
                <c:ptCount val="31"/>
                <c:pt idx="0">
                  <c:v>E-21</c:v>
                </c:pt>
                <c:pt idx="1">
                  <c:v>F</c:v>
                </c:pt>
                <c:pt idx="2">
                  <c:v>M</c:v>
                </c:pt>
                <c:pt idx="3">
                  <c:v>A</c:v>
                </c:pt>
                <c:pt idx="4">
                  <c:v>M</c:v>
                </c:pt>
                <c:pt idx="5">
                  <c:v>J</c:v>
                </c:pt>
                <c:pt idx="6">
                  <c:v>Jl</c:v>
                </c:pt>
                <c:pt idx="7">
                  <c:v>A</c:v>
                </c:pt>
                <c:pt idx="8">
                  <c:v>S</c:v>
                </c:pt>
                <c:pt idx="9">
                  <c:v>O</c:v>
                </c:pt>
                <c:pt idx="10">
                  <c:v>N</c:v>
                </c:pt>
                <c:pt idx="11">
                  <c:v>D</c:v>
                </c:pt>
                <c:pt idx="12">
                  <c:v>E-22</c:v>
                </c:pt>
                <c:pt idx="13">
                  <c:v>F</c:v>
                </c:pt>
                <c:pt idx="14">
                  <c:v>M</c:v>
                </c:pt>
                <c:pt idx="15">
                  <c:v>A</c:v>
                </c:pt>
                <c:pt idx="16">
                  <c:v>M</c:v>
                </c:pt>
                <c:pt idx="17">
                  <c:v>J</c:v>
                </c:pt>
                <c:pt idx="18">
                  <c:v>Jl</c:v>
                </c:pt>
                <c:pt idx="19">
                  <c:v>A</c:v>
                </c:pt>
                <c:pt idx="20">
                  <c:v>S</c:v>
                </c:pt>
                <c:pt idx="21">
                  <c:v>O</c:v>
                </c:pt>
                <c:pt idx="22">
                  <c:v>N</c:v>
                </c:pt>
                <c:pt idx="23">
                  <c:v>D</c:v>
                </c:pt>
                <c:pt idx="24">
                  <c:v>E-23</c:v>
                </c:pt>
                <c:pt idx="25">
                  <c:v>F</c:v>
                </c:pt>
                <c:pt idx="26">
                  <c:v>M</c:v>
                </c:pt>
                <c:pt idx="27">
                  <c:v>A</c:v>
                </c:pt>
                <c:pt idx="28">
                  <c:v>M</c:v>
                </c:pt>
                <c:pt idx="29">
                  <c:v>J</c:v>
                </c:pt>
                <c:pt idx="30">
                  <c:v>Jl</c:v>
                </c:pt>
              </c:strCache>
            </c:strRef>
          </c:cat>
          <c:val>
            <c:numRef>
              <c:f>Hoja1!$D$2:$D$56</c:f>
              <c:numCache>
                <c:formatCode>General</c:formatCode>
                <c:ptCount val="31"/>
                <c:pt idx="0">
                  <c:v>0</c:v>
                </c:pt>
                <c:pt idx="1">
                  <c:v>0</c:v>
                </c:pt>
                <c:pt idx="2">
                  <c:v>0</c:v>
                </c:pt>
                <c:pt idx="3">
                  <c:v>0</c:v>
                </c:pt>
                <c:pt idx="4">
                  <c:v>0</c:v>
                </c:pt>
                <c:pt idx="5">
                  <c:v>0</c:v>
                </c:pt>
                <c:pt idx="6">
                  <c:v>0</c:v>
                </c:pt>
                <c:pt idx="7">
                  <c:v>0</c:v>
                </c:pt>
                <c:pt idx="8">
                  <c:v>0</c:v>
                </c:pt>
                <c:pt idx="9">
                  <c:v>0</c:v>
                </c:pt>
                <c:pt idx="10">
                  <c:v>0</c:v>
                </c:pt>
                <c:pt idx="11">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extLst>
            <c:ext xmlns:c16="http://schemas.microsoft.com/office/drawing/2014/chart" uri="{C3380CC4-5D6E-409C-BE32-E72D297353CC}">
              <c16:uniqueId val="{00000022-A8EF-49D9-80BA-BA5E5E0CB65B}"/>
            </c:ext>
          </c:extLst>
        </c:ser>
        <c:dLbls>
          <c:showLegendKey val="0"/>
          <c:showVal val="0"/>
          <c:showCatName val="0"/>
          <c:showSerName val="0"/>
          <c:showPercent val="0"/>
          <c:showBubbleSize val="0"/>
        </c:dLbls>
        <c:marker val="1"/>
        <c:smooth val="0"/>
        <c:axId val="147748736"/>
        <c:axId val="147750272"/>
      </c:lineChart>
      <c:catAx>
        <c:axId val="147737216"/>
        <c:scaling>
          <c:orientation val="minMax"/>
        </c:scaling>
        <c:delete val="0"/>
        <c:axPos val="b"/>
        <c:numFmt formatCode="mmm\-yy" sourceLinked="0"/>
        <c:majorTickMark val="none"/>
        <c:minorTickMark val="none"/>
        <c:tickLblPos val="nextTo"/>
        <c:txPr>
          <a:bodyPr rot="0" vert="horz"/>
          <a:lstStyle/>
          <a:p>
            <a:pPr>
              <a:defRPr sz="470"/>
            </a:pPr>
            <a:endParaRPr lang="es-PE"/>
          </a:p>
        </c:txPr>
        <c:crossAx val="147747200"/>
        <c:crosses val="autoZero"/>
        <c:auto val="1"/>
        <c:lblAlgn val="ctr"/>
        <c:lblOffset val="100"/>
        <c:noMultiLvlLbl val="1"/>
      </c:catAx>
      <c:valAx>
        <c:axId val="147747200"/>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7737216"/>
        <c:crosses val="autoZero"/>
        <c:crossBetween val="between"/>
      </c:valAx>
      <c:catAx>
        <c:axId val="147748736"/>
        <c:scaling>
          <c:orientation val="minMax"/>
        </c:scaling>
        <c:delete val="1"/>
        <c:axPos val="b"/>
        <c:numFmt formatCode="General" sourceLinked="1"/>
        <c:majorTickMark val="out"/>
        <c:minorTickMark val="none"/>
        <c:tickLblPos val="nextTo"/>
        <c:crossAx val="147750272"/>
        <c:crosses val="autoZero"/>
        <c:auto val="1"/>
        <c:lblAlgn val="ctr"/>
        <c:lblOffset val="100"/>
        <c:noMultiLvlLbl val="1"/>
      </c:catAx>
      <c:valAx>
        <c:axId val="147750272"/>
        <c:scaling>
          <c:orientation val="minMax"/>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7748736"/>
        <c:crosses val="max"/>
        <c:crossBetween val="between"/>
      </c:valAx>
      <c:spPr>
        <a:noFill/>
        <a:ln w="22874">
          <a:noFill/>
        </a:ln>
      </c:spPr>
    </c:plotArea>
    <c:legend>
      <c:legendPos val="b"/>
      <c:legendEntry>
        <c:idx val="2"/>
        <c:delete val="1"/>
      </c:legendEntry>
      <c:layout>
        <c:manualLayout>
          <c:xMode val="edge"/>
          <c:yMode val="edge"/>
          <c:x val="1.4506363700267836E-2"/>
          <c:y val="0.91221777011601357"/>
          <c:w val="0.9415034693958636"/>
          <c:h val="8.1865070120672789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Devoluciones</a:t>
            </a:r>
            <a:r>
              <a:rPr lang="es-PE" sz="1000" baseline="0" dirty="0"/>
              <a:t>: 2021 - 2023</a:t>
            </a:r>
            <a:r>
              <a:rPr lang="es-PE" sz="1000" dirty="0"/>
              <a:t> </a:t>
            </a:r>
          </a:p>
          <a:p>
            <a:pPr algn="l">
              <a:defRPr sz="1000"/>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0.12898940689967711"/>
          <c:y val="0.26098107910131341"/>
          <c:w val="0.77181208053691219"/>
          <c:h val="0.53958070852647577"/>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171F-47A0-9AF5-A776BE1DC5CA}"/>
              </c:ext>
            </c:extLst>
          </c:dPt>
          <c:dPt>
            <c:idx val="1"/>
            <c:invertIfNegative val="0"/>
            <c:bubble3D val="0"/>
            <c:extLst>
              <c:ext xmlns:c16="http://schemas.microsoft.com/office/drawing/2014/chart" uri="{C3380CC4-5D6E-409C-BE32-E72D297353CC}">
                <c16:uniqueId val="{00000001-171F-47A0-9AF5-A776BE1DC5CA}"/>
              </c:ext>
            </c:extLst>
          </c:dPt>
          <c:dPt>
            <c:idx val="2"/>
            <c:invertIfNegative val="0"/>
            <c:bubble3D val="0"/>
            <c:extLst>
              <c:ext xmlns:c16="http://schemas.microsoft.com/office/drawing/2014/chart" uri="{C3380CC4-5D6E-409C-BE32-E72D297353CC}">
                <c16:uniqueId val="{00000002-171F-47A0-9AF5-A776BE1DC5CA}"/>
              </c:ext>
            </c:extLst>
          </c:dPt>
          <c:dPt>
            <c:idx val="3"/>
            <c:invertIfNegative val="0"/>
            <c:bubble3D val="0"/>
            <c:extLst>
              <c:ext xmlns:c16="http://schemas.microsoft.com/office/drawing/2014/chart" uri="{C3380CC4-5D6E-409C-BE32-E72D297353CC}">
                <c16:uniqueId val="{00000003-171F-47A0-9AF5-A776BE1DC5CA}"/>
              </c:ext>
            </c:extLst>
          </c:dPt>
          <c:dPt>
            <c:idx val="4"/>
            <c:invertIfNegative val="0"/>
            <c:bubble3D val="0"/>
            <c:extLst>
              <c:ext xmlns:c16="http://schemas.microsoft.com/office/drawing/2014/chart" uri="{C3380CC4-5D6E-409C-BE32-E72D297353CC}">
                <c16:uniqueId val="{00000005-171F-47A0-9AF5-A776BE1DC5CA}"/>
              </c:ext>
            </c:extLst>
          </c:dPt>
          <c:dPt>
            <c:idx val="5"/>
            <c:invertIfNegative val="0"/>
            <c:bubble3D val="0"/>
            <c:extLst>
              <c:ext xmlns:c16="http://schemas.microsoft.com/office/drawing/2014/chart" uri="{C3380CC4-5D6E-409C-BE32-E72D297353CC}">
                <c16:uniqueId val="{00000006-171F-47A0-9AF5-A776BE1DC5CA}"/>
              </c:ext>
            </c:extLst>
          </c:dPt>
          <c:dPt>
            <c:idx val="6"/>
            <c:invertIfNegative val="0"/>
            <c:bubble3D val="0"/>
            <c:spPr>
              <a:solidFill>
                <a:schemeClr val="accent1">
                  <a:lumMod val="20000"/>
                  <a:lumOff val="8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7-171F-47A0-9AF5-A776BE1DC5CA}"/>
              </c:ext>
            </c:extLst>
          </c:dPt>
          <c:dPt>
            <c:idx val="7"/>
            <c:invertIfNegative val="0"/>
            <c:bubble3D val="0"/>
            <c:extLst>
              <c:ext xmlns:c16="http://schemas.microsoft.com/office/drawing/2014/chart" uri="{C3380CC4-5D6E-409C-BE32-E72D297353CC}">
                <c16:uniqueId val="{00000008-171F-47A0-9AF5-A776BE1DC5CA}"/>
              </c:ext>
            </c:extLst>
          </c:dPt>
          <c:dPt>
            <c:idx val="8"/>
            <c:invertIfNegative val="0"/>
            <c:bubble3D val="0"/>
            <c:extLst>
              <c:ext xmlns:c16="http://schemas.microsoft.com/office/drawing/2014/chart" uri="{C3380CC4-5D6E-409C-BE32-E72D297353CC}">
                <c16:uniqueId val="{00000009-171F-47A0-9AF5-A776BE1DC5CA}"/>
              </c:ext>
            </c:extLst>
          </c:dPt>
          <c:dPt>
            <c:idx val="10"/>
            <c:invertIfNegative val="0"/>
            <c:bubble3D val="0"/>
            <c:extLst>
              <c:ext xmlns:c16="http://schemas.microsoft.com/office/drawing/2014/chart" uri="{C3380CC4-5D6E-409C-BE32-E72D297353CC}">
                <c16:uniqueId val="{0000000A-171F-47A0-9AF5-A776BE1DC5CA}"/>
              </c:ext>
            </c:extLst>
          </c:dPt>
          <c:dPt>
            <c:idx val="12"/>
            <c:invertIfNegative val="0"/>
            <c:bubble3D val="0"/>
            <c:extLst>
              <c:ext xmlns:c16="http://schemas.microsoft.com/office/drawing/2014/chart" uri="{C3380CC4-5D6E-409C-BE32-E72D297353CC}">
                <c16:uniqueId val="{0000000B-171F-47A0-9AF5-A776BE1DC5CA}"/>
              </c:ext>
            </c:extLst>
          </c:dPt>
          <c:dPt>
            <c:idx val="13"/>
            <c:invertIfNegative val="0"/>
            <c:bubble3D val="0"/>
            <c:extLst>
              <c:ext xmlns:c16="http://schemas.microsoft.com/office/drawing/2014/chart" uri="{C3380CC4-5D6E-409C-BE32-E72D297353CC}">
                <c16:uniqueId val="{0000000C-171F-47A0-9AF5-A776BE1DC5CA}"/>
              </c:ext>
            </c:extLst>
          </c:dPt>
          <c:dPt>
            <c:idx val="14"/>
            <c:invertIfNegative val="0"/>
            <c:bubble3D val="0"/>
            <c:extLst>
              <c:ext xmlns:c16="http://schemas.microsoft.com/office/drawing/2014/chart" uri="{C3380CC4-5D6E-409C-BE32-E72D297353CC}">
                <c16:uniqueId val="{0000000D-171F-47A0-9AF5-A776BE1DC5CA}"/>
              </c:ext>
            </c:extLst>
          </c:dPt>
          <c:dPt>
            <c:idx val="15"/>
            <c:invertIfNegative val="0"/>
            <c:bubble3D val="0"/>
            <c:extLst>
              <c:ext xmlns:c16="http://schemas.microsoft.com/office/drawing/2014/chart" uri="{C3380CC4-5D6E-409C-BE32-E72D297353CC}">
                <c16:uniqueId val="{0000000E-171F-47A0-9AF5-A776BE1DC5CA}"/>
              </c:ext>
            </c:extLst>
          </c:dPt>
          <c:dPt>
            <c:idx val="16"/>
            <c:invertIfNegative val="0"/>
            <c:bubble3D val="0"/>
            <c:extLst>
              <c:ext xmlns:c16="http://schemas.microsoft.com/office/drawing/2014/chart" uri="{C3380CC4-5D6E-409C-BE32-E72D297353CC}">
                <c16:uniqueId val="{00000010-171F-47A0-9AF5-A776BE1DC5CA}"/>
              </c:ext>
            </c:extLst>
          </c:dPt>
          <c:dPt>
            <c:idx val="17"/>
            <c:invertIfNegative val="0"/>
            <c:bubble3D val="0"/>
            <c:extLst>
              <c:ext xmlns:c16="http://schemas.microsoft.com/office/drawing/2014/chart" uri="{C3380CC4-5D6E-409C-BE32-E72D297353CC}">
                <c16:uniqueId val="{00000011-171F-47A0-9AF5-A776BE1DC5CA}"/>
              </c:ext>
            </c:extLst>
          </c:dPt>
          <c:dPt>
            <c:idx val="18"/>
            <c:invertIfNegative val="0"/>
            <c:bubble3D val="0"/>
            <c:spPr>
              <a:solidFill>
                <a:schemeClr val="accent1">
                  <a:lumMod val="20000"/>
                  <a:lumOff val="8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2-171F-47A0-9AF5-A776BE1DC5CA}"/>
              </c:ext>
            </c:extLst>
          </c:dPt>
          <c:dPt>
            <c:idx val="19"/>
            <c:invertIfNegative val="0"/>
            <c:bubble3D val="0"/>
            <c:extLst>
              <c:ext xmlns:c16="http://schemas.microsoft.com/office/drawing/2014/chart" uri="{C3380CC4-5D6E-409C-BE32-E72D297353CC}">
                <c16:uniqueId val="{00000013-171F-47A0-9AF5-A776BE1DC5CA}"/>
              </c:ext>
            </c:extLst>
          </c:dPt>
          <c:dPt>
            <c:idx val="20"/>
            <c:invertIfNegative val="0"/>
            <c:bubble3D val="0"/>
            <c:extLst>
              <c:ext xmlns:c16="http://schemas.microsoft.com/office/drawing/2014/chart" uri="{C3380CC4-5D6E-409C-BE32-E72D297353CC}">
                <c16:uniqueId val="{00000014-171F-47A0-9AF5-A776BE1DC5CA}"/>
              </c:ext>
            </c:extLst>
          </c:dPt>
          <c:dPt>
            <c:idx val="24"/>
            <c:invertIfNegative val="0"/>
            <c:bubble3D val="0"/>
            <c:extLst>
              <c:ext xmlns:c16="http://schemas.microsoft.com/office/drawing/2014/chart" uri="{C3380CC4-5D6E-409C-BE32-E72D297353CC}">
                <c16:uniqueId val="{00000015-171F-47A0-9AF5-A776BE1DC5CA}"/>
              </c:ext>
            </c:extLst>
          </c:dPt>
          <c:dPt>
            <c:idx val="25"/>
            <c:invertIfNegative val="0"/>
            <c:bubble3D val="0"/>
            <c:extLst>
              <c:ext xmlns:c16="http://schemas.microsoft.com/office/drawing/2014/chart" uri="{C3380CC4-5D6E-409C-BE32-E72D297353CC}">
                <c16:uniqueId val="{00000016-171F-47A0-9AF5-A776BE1DC5CA}"/>
              </c:ext>
            </c:extLst>
          </c:dPt>
          <c:dPt>
            <c:idx val="26"/>
            <c:invertIfNegative val="0"/>
            <c:bubble3D val="0"/>
            <c:extLst>
              <c:ext xmlns:c16="http://schemas.microsoft.com/office/drawing/2014/chart" uri="{C3380CC4-5D6E-409C-BE32-E72D297353CC}">
                <c16:uniqueId val="{00000017-171F-47A0-9AF5-A776BE1DC5CA}"/>
              </c:ext>
            </c:extLst>
          </c:dPt>
          <c:dPt>
            <c:idx val="27"/>
            <c:invertIfNegative val="0"/>
            <c:bubble3D val="0"/>
            <c:extLst>
              <c:ext xmlns:c16="http://schemas.microsoft.com/office/drawing/2014/chart" uri="{C3380CC4-5D6E-409C-BE32-E72D297353CC}">
                <c16:uniqueId val="{00000018-171F-47A0-9AF5-A776BE1DC5CA}"/>
              </c:ext>
            </c:extLst>
          </c:dPt>
          <c:dPt>
            <c:idx val="28"/>
            <c:invertIfNegative val="0"/>
            <c:bubble3D val="0"/>
            <c:extLst>
              <c:ext xmlns:c16="http://schemas.microsoft.com/office/drawing/2014/chart" uri="{C3380CC4-5D6E-409C-BE32-E72D297353CC}">
                <c16:uniqueId val="{0000001A-171F-47A0-9AF5-A776BE1DC5CA}"/>
              </c:ext>
            </c:extLst>
          </c:dPt>
          <c:dPt>
            <c:idx val="29"/>
            <c:invertIfNegative val="0"/>
            <c:bubble3D val="0"/>
            <c:extLst>
              <c:ext xmlns:c16="http://schemas.microsoft.com/office/drawing/2014/chart" uri="{C3380CC4-5D6E-409C-BE32-E72D297353CC}">
                <c16:uniqueId val="{0000001C-B8CA-4A00-A1F9-1880734DCBCC}"/>
              </c:ext>
            </c:extLst>
          </c:dPt>
          <c:dPt>
            <c:idx val="30"/>
            <c:invertIfNegative val="0"/>
            <c:bubble3D val="0"/>
            <c:spPr>
              <a:solidFill>
                <a:schemeClr val="accent1">
                  <a:lumMod val="20000"/>
                  <a:lumOff val="8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D-16ED-42BE-8584-CF465BC68840}"/>
              </c:ext>
            </c:extLst>
          </c:dPt>
          <c:dLbls>
            <c:dLbl>
              <c:idx val="6"/>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1F-47A0-9AF5-A776BE1DC5CA}"/>
                </c:ext>
              </c:extLst>
            </c:dLbl>
            <c:dLbl>
              <c:idx val="18"/>
              <c:layout>
                <c:manualLayout>
                  <c:x val="-9.5039510355359197E-17"/>
                  <c:y val="4.823151125401919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71F-47A0-9AF5-A776BE1DC5CA}"/>
                </c:ext>
              </c:extLst>
            </c:dLbl>
            <c:dLbl>
              <c:idx val="30"/>
              <c:layout>
                <c:manualLayout>
                  <c:x val="0"/>
                  <c:y val="-4.28724544480171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16ED-42BE-8584-CF465BC6884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Hoja1!$A$2:$A$56</c:f>
              <c:strCache>
                <c:ptCount val="31"/>
                <c:pt idx="0">
                  <c:v>E-21</c:v>
                </c:pt>
                <c:pt idx="1">
                  <c:v>F</c:v>
                </c:pt>
                <c:pt idx="2">
                  <c:v>M</c:v>
                </c:pt>
                <c:pt idx="3">
                  <c:v>A</c:v>
                </c:pt>
                <c:pt idx="4">
                  <c:v>M</c:v>
                </c:pt>
                <c:pt idx="5">
                  <c:v>J</c:v>
                </c:pt>
                <c:pt idx="6">
                  <c:v>Jl</c:v>
                </c:pt>
                <c:pt idx="7">
                  <c:v>A</c:v>
                </c:pt>
                <c:pt idx="8">
                  <c:v>S</c:v>
                </c:pt>
                <c:pt idx="9">
                  <c:v>O</c:v>
                </c:pt>
                <c:pt idx="10">
                  <c:v>N</c:v>
                </c:pt>
                <c:pt idx="11">
                  <c:v>D</c:v>
                </c:pt>
                <c:pt idx="12">
                  <c:v>E-22</c:v>
                </c:pt>
                <c:pt idx="13">
                  <c:v>F</c:v>
                </c:pt>
                <c:pt idx="14">
                  <c:v>M</c:v>
                </c:pt>
                <c:pt idx="15">
                  <c:v>A</c:v>
                </c:pt>
                <c:pt idx="16">
                  <c:v>M</c:v>
                </c:pt>
                <c:pt idx="17">
                  <c:v>J</c:v>
                </c:pt>
                <c:pt idx="18">
                  <c:v>Jl</c:v>
                </c:pt>
                <c:pt idx="19">
                  <c:v>A</c:v>
                </c:pt>
                <c:pt idx="20">
                  <c:v>S</c:v>
                </c:pt>
                <c:pt idx="21">
                  <c:v>O</c:v>
                </c:pt>
                <c:pt idx="22">
                  <c:v>N</c:v>
                </c:pt>
                <c:pt idx="23">
                  <c:v>D</c:v>
                </c:pt>
                <c:pt idx="24">
                  <c:v>E-23</c:v>
                </c:pt>
                <c:pt idx="25">
                  <c:v>F</c:v>
                </c:pt>
                <c:pt idx="26">
                  <c:v>M</c:v>
                </c:pt>
                <c:pt idx="27">
                  <c:v>A</c:v>
                </c:pt>
                <c:pt idx="28">
                  <c:v>M</c:v>
                </c:pt>
                <c:pt idx="29">
                  <c:v>J</c:v>
                </c:pt>
                <c:pt idx="30">
                  <c:v>Jl</c:v>
                </c:pt>
              </c:strCache>
            </c:strRef>
          </c:cat>
          <c:val>
            <c:numRef>
              <c:f>Hoja1!$B$2:$B$56</c:f>
              <c:numCache>
                <c:formatCode>_ * #,##0_ ;_ * \-#,##0_ ;_ * "-"??_ ;_ @_ </c:formatCode>
                <c:ptCount val="31"/>
                <c:pt idx="0">
                  <c:v>1371.1450600999999</c:v>
                </c:pt>
                <c:pt idx="1">
                  <c:v>1170.1521685299999</c:v>
                </c:pt>
                <c:pt idx="2">
                  <c:v>1877.9982875500002</c:v>
                </c:pt>
                <c:pt idx="3">
                  <c:v>1652.3172830199999</c:v>
                </c:pt>
                <c:pt idx="4">
                  <c:v>1442.1443238600002</c:v>
                </c:pt>
                <c:pt idx="5">
                  <c:v>1983.1557679</c:v>
                </c:pt>
                <c:pt idx="6">
                  <c:v>1998.9975050599999</c:v>
                </c:pt>
                <c:pt idx="7">
                  <c:v>1510.6622531200001</c:v>
                </c:pt>
                <c:pt idx="8">
                  <c:v>1565.4263235399999</c:v>
                </c:pt>
                <c:pt idx="9">
                  <c:v>1710.8572098900001</c:v>
                </c:pt>
                <c:pt idx="10">
                  <c:v>1522.4275231599997</c:v>
                </c:pt>
                <c:pt idx="11">
                  <c:v>2018.2218230799999</c:v>
                </c:pt>
                <c:pt idx="12">
                  <c:v>2205.9801578299998</c:v>
                </c:pt>
                <c:pt idx="13">
                  <c:v>1743.8910244000001</c:v>
                </c:pt>
                <c:pt idx="14">
                  <c:v>2900.9628683400001</c:v>
                </c:pt>
                <c:pt idx="15">
                  <c:v>2440.4010071399998</c:v>
                </c:pt>
                <c:pt idx="16">
                  <c:v>1720.1364200099999</c:v>
                </c:pt>
                <c:pt idx="17">
                  <c:v>2155.3456029200001</c:v>
                </c:pt>
                <c:pt idx="18">
                  <c:v>1843.85264674</c:v>
                </c:pt>
                <c:pt idx="19">
                  <c:v>2280.4926827899999</c:v>
                </c:pt>
                <c:pt idx="20">
                  <c:v>1638.34736266</c:v>
                </c:pt>
                <c:pt idx="21">
                  <c:v>2487.2657001099997</c:v>
                </c:pt>
                <c:pt idx="22">
                  <c:v>2003.08451913</c:v>
                </c:pt>
                <c:pt idx="23">
                  <c:v>2204.8196107200001</c:v>
                </c:pt>
                <c:pt idx="24">
                  <c:v>1958.2098802999999</c:v>
                </c:pt>
                <c:pt idx="25">
                  <c:v>1408.97123031</c:v>
                </c:pt>
                <c:pt idx="26">
                  <c:v>2082.0103981100001</c:v>
                </c:pt>
                <c:pt idx="27">
                  <c:v>2005.6983144200001</c:v>
                </c:pt>
                <c:pt idx="28">
                  <c:v>2081.1999999999998</c:v>
                </c:pt>
                <c:pt idx="29">
                  <c:v>2267.9880878200001</c:v>
                </c:pt>
                <c:pt idx="30">
                  <c:v>2677.9</c:v>
                </c:pt>
              </c:numCache>
            </c:numRef>
          </c:val>
          <c:extLst>
            <c:ext xmlns:c16="http://schemas.microsoft.com/office/drawing/2014/chart" uri="{C3380CC4-5D6E-409C-BE32-E72D297353CC}">
              <c16:uniqueId val="{0000001B-171F-47A0-9AF5-A776BE1DC5CA}"/>
            </c:ext>
          </c:extLst>
        </c:ser>
        <c:dLbls>
          <c:showLegendKey val="0"/>
          <c:showVal val="0"/>
          <c:showCatName val="0"/>
          <c:showSerName val="0"/>
          <c:showPercent val="0"/>
          <c:showBubbleSize val="0"/>
        </c:dLbls>
        <c:gapWidth val="105"/>
        <c:overlap val="100"/>
        <c:axId val="147737216"/>
        <c:axId val="147747200"/>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6"/>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6ED-42BE-8584-CF465BC68840}"/>
                </c:ext>
              </c:extLst>
            </c:dLbl>
            <c:dLbl>
              <c:idx val="18"/>
              <c:layout>
                <c:manualLayout>
                  <c:x val="-4.8645824404142425E-2"/>
                  <c:y val="-3.2154340836012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16ED-42BE-8584-CF465BC68840}"/>
                </c:ext>
              </c:extLst>
            </c:dLbl>
            <c:dLbl>
              <c:idx val="3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16ED-42BE-8584-CF465BC68840}"/>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Hoja1!$A$2:$A$56</c:f>
              <c:strCache>
                <c:ptCount val="31"/>
                <c:pt idx="0">
                  <c:v>E-21</c:v>
                </c:pt>
                <c:pt idx="1">
                  <c:v>F</c:v>
                </c:pt>
                <c:pt idx="2">
                  <c:v>M</c:v>
                </c:pt>
                <c:pt idx="3">
                  <c:v>A</c:v>
                </c:pt>
                <c:pt idx="4">
                  <c:v>M</c:v>
                </c:pt>
                <c:pt idx="5">
                  <c:v>J</c:v>
                </c:pt>
                <c:pt idx="6">
                  <c:v>Jl</c:v>
                </c:pt>
                <c:pt idx="7">
                  <c:v>A</c:v>
                </c:pt>
                <c:pt idx="8">
                  <c:v>S</c:v>
                </c:pt>
                <c:pt idx="9">
                  <c:v>O</c:v>
                </c:pt>
                <c:pt idx="10">
                  <c:v>N</c:v>
                </c:pt>
                <c:pt idx="11">
                  <c:v>D</c:v>
                </c:pt>
                <c:pt idx="12">
                  <c:v>E-22</c:v>
                </c:pt>
                <c:pt idx="13">
                  <c:v>F</c:v>
                </c:pt>
                <c:pt idx="14">
                  <c:v>M</c:v>
                </c:pt>
                <c:pt idx="15">
                  <c:v>A</c:v>
                </c:pt>
                <c:pt idx="16">
                  <c:v>M</c:v>
                </c:pt>
                <c:pt idx="17">
                  <c:v>J</c:v>
                </c:pt>
                <c:pt idx="18">
                  <c:v>Jl</c:v>
                </c:pt>
                <c:pt idx="19">
                  <c:v>A</c:v>
                </c:pt>
                <c:pt idx="20">
                  <c:v>S</c:v>
                </c:pt>
                <c:pt idx="21">
                  <c:v>O</c:v>
                </c:pt>
                <c:pt idx="22">
                  <c:v>N</c:v>
                </c:pt>
                <c:pt idx="23">
                  <c:v>D</c:v>
                </c:pt>
                <c:pt idx="24">
                  <c:v>E-23</c:v>
                </c:pt>
                <c:pt idx="25">
                  <c:v>F</c:v>
                </c:pt>
                <c:pt idx="26">
                  <c:v>M</c:v>
                </c:pt>
                <c:pt idx="27">
                  <c:v>A</c:v>
                </c:pt>
                <c:pt idx="28">
                  <c:v>M</c:v>
                </c:pt>
                <c:pt idx="29">
                  <c:v>J</c:v>
                </c:pt>
                <c:pt idx="30">
                  <c:v>Jl</c:v>
                </c:pt>
              </c:strCache>
            </c:strRef>
          </c:cat>
          <c:val>
            <c:numRef>
              <c:f>Hoja1!$C$2:$C$56</c:f>
              <c:numCache>
                <c:formatCode>0.0</c:formatCode>
                <c:ptCount val="31"/>
                <c:pt idx="0">
                  <c:v>-0.82101437509206621</c:v>
                </c:pt>
                <c:pt idx="1">
                  <c:v>-24.35659177823527</c:v>
                </c:pt>
                <c:pt idx="2">
                  <c:v>27.784294173044643</c:v>
                </c:pt>
                <c:pt idx="3">
                  <c:v>15.348413298586493</c:v>
                </c:pt>
                <c:pt idx="4">
                  <c:v>33.126202870686704</c:v>
                </c:pt>
                <c:pt idx="5">
                  <c:v>39.751415253202047</c:v>
                </c:pt>
                <c:pt idx="6">
                  <c:v>43.462133499045223</c:v>
                </c:pt>
                <c:pt idx="7">
                  <c:v>6.3696825883116315</c:v>
                </c:pt>
                <c:pt idx="8">
                  <c:v>-4.0946208618087514</c:v>
                </c:pt>
                <c:pt idx="9">
                  <c:v>7.5815538950552153E-2</c:v>
                </c:pt>
                <c:pt idx="10">
                  <c:v>-7.3604658316815179</c:v>
                </c:pt>
                <c:pt idx="11">
                  <c:v>15.308066622823535</c:v>
                </c:pt>
                <c:pt idx="12">
                  <c:v>52.231732308452528</c:v>
                </c:pt>
                <c:pt idx="13">
                  <c:v>40.400642007724997</c:v>
                </c:pt>
                <c:pt idx="14">
                  <c:v>44.606948482440686</c:v>
                </c:pt>
                <c:pt idx="15">
                  <c:v>36.806169430291867</c:v>
                </c:pt>
                <c:pt idx="16">
                  <c:v>10.347899665355897</c:v>
                </c:pt>
                <c:pt idx="17">
                  <c:v>-0.11948545414367517</c:v>
                </c:pt>
                <c:pt idx="18">
                  <c:v>-15.175502088740133</c:v>
                </c:pt>
                <c:pt idx="19">
                  <c:v>39.264389885606654</c:v>
                </c:pt>
                <c:pt idx="20">
                  <c:v>-3.5673408504720228</c:v>
                </c:pt>
                <c:pt idx="21">
                  <c:v>34.27014120499463</c:v>
                </c:pt>
                <c:pt idx="22">
                  <c:v>21.323291183201974</c:v>
                </c:pt>
                <c:pt idx="23">
                  <c:v>0.72514948519277755</c:v>
                </c:pt>
                <c:pt idx="24">
                  <c:v>-18.3096266468092</c:v>
                </c:pt>
                <c:pt idx="25">
                  <c:v>-25.634869072656041</c:v>
                </c:pt>
                <c:pt idx="26">
                  <c:v>-33.792202255092519</c:v>
                </c:pt>
                <c:pt idx="27">
                  <c:v>-23.876063112470934</c:v>
                </c:pt>
                <c:pt idx="28">
                  <c:v>12.138332070549328</c:v>
                </c:pt>
                <c:pt idx="29">
                  <c:v>-1.1603309205536649</c:v>
                </c:pt>
                <c:pt idx="30">
                  <c:v>37.167826043088525</c:v>
                </c:pt>
              </c:numCache>
            </c:numRef>
          </c:val>
          <c:smooth val="1"/>
          <c:extLst>
            <c:ext xmlns:c16="http://schemas.microsoft.com/office/drawing/2014/chart" uri="{C3380CC4-5D6E-409C-BE32-E72D297353CC}">
              <c16:uniqueId val="{0000001F-171F-47A0-9AF5-A776BE1DC5CA}"/>
            </c:ext>
          </c:extLst>
        </c:ser>
        <c:ser>
          <c:idx val="1"/>
          <c:order val="2"/>
          <c:tx>
            <c:strRef>
              <c:f>Hoja1!$D$1</c:f>
              <c:strCache>
                <c:ptCount val="1"/>
                <c:pt idx="0">
                  <c:v>Columna1</c:v>
                </c:pt>
              </c:strCache>
            </c:strRef>
          </c:tx>
          <c:spPr>
            <a:ln w="9525">
              <a:solidFill>
                <a:schemeClr val="accent5">
                  <a:lumMod val="75000"/>
                </a:schemeClr>
              </a:solidFill>
              <a:prstDash val="dash"/>
            </a:ln>
          </c:spPr>
          <c:marker>
            <c:symbol val="none"/>
          </c:marker>
          <c:cat>
            <c:strRef>
              <c:f>Hoja1!$A$2:$A$56</c:f>
              <c:strCache>
                <c:ptCount val="31"/>
                <c:pt idx="0">
                  <c:v>E-21</c:v>
                </c:pt>
                <c:pt idx="1">
                  <c:v>F</c:v>
                </c:pt>
                <c:pt idx="2">
                  <c:v>M</c:v>
                </c:pt>
                <c:pt idx="3">
                  <c:v>A</c:v>
                </c:pt>
                <c:pt idx="4">
                  <c:v>M</c:v>
                </c:pt>
                <c:pt idx="5">
                  <c:v>J</c:v>
                </c:pt>
                <c:pt idx="6">
                  <c:v>Jl</c:v>
                </c:pt>
                <c:pt idx="7">
                  <c:v>A</c:v>
                </c:pt>
                <c:pt idx="8">
                  <c:v>S</c:v>
                </c:pt>
                <c:pt idx="9">
                  <c:v>O</c:v>
                </c:pt>
                <c:pt idx="10">
                  <c:v>N</c:v>
                </c:pt>
                <c:pt idx="11">
                  <c:v>D</c:v>
                </c:pt>
                <c:pt idx="12">
                  <c:v>E-22</c:v>
                </c:pt>
                <c:pt idx="13">
                  <c:v>F</c:v>
                </c:pt>
                <c:pt idx="14">
                  <c:v>M</c:v>
                </c:pt>
                <c:pt idx="15">
                  <c:v>A</c:v>
                </c:pt>
                <c:pt idx="16">
                  <c:v>M</c:v>
                </c:pt>
                <c:pt idx="17">
                  <c:v>J</c:v>
                </c:pt>
                <c:pt idx="18">
                  <c:v>Jl</c:v>
                </c:pt>
                <c:pt idx="19">
                  <c:v>A</c:v>
                </c:pt>
                <c:pt idx="20">
                  <c:v>S</c:v>
                </c:pt>
                <c:pt idx="21">
                  <c:v>O</c:v>
                </c:pt>
                <c:pt idx="22">
                  <c:v>N</c:v>
                </c:pt>
                <c:pt idx="23">
                  <c:v>D</c:v>
                </c:pt>
                <c:pt idx="24">
                  <c:v>E-23</c:v>
                </c:pt>
                <c:pt idx="25">
                  <c:v>F</c:v>
                </c:pt>
                <c:pt idx="26">
                  <c:v>M</c:v>
                </c:pt>
                <c:pt idx="27">
                  <c:v>A</c:v>
                </c:pt>
                <c:pt idx="28">
                  <c:v>M</c:v>
                </c:pt>
                <c:pt idx="29">
                  <c:v>J</c:v>
                </c:pt>
                <c:pt idx="30">
                  <c:v>Jl</c:v>
                </c:pt>
              </c:strCache>
            </c:strRef>
          </c:cat>
          <c:val>
            <c:numRef>
              <c:f>Hoja1!$D$2:$D$56</c:f>
              <c:numCache>
                <c:formatCode>General</c:formatCode>
                <c:ptCount val="3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numCache>
            </c:numRef>
          </c:val>
          <c:smooth val="0"/>
          <c:extLst>
            <c:ext xmlns:c16="http://schemas.microsoft.com/office/drawing/2014/chart" uri="{C3380CC4-5D6E-409C-BE32-E72D297353CC}">
              <c16:uniqueId val="{00000020-171F-47A0-9AF5-A776BE1DC5CA}"/>
            </c:ext>
          </c:extLst>
        </c:ser>
        <c:dLbls>
          <c:showLegendKey val="0"/>
          <c:showVal val="0"/>
          <c:showCatName val="0"/>
          <c:showSerName val="0"/>
          <c:showPercent val="0"/>
          <c:showBubbleSize val="0"/>
        </c:dLbls>
        <c:marker val="1"/>
        <c:smooth val="0"/>
        <c:axId val="147748736"/>
        <c:axId val="147750272"/>
      </c:lineChart>
      <c:catAx>
        <c:axId val="147737216"/>
        <c:scaling>
          <c:orientation val="minMax"/>
        </c:scaling>
        <c:delete val="0"/>
        <c:axPos val="b"/>
        <c:numFmt formatCode="mmm\-yy" sourceLinked="0"/>
        <c:majorTickMark val="none"/>
        <c:minorTickMark val="none"/>
        <c:tickLblPos val="nextTo"/>
        <c:txPr>
          <a:bodyPr rot="0" vert="horz"/>
          <a:lstStyle/>
          <a:p>
            <a:pPr>
              <a:defRPr sz="400"/>
            </a:pPr>
            <a:endParaRPr lang="es-PE"/>
          </a:p>
        </c:txPr>
        <c:crossAx val="147747200"/>
        <c:crosses val="autoZero"/>
        <c:auto val="1"/>
        <c:lblAlgn val="ctr"/>
        <c:lblOffset val="100"/>
        <c:noMultiLvlLbl val="1"/>
      </c:catAx>
      <c:valAx>
        <c:axId val="147747200"/>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7737216"/>
        <c:crosses val="autoZero"/>
        <c:crossBetween val="between"/>
      </c:valAx>
      <c:catAx>
        <c:axId val="147748736"/>
        <c:scaling>
          <c:orientation val="minMax"/>
        </c:scaling>
        <c:delete val="1"/>
        <c:axPos val="b"/>
        <c:numFmt formatCode="General" sourceLinked="1"/>
        <c:majorTickMark val="out"/>
        <c:minorTickMark val="none"/>
        <c:tickLblPos val="nextTo"/>
        <c:crossAx val="147750272"/>
        <c:crosses val="autoZero"/>
        <c:auto val="1"/>
        <c:lblAlgn val="ctr"/>
        <c:lblOffset val="100"/>
        <c:noMultiLvlLbl val="1"/>
      </c:catAx>
      <c:valAx>
        <c:axId val="147750272"/>
        <c:scaling>
          <c:orientation val="minMax"/>
          <c:min val="-40"/>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7748736"/>
        <c:crosses val="max"/>
        <c:crossBetween val="between"/>
      </c:valAx>
      <c:spPr>
        <a:noFill/>
        <a:ln w="22874">
          <a:noFill/>
        </a:ln>
      </c:spPr>
    </c:plotArea>
    <c:legend>
      <c:legendPos val="b"/>
      <c:legendEntry>
        <c:idx val="2"/>
        <c:delete val="1"/>
      </c:legendEntry>
      <c:layout>
        <c:manualLayout>
          <c:xMode val="edge"/>
          <c:yMode val="edge"/>
          <c:x val="0.17408825144722403"/>
          <c:y val="0.91813464181577631"/>
          <c:w val="0.70195304136831838"/>
          <c:h val="8.0726430403377389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03D5E-472F-421A-8087-FD10F532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957</Words>
  <Characters>5268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E-RECA-DE</dc:creator>
  <cp:keywords/>
  <dc:description/>
  <cp:lastModifiedBy>Manzaneda Miranda Gardy Raul</cp:lastModifiedBy>
  <cp:revision>3</cp:revision>
  <cp:lastPrinted>2023-02-03T18:20:00Z</cp:lastPrinted>
  <dcterms:created xsi:type="dcterms:W3CDTF">2023-08-03T15:29:00Z</dcterms:created>
  <dcterms:modified xsi:type="dcterms:W3CDTF">2023-08-04T18:57:00Z</dcterms:modified>
</cp:coreProperties>
</file>