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A024E" w14:textId="16D95F7B" w:rsidR="008003DB" w:rsidRDefault="008003DB" w:rsidP="00C32AE8">
      <w:pPr>
        <w:spacing w:after="0" w:line="240" w:lineRule="auto"/>
        <w:ind w:left="68"/>
        <w:contextualSpacing/>
        <w:jc w:val="center"/>
        <w:rPr>
          <w:rFonts w:ascii="Arial Nova" w:hAnsi="Arial Nova" w:cs="Arial"/>
          <w:b/>
          <w:bCs/>
          <w:color w:val="000000" w:themeColor="text1"/>
          <w:sz w:val="36"/>
          <w:szCs w:val="36"/>
        </w:rPr>
      </w:pPr>
      <w:r>
        <w:rPr>
          <w:rFonts w:ascii="Arial Nova" w:hAnsi="Arial Nova" w:cs="Arial"/>
          <w:b/>
          <w:bCs/>
          <w:color w:val="000000" w:themeColor="text1"/>
          <w:sz w:val="36"/>
          <w:szCs w:val="36"/>
        </w:rPr>
        <w:t xml:space="preserve">EN 2022, SE RECAUDARON 17 MIL </w:t>
      </w:r>
      <w:r w:rsidR="001660D5">
        <w:rPr>
          <w:rFonts w:ascii="Arial Nova" w:hAnsi="Arial Nova" w:cs="Arial"/>
          <w:b/>
          <w:bCs/>
          <w:color w:val="000000" w:themeColor="text1"/>
          <w:sz w:val="36"/>
          <w:szCs w:val="36"/>
        </w:rPr>
        <w:t xml:space="preserve">820 </w:t>
      </w:r>
      <w:r>
        <w:rPr>
          <w:rFonts w:ascii="Arial Nova" w:hAnsi="Arial Nova" w:cs="Arial"/>
          <w:b/>
          <w:bCs/>
          <w:color w:val="000000" w:themeColor="text1"/>
          <w:sz w:val="36"/>
          <w:szCs w:val="36"/>
        </w:rPr>
        <w:t xml:space="preserve">MILLONES DE </w:t>
      </w:r>
    </w:p>
    <w:p w14:paraId="48F63050" w14:textId="42785759" w:rsidR="00AA106A" w:rsidRPr="00C32AE8" w:rsidRDefault="008003DB" w:rsidP="00C32AE8">
      <w:pPr>
        <w:spacing w:after="0" w:line="240" w:lineRule="auto"/>
        <w:ind w:left="68"/>
        <w:contextualSpacing/>
        <w:jc w:val="center"/>
        <w:rPr>
          <w:rFonts w:ascii="Arial Nova" w:hAnsi="Arial Nova" w:cs="Arial"/>
          <w:b/>
          <w:bCs/>
          <w:color w:val="000000" w:themeColor="text1"/>
          <w:sz w:val="36"/>
          <w:szCs w:val="36"/>
        </w:rPr>
      </w:pPr>
      <w:r>
        <w:rPr>
          <w:rFonts w:ascii="Arial Nova" w:hAnsi="Arial Nova" w:cs="Arial"/>
          <w:b/>
          <w:bCs/>
          <w:color w:val="000000" w:themeColor="text1"/>
          <w:sz w:val="36"/>
          <w:szCs w:val="36"/>
        </w:rPr>
        <w:t>SOLES MÁS QUE EL AÑO ANTERIOR</w:t>
      </w:r>
    </w:p>
    <w:p w14:paraId="614DB122" w14:textId="77777777" w:rsidR="008003DB" w:rsidRDefault="008003DB" w:rsidP="008003DB">
      <w:pPr>
        <w:pStyle w:val="Prrafodelista"/>
        <w:ind w:left="426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7A84C73" w14:textId="6078B96F" w:rsidR="00AA106A" w:rsidRPr="002F535F" w:rsidRDefault="008003DB" w:rsidP="00335A4B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Ingresos tributarios del Gobierno Central ascendieron a 157 mil 768 millones de soles.</w:t>
      </w:r>
    </w:p>
    <w:p w14:paraId="4C5ED27E" w14:textId="77777777" w:rsidR="00335A4B" w:rsidRPr="002F535F" w:rsidRDefault="00335A4B" w:rsidP="00335A4B">
      <w:pPr>
        <w:pStyle w:val="Prrafodelista"/>
        <w:ind w:left="426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E899404" w14:textId="1E690AD9" w:rsidR="00AA106A" w:rsidRPr="002F535F" w:rsidRDefault="00A97791" w:rsidP="00C32AE8">
      <w:pPr>
        <w:pStyle w:val="Prrafodelista"/>
        <w:numPr>
          <w:ilvl w:val="0"/>
          <w:numId w:val="15"/>
        </w:numPr>
        <w:spacing w:before="1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Presión tributaria </w:t>
      </w:r>
      <w:r w:rsidR="002A3218">
        <w:rPr>
          <w:rFonts w:ascii="Arial" w:hAnsi="Arial" w:cs="Arial"/>
          <w:b/>
          <w:bCs/>
          <w:i/>
          <w:iCs/>
          <w:sz w:val="22"/>
          <w:szCs w:val="22"/>
        </w:rPr>
        <w:t>alcanzó el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16,8%, mejor resultado registrado desde 1980.</w:t>
      </w:r>
    </w:p>
    <w:p w14:paraId="7C029B6B" w14:textId="77777777" w:rsidR="00C32AE8" w:rsidRDefault="00C32AE8" w:rsidP="00C32AE8">
      <w:pPr>
        <w:spacing w:before="120" w:after="0" w:line="240" w:lineRule="auto"/>
        <w:ind w:left="284" w:hanging="218"/>
        <w:rPr>
          <w:rFonts w:ascii="Arial Nova" w:hAnsi="Arial Nova" w:cs="Arial"/>
          <w:b/>
          <w:color w:val="0070C0"/>
        </w:rPr>
      </w:pPr>
    </w:p>
    <w:p w14:paraId="3E89F022" w14:textId="402606D3" w:rsidR="00932603" w:rsidRPr="002F32E7" w:rsidRDefault="00C32AE8" w:rsidP="00C32AE8">
      <w:pPr>
        <w:spacing w:after="0" w:line="240" w:lineRule="auto"/>
        <w:ind w:left="142"/>
        <w:rPr>
          <w:rFonts w:ascii="Arial" w:hAnsi="Arial" w:cs="Arial"/>
          <w:b/>
          <w:color w:val="0070C0"/>
        </w:rPr>
      </w:pPr>
      <w:r w:rsidRPr="002F32E7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4952DD08" wp14:editId="1D2E1B4A">
            <wp:simplePos x="0" y="0"/>
            <wp:positionH relativeFrom="margin">
              <wp:posOffset>2769235</wp:posOffset>
            </wp:positionH>
            <wp:positionV relativeFrom="paragraph">
              <wp:posOffset>29845</wp:posOffset>
            </wp:positionV>
            <wp:extent cx="3580765" cy="2249805"/>
            <wp:effectExtent l="0" t="0" r="635" b="0"/>
            <wp:wrapSquare wrapText="bothSides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D03A400-B360-49AA-9457-E54278ADEE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03" w:rsidRPr="002F32E7">
        <w:rPr>
          <w:rFonts w:ascii="Arial" w:hAnsi="Arial" w:cs="Arial"/>
          <w:b/>
          <w:color w:val="000000" w:themeColor="text1"/>
        </w:rPr>
        <w:t>Resultados de la recaudación del 20</w:t>
      </w:r>
      <w:r w:rsidR="008E68AF" w:rsidRPr="002F32E7">
        <w:rPr>
          <w:rFonts w:ascii="Arial" w:hAnsi="Arial" w:cs="Arial"/>
          <w:b/>
          <w:color w:val="000000" w:themeColor="text1"/>
        </w:rPr>
        <w:t>22</w:t>
      </w:r>
    </w:p>
    <w:p w14:paraId="1A9DE800" w14:textId="1C1EB271" w:rsidR="00845BD7" w:rsidRPr="002F32E7" w:rsidRDefault="008E4015" w:rsidP="00C32AE8">
      <w:pPr>
        <w:pStyle w:val="Prrafodelista"/>
        <w:numPr>
          <w:ilvl w:val="0"/>
          <w:numId w:val="11"/>
        </w:numPr>
        <w:spacing w:before="120"/>
        <w:ind w:left="284" w:hanging="218"/>
        <w:contextualSpacing w:val="0"/>
        <w:jc w:val="both"/>
        <w:rPr>
          <w:rFonts w:ascii="Arial" w:hAnsi="Arial" w:cs="Arial"/>
          <w:sz w:val="22"/>
          <w:szCs w:val="22"/>
        </w:rPr>
      </w:pPr>
      <w:r w:rsidRPr="002F32E7">
        <w:rPr>
          <w:rFonts w:ascii="Arial" w:hAnsi="Arial" w:cs="Arial"/>
          <w:kern w:val="24"/>
          <w:sz w:val="22"/>
          <w:szCs w:val="22"/>
        </w:rPr>
        <w:t>En el 20</w:t>
      </w:r>
      <w:r w:rsidR="008E68AF" w:rsidRPr="002F32E7">
        <w:rPr>
          <w:rFonts w:ascii="Arial" w:hAnsi="Arial" w:cs="Arial"/>
          <w:kern w:val="24"/>
          <w:sz w:val="22"/>
          <w:szCs w:val="22"/>
        </w:rPr>
        <w:t>22</w:t>
      </w:r>
      <w:r w:rsidRPr="002F32E7">
        <w:rPr>
          <w:rFonts w:ascii="Arial" w:hAnsi="Arial" w:cs="Arial"/>
          <w:kern w:val="24"/>
          <w:sz w:val="22"/>
          <w:szCs w:val="22"/>
        </w:rPr>
        <w:t>, se recaudaron S/ 1</w:t>
      </w:r>
      <w:r w:rsidR="008E68AF" w:rsidRPr="002F32E7">
        <w:rPr>
          <w:rFonts w:ascii="Arial" w:hAnsi="Arial" w:cs="Arial"/>
          <w:kern w:val="24"/>
          <w:sz w:val="22"/>
          <w:szCs w:val="22"/>
        </w:rPr>
        <w:t>57</w:t>
      </w:r>
      <w:r w:rsidRPr="002F32E7">
        <w:rPr>
          <w:rFonts w:ascii="Arial" w:hAnsi="Arial" w:cs="Arial"/>
          <w:kern w:val="24"/>
          <w:sz w:val="22"/>
          <w:szCs w:val="22"/>
        </w:rPr>
        <w:t xml:space="preserve"> </w:t>
      </w:r>
      <w:r w:rsidR="00AB3F8E" w:rsidRPr="002F32E7">
        <w:rPr>
          <w:rFonts w:ascii="Arial" w:hAnsi="Arial" w:cs="Arial"/>
          <w:kern w:val="24"/>
          <w:sz w:val="22"/>
          <w:szCs w:val="22"/>
        </w:rPr>
        <w:t>768</w:t>
      </w:r>
      <w:r w:rsidRPr="002F32E7">
        <w:rPr>
          <w:rFonts w:ascii="Arial" w:hAnsi="Arial" w:cs="Arial"/>
          <w:kern w:val="24"/>
          <w:sz w:val="22"/>
          <w:szCs w:val="22"/>
        </w:rPr>
        <w:t xml:space="preserve"> millones de ingresos tributarios del Gobierno Central (descontando las devoluciones de impuestos)</w:t>
      </w:r>
      <w:r w:rsidR="001F7095" w:rsidRPr="002F32E7">
        <w:rPr>
          <w:rFonts w:ascii="Arial" w:hAnsi="Arial" w:cs="Arial"/>
          <w:kern w:val="24"/>
          <w:sz w:val="22"/>
          <w:szCs w:val="22"/>
        </w:rPr>
        <w:t>,</w:t>
      </w:r>
      <w:r w:rsidR="004C7BB5" w:rsidRPr="002F32E7">
        <w:rPr>
          <w:rFonts w:ascii="Arial" w:hAnsi="Arial" w:cs="Arial"/>
          <w:kern w:val="24"/>
          <w:sz w:val="22"/>
          <w:szCs w:val="22"/>
          <w:lang w:val="es-419"/>
        </w:rPr>
        <w:t xml:space="preserve"> </w:t>
      </w:r>
      <w:r w:rsidR="002F535F" w:rsidRPr="002F32E7">
        <w:rPr>
          <w:rFonts w:ascii="Arial" w:hAnsi="Arial" w:cs="Arial"/>
          <w:kern w:val="24"/>
          <w:sz w:val="22"/>
          <w:szCs w:val="22"/>
        </w:rPr>
        <w:t>i</w:t>
      </w:r>
      <w:r w:rsidR="001F7095" w:rsidRPr="002F32E7">
        <w:rPr>
          <w:rFonts w:ascii="Arial" w:hAnsi="Arial" w:cs="Arial"/>
          <w:kern w:val="24"/>
          <w:sz w:val="22"/>
          <w:szCs w:val="22"/>
        </w:rPr>
        <w:t xml:space="preserve">mporte que </w:t>
      </w:r>
      <w:r w:rsidR="002A3218">
        <w:rPr>
          <w:rFonts w:ascii="Arial" w:hAnsi="Arial" w:cs="Arial"/>
          <w:kern w:val="24"/>
          <w:sz w:val="22"/>
          <w:szCs w:val="22"/>
        </w:rPr>
        <w:t xml:space="preserve">registró </w:t>
      </w:r>
      <w:r w:rsidRPr="002F32E7">
        <w:rPr>
          <w:rFonts w:ascii="Arial" w:hAnsi="Arial" w:cs="Arial"/>
          <w:kern w:val="24"/>
          <w:sz w:val="22"/>
          <w:szCs w:val="22"/>
        </w:rPr>
        <w:t>S/ 1</w:t>
      </w:r>
      <w:r w:rsidR="008E68AF" w:rsidRPr="002F32E7">
        <w:rPr>
          <w:rFonts w:ascii="Arial" w:hAnsi="Arial" w:cs="Arial"/>
          <w:kern w:val="24"/>
          <w:sz w:val="22"/>
          <w:szCs w:val="22"/>
        </w:rPr>
        <w:t>7</w:t>
      </w:r>
      <w:r w:rsidRPr="002F32E7">
        <w:rPr>
          <w:rFonts w:ascii="Arial" w:hAnsi="Arial" w:cs="Arial"/>
          <w:kern w:val="24"/>
          <w:sz w:val="22"/>
          <w:szCs w:val="22"/>
        </w:rPr>
        <w:t xml:space="preserve"> </w:t>
      </w:r>
      <w:r w:rsidR="00AB3F8E" w:rsidRPr="002F32E7">
        <w:rPr>
          <w:rFonts w:ascii="Arial" w:hAnsi="Arial" w:cs="Arial"/>
          <w:kern w:val="24"/>
          <w:sz w:val="22"/>
          <w:szCs w:val="22"/>
        </w:rPr>
        <w:t>820</w:t>
      </w:r>
      <w:r w:rsidRPr="002F32E7">
        <w:rPr>
          <w:rFonts w:ascii="Arial" w:hAnsi="Arial" w:cs="Arial"/>
          <w:kern w:val="24"/>
          <w:sz w:val="22"/>
          <w:szCs w:val="22"/>
        </w:rPr>
        <w:t xml:space="preserve"> millones más que en 20</w:t>
      </w:r>
      <w:r w:rsidR="008E68AF" w:rsidRPr="002F32E7">
        <w:rPr>
          <w:rFonts w:ascii="Arial" w:hAnsi="Arial" w:cs="Arial"/>
          <w:kern w:val="24"/>
          <w:sz w:val="22"/>
          <w:szCs w:val="22"/>
        </w:rPr>
        <w:t>21</w:t>
      </w:r>
      <w:r w:rsidRPr="002F32E7">
        <w:rPr>
          <w:rFonts w:ascii="Arial" w:hAnsi="Arial" w:cs="Arial"/>
          <w:kern w:val="24"/>
          <w:sz w:val="22"/>
          <w:szCs w:val="22"/>
        </w:rPr>
        <w:t>.</w:t>
      </w:r>
    </w:p>
    <w:p w14:paraId="5E98D776" w14:textId="0850439D" w:rsidR="001A52D3" w:rsidRPr="002F32E7" w:rsidRDefault="001A52D3" w:rsidP="00C32AE8">
      <w:pPr>
        <w:spacing w:before="120" w:after="0" w:line="240" w:lineRule="auto"/>
        <w:rPr>
          <w:rFonts w:ascii="Arial" w:hAnsi="Arial" w:cs="Arial"/>
        </w:rPr>
      </w:pPr>
    </w:p>
    <w:p w14:paraId="0A3E8933" w14:textId="1C220E9F" w:rsidR="002252A3" w:rsidRPr="002F32E7" w:rsidRDefault="002252A3" w:rsidP="00C32AE8">
      <w:pPr>
        <w:spacing w:before="120" w:after="0" w:line="240" w:lineRule="auto"/>
        <w:rPr>
          <w:rFonts w:ascii="Arial" w:hAnsi="Arial" w:cs="Arial"/>
        </w:rPr>
      </w:pPr>
    </w:p>
    <w:p w14:paraId="619799DD" w14:textId="748B4BD9" w:rsidR="002252A3" w:rsidRPr="002F32E7" w:rsidRDefault="002252A3" w:rsidP="00C32AE8">
      <w:pPr>
        <w:spacing w:before="120" w:after="0" w:line="240" w:lineRule="auto"/>
        <w:rPr>
          <w:rFonts w:ascii="Arial" w:hAnsi="Arial" w:cs="Arial"/>
        </w:rPr>
      </w:pPr>
    </w:p>
    <w:p w14:paraId="288EC02E" w14:textId="1E99A5FD" w:rsidR="001A52D3" w:rsidRPr="002F32E7" w:rsidRDefault="002252A3" w:rsidP="002F535F">
      <w:pPr>
        <w:pStyle w:val="Prrafodelista"/>
        <w:numPr>
          <w:ilvl w:val="0"/>
          <w:numId w:val="11"/>
        </w:numPr>
        <w:spacing w:before="120"/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32E7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1450AA7" wp14:editId="2ABA76D1">
            <wp:simplePos x="0" y="0"/>
            <wp:positionH relativeFrom="margin">
              <wp:posOffset>2736850</wp:posOffset>
            </wp:positionH>
            <wp:positionV relativeFrom="paragraph">
              <wp:posOffset>29845</wp:posOffset>
            </wp:positionV>
            <wp:extent cx="3469640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66" y="21326"/>
                <wp:lineTo x="21466" y="0"/>
                <wp:lineTo x="0" y="0"/>
              </wp:wrapPolygon>
            </wp:wrapThrough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C2A46E1A-0EA0-4994-8C6D-416645A4F2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2D3" w:rsidRPr="002F32E7">
        <w:rPr>
          <w:rFonts w:ascii="Arial" w:hAnsi="Arial" w:cs="Arial"/>
          <w:kern w:val="24"/>
          <w:sz w:val="22"/>
          <w:szCs w:val="22"/>
        </w:rPr>
        <w:t xml:space="preserve">Es importante destacar que en el año 2022 se habría alcanzado una presión tributaria de 16,8%, porcentaje que excede en 0,8 puntos porcentuales al </w:t>
      </w:r>
      <w:r w:rsidR="002F535F" w:rsidRPr="002F32E7">
        <w:rPr>
          <w:rFonts w:ascii="Arial" w:hAnsi="Arial" w:cs="Arial"/>
          <w:kern w:val="24"/>
          <w:sz w:val="22"/>
          <w:szCs w:val="22"/>
        </w:rPr>
        <w:t>de</w:t>
      </w:r>
      <w:r w:rsidR="001A52D3" w:rsidRPr="002F32E7">
        <w:rPr>
          <w:rFonts w:ascii="Arial" w:hAnsi="Arial" w:cs="Arial"/>
          <w:kern w:val="24"/>
          <w:sz w:val="22"/>
          <w:szCs w:val="22"/>
        </w:rPr>
        <w:t xml:space="preserve"> 2021</w:t>
      </w:r>
      <w:r w:rsidR="002F535F" w:rsidRPr="002F32E7">
        <w:rPr>
          <w:rFonts w:ascii="Arial" w:hAnsi="Arial" w:cs="Arial"/>
          <w:kern w:val="24"/>
          <w:sz w:val="22"/>
          <w:szCs w:val="22"/>
        </w:rPr>
        <w:t xml:space="preserve">. Cabe precisar que este resultado </w:t>
      </w:r>
      <w:r w:rsidR="001A52D3" w:rsidRPr="002F32E7">
        <w:rPr>
          <w:rFonts w:ascii="Arial" w:hAnsi="Arial" w:cs="Arial"/>
          <w:kern w:val="24"/>
          <w:sz w:val="22"/>
          <w:szCs w:val="22"/>
        </w:rPr>
        <w:t xml:space="preserve">es el mayor nivel </w:t>
      </w:r>
      <w:r w:rsidR="002F535F" w:rsidRPr="002F32E7">
        <w:rPr>
          <w:rFonts w:ascii="Arial" w:hAnsi="Arial" w:cs="Arial"/>
          <w:kern w:val="24"/>
          <w:sz w:val="22"/>
          <w:szCs w:val="22"/>
        </w:rPr>
        <w:t xml:space="preserve">registrado </w:t>
      </w:r>
      <w:r w:rsidR="001A52D3" w:rsidRPr="002F32E7">
        <w:rPr>
          <w:rFonts w:ascii="Arial" w:hAnsi="Arial" w:cs="Arial"/>
          <w:kern w:val="24"/>
          <w:sz w:val="22"/>
          <w:szCs w:val="22"/>
        </w:rPr>
        <w:t>en el país desde el año 1980.</w:t>
      </w:r>
    </w:p>
    <w:p w14:paraId="6DAD4660" w14:textId="6DC1F264" w:rsidR="00343AE8" w:rsidRPr="00060830" w:rsidRDefault="00343AE8" w:rsidP="00C32AE8">
      <w:pPr>
        <w:spacing w:before="120" w:after="0" w:line="240" w:lineRule="auto"/>
        <w:rPr>
          <w:rFonts w:ascii="Arial Nova" w:hAnsi="Arial Nova" w:cs="Arial"/>
        </w:rPr>
      </w:pPr>
    </w:p>
    <w:p w14:paraId="71C1761D" w14:textId="29BEBAAE" w:rsidR="00D57CD9" w:rsidRPr="00060830" w:rsidRDefault="00D57CD9" w:rsidP="00C32AE8">
      <w:pPr>
        <w:spacing w:before="120" w:after="0" w:line="240" w:lineRule="auto"/>
        <w:ind w:left="284" w:hanging="218"/>
        <w:jc w:val="both"/>
        <w:rPr>
          <w:rFonts w:ascii="Arial Nova" w:hAnsi="Arial Nova" w:cs="Arial"/>
          <w:sz w:val="24"/>
          <w:szCs w:val="24"/>
        </w:rPr>
      </w:pPr>
    </w:p>
    <w:p w14:paraId="40A055DB" w14:textId="77777777" w:rsidR="00AA106A" w:rsidRDefault="00AA106A" w:rsidP="00C32AE8">
      <w:pPr>
        <w:spacing w:before="120" w:after="0" w:line="240" w:lineRule="auto"/>
        <w:ind w:left="501" w:hanging="218"/>
        <w:jc w:val="both"/>
        <w:rPr>
          <w:rFonts w:ascii="Arial Nova" w:eastAsia="Times New Roman" w:hAnsi="Arial Nova" w:cs="Arial"/>
          <w:b/>
          <w:bCs/>
          <w:color w:val="0070C0"/>
          <w:kern w:val="24"/>
          <w:lang w:eastAsia="es-PE"/>
        </w:rPr>
      </w:pPr>
    </w:p>
    <w:p w14:paraId="492C1D10" w14:textId="42626683" w:rsidR="00AA106A" w:rsidRDefault="00AA106A" w:rsidP="00C32AE8">
      <w:pPr>
        <w:spacing w:before="120" w:after="0" w:line="240" w:lineRule="auto"/>
        <w:ind w:left="501" w:hanging="218"/>
        <w:jc w:val="both"/>
        <w:rPr>
          <w:rFonts w:ascii="Arial Nova" w:eastAsia="Times New Roman" w:hAnsi="Arial Nova" w:cs="Arial"/>
          <w:b/>
          <w:bCs/>
          <w:color w:val="0070C0"/>
          <w:kern w:val="24"/>
          <w:lang w:eastAsia="es-PE"/>
        </w:rPr>
      </w:pPr>
    </w:p>
    <w:p w14:paraId="564ED913" w14:textId="7DE036F7" w:rsidR="00302542" w:rsidRPr="002F535F" w:rsidRDefault="00302542" w:rsidP="00C32AE8">
      <w:pPr>
        <w:spacing w:after="0" w:line="240" w:lineRule="auto"/>
        <w:ind w:left="501" w:hanging="218"/>
        <w:jc w:val="both"/>
        <w:rPr>
          <w:rFonts w:ascii="Arial" w:eastAsia="Times New Roman" w:hAnsi="Arial" w:cs="Arial"/>
          <w:b/>
          <w:bCs/>
          <w:color w:val="000000" w:themeColor="text1"/>
          <w:kern w:val="24"/>
          <w:lang w:eastAsia="es-PE"/>
        </w:rPr>
      </w:pPr>
      <w:r w:rsidRPr="002F535F">
        <w:rPr>
          <w:rFonts w:ascii="Arial" w:eastAsia="Times New Roman" w:hAnsi="Arial" w:cs="Arial"/>
          <w:b/>
          <w:bCs/>
          <w:color w:val="000000" w:themeColor="text1"/>
          <w:kern w:val="24"/>
          <w:lang w:eastAsia="es-PE"/>
        </w:rPr>
        <w:t xml:space="preserve">Factores determinantes del resultado de la recaudación del </w:t>
      </w:r>
      <w:r w:rsidR="00682E5D" w:rsidRPr="002F535F">
        <w:rPr>
          <w:rFonts w:ascii="Arial" w:eastAsia="Times New Roman" w:hAnsi="Arial" w:cs="Arial"/>
          <w:b/>
          <w:bCs/>
          <w:color w:val="000000" w:themeColor="text1"/>
          <w:kern w:val="24"/>
          <w:lang w:eastAsia="es-PE"/>
        </w:rPr>
        <w:t>año 2</w:t>
      </w:r>
      <w:r w:rsidRPr="002F535F">
        <w:rPr>
          <w:rFonts w:ascii="Arial" w:eastAsia="Times New Roman" w:hAnsi="Arial" w:cs="Arial"/>
          <w:b/>
          <w:bCs/>
          <w:color w:val="000000" w:themeColor="text1"/>
          <w:kern w:val="24"/>
          <w:lang w:eastAsia="es-PE"/>
        </w:rPr>
        <w:t>022:</w:t>
      </w:r>
    </w:p>
    <w:p w14:paraId="1DA99FEA" w14:textId="77777777" w:rsidR="00C32AE8" w:rsidRPr="002F535F" w:rsidRDefault="00C32AE8" w:rsidP="00C32AE8">
      <w:pPr>
        <w:spacing w:after="0" w:line="240" w:lineRule="auto"/>
        <w:ind w:left="501" w:hanging="218"/>
        <w:jc w:val="both"/>
        <w:rPr>
          <w:rFonts w:ascii="Arial" w:eastAsia="Times New Roman" w:hAnsi="Arial" w:cs="Arial"/>
          <w:b/>
          <w:bCs/>
          <w:color w:val="000000" w:themeColor="text1"/>
          <w:kern w:val="24"/>
          <w:lang w:eastAsia="es-PE"/>
        </w:rPr>
      </w:pPr>
    </w:p>
    <w:p w14:paraId="085BE11C" w14:textId="0F6882FE" w:rsidR="00B273D3" w:rsidRPr="002F535F" w:rsidRDefault="00682E5D" w:rsidP="00C32AE8">
      <w:pPr>
        <w:pStyle w:val="Prrafodelista"/>
        <w:numPr>
          <w:ilvl w:val="0"/>
          <w:numId w:val="13"/>
        </w:numPr>
        <w:ind w:left="283" w:hanging="215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El comportamiento positivo de la recaudación durante el año 2022 es fruto del efecto combinado de diversos factores, </w:t>
      </w:r>
      <w:r w:rsidR="006F0DC0" w:rsidRPr="002F535F">
        <w:rPr>
          <w:rFonts w:ascii="Arial" w:hAnsi="Arial" w:cs="Arial"/>
          <w:kern w:val="24"/>
          <w:sz w:val="22"/>
          <w:szCs w:val="22"/>
        </w:rPr>
        <w:t>positivos y negativos</w:t>
      </w:r>
      <w:r w:rsidR="00B273D3" w:rsidRPr="002F535F">
        <w:rPr>
          <w:rFonts w:ascii="Arial" w:hAnsi="Arial" w:cs="Arial"/>
          <w:kern w:val="24"/>
          <w:sz w:val="22"/>
          <w:szCs w:val="22"/>
        </w:rPr>
        <w:t xml:space="preserve">. </w:t>
      </w:r>
    </w:p>
    <w:p w14:paraId="3775F97B" w14:textId="77777777" w:rsidR="00C32AE8" w:rsidRPr="002F535F" w:rsidRDefault="00C32AE8" w:rsidP="00C32AE8">
      <w:pPr>
        <w:pStyle w:val="Prrafodelista"/>
        <w:ind w:left="283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1B66B953" w14:textId="43F0A7CB" w:rsidR="00682E5D" w:rsidRPr="002F535F" w:rsidRDefault="00B273D3" w:rsidP="00C32AE8">
      <w:pPr>
        <w:spacing w:after="0"/>
        <w:ind w:left="283"/>
        <w:jc w:val="both"/>
        <w:rPr>
          <w:rFonts w:ascii="Arial" w:hAnsi="Arial" w:cs="Arial"/>
          <w:kern w:val="24"/>
        </w:rPr>
      </w:pPr>
      <w:bookmarkStart w:id="0" w:name="_Hlk123652433"/>
      <w:r w:rsidRPr="002F535F">
        <w:rPr>
          <w:rFonts w:ascii="Arial" w:hAnsi="Arial" w:cs="Arial"/>
          <w:kern w:val="24"/>
        </w:rPr>
        <w:t xml:space="preserve">Entre los factores que favorecieron al incremento de la recaudación, </w:t>
      </w:r>
      <w:r w:rsidR="00682E5D" w:rsidRPr="002F535F">
        <w:rPr>
          <w:rFonts w:ascii="Arial" w:hAnsi="Arial" w:cs="Arial"/>
          <w:kern w:val="24"/>
        </w:rPr>
        <w:t>cabe mencionar a los siguientes:</w:t>
      </w:r>
    </w:p>
    <w:p w14:paraId="0261F4DC" w14:textId="77777777" w:rsidR="00C32AE8" w:rsidRPr="002F535F" w:rsidRDefault="00C32AE8" w:rsidP="00C32AE8">
      <w:pPr>
        <w:spacing w:after="0"/>
        <w:ind w:left="283"/>
        <w:jc w:val="both"/>
        <w:rPr>
          <w:rFonts w:ascii="Arial" w:hAnsi="Arial" w:cs="Arial"/>
          <w:kern w:val="24"/>
        </w:rPr>
      </w:pPr>
    </w:p>
    <w:p w14:paraId="364F025F" w14:textId="698FA432" w:rsidR="000407E2" w:rsidRPr="002F535F" w:rsidRDefault="00060830" w:rsidP="000407E2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Los ingresos provenientes de la recaudación </w:t>
      </w:r>
      <w:r w:rsidR="002F535F" w:rsidRPr="002F535F">
        <w:rPr>
          <w:rFonts w:ascii="Arial" w:hAnsi="Arial" w:cs="Arial"/>
          <w:kern w:val="24"/>
          <w:sz w:val="22"/>
          <w:szCs w:val="22"/>
        </w:rPr>
        <w:t xml:space="preserve">de </w:t>
      </w:r>
      <w:r w:rsidR="0017495C" w:rsidRPr="002F535F">
        <w:rPr>
          <w:rFonts w:ascii="Arial" w:hAnsi="Arial" w:cs="Arial"/>
          <w:kern w:val="24"/>
          <w:sz w:val="22"/>
          <w:szCs w:val="22"/>
        </w:rPr>
        <w:t>la campaña de regularización del ejercicio 2021</w:t>
      </w:r>
      <w:r w:rsidRPr="002F535F">
        <w:rPr>
          <w:rFonts w:ascii="Arial" w:hAnsi="Arial" w:cs="Arial"/>
          <w:kern w:val="24"/>
          <w:sz w:val="22"/>
          <w:szCs w:val="22"/>
        </w:rPr>
        <w:t>, que se pagó en el año 2022 y alcanzó un récord histórico</w:t>
      </w:r>
      <w:r w:rsidR="00627925" w:rsidRPr="002F535F">
        <w:rPr>
          <w:rFonts w:ascii="Arial" w:hAnsi="Arial" w:cs="Arial"/>
          <w:kern w:val="24"/>
          <w:sz w:val="22"/>
          <w:szCs w:val="22"/>
        </w:rPr>
        <w:t>. A lo anterior se une que los resultados del ejercicio 2021</w:t>
      </w:r>
      <w:r w:rsidR="00604A54" w:rsidRPr="002F535F">
        <w:rPr>
          <w:rFonts w:ascii="Arial" w:hAnsi="Arial" w:cs="Arial"/>
          <w:kern w:val="24"/>
          <w:sz w:val="22"/>
          <w:szCs w:val="22"/>
        </w:rPr>
        <w:t xml:space="preserve"> sirvieron para establecer un incremento en los coeficientes de pagos a cuenta empleados durante el año 2022 y </w:t>
      </w:r>
      <w:r w:rsidR="0017495C" w:rsidRPr="002F535F">
        <w:rPr>
          <w:rFonts w:ascii="Arial" w:hAnsi="Arial" w:cs="Arial"/>
          <w:kern w:val="24"/>
          <w:sz w:val="22"/>
          <w:szCs w:val="22"/>
        </w:rPr>
        <w:t>menores saldos a favor del contribuyente</w:t>
      </w:r>
      <w:r w:rsidR="000D7B03" w:rsidRPr="002F535F">
        <w:rPr>
          <w:rFonts w:ascii="Arial" w:hAnsi="Arial" w:cs="Arial"/>
          <w:kern w:val="24"/>
          <w:sz w:val="22"/>
          <w:szCs w:val="22"/>
        </w:rPr>
        <w:t>;</w:t>
      </w:r>
    </w:p>
    <w:p w14:paraId="6FCBFD76" w14:textId="77777777" w:rsidR="000407E2" w:rsidRDefault="000407E2" w:rsidP="000407E2">
      <w:pPr>
        <w:pStyle w:val="Prrafodelista"/>
        <w:ind w:left="643"/>
        <w:jc w:val="both"/>
        <w:rPr>
          <w:rFonts w:ascii="Arial Nova" w:hAnsi="Arial Nova" w:cs="Arial"/>
          <w:kern w:val="24"/>
        </w:rPr>
      </w:pPr>
    </w:p>
    <w:p w14:paraId="62A213D5" w14:textId="59BF100C" w:rsidR="0017495C" w:rsidRPr="002F535F" w:rsidRDefault="0017495C" w:rsidP="000407E2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>Los resultados</w:t>
      </w:r>
      <w:r w:rsidR="002F535F" w:rsidRPr="002F535F">
        <w:rPr>
          <w:rFonts w:ascii="Arial" w:hAnsi="Arial" w:cs="Arial"/>
          <w:kern w:val="24"/>
          <w:sz w:val="22"/>
          <w:szCs w:val="22"/>
        </w:rPr>
        <w:t xml:space="preserve"> positivos</w:t>
      </w:r>
      <w:r w:rsidRPr="002F535F">
        <w:rPr>
          <w:rFonts w:ascii="Arial" w:hAnsi="Arial" w:cs="Arial"/>
          <w:kern w:val="24"/>
          <w:sz w:val="22"/>
          <w:szCs w:val="22"/>
        </w:rPr>
        <w:t xml:space="preserve"> de la actividad económica con un crecimiento del PBI y la </w:t>
      </w:r>
      <w:r w:rsidR="006F0EE4">
        <w:rPr>
          <w:rFonts w:ascii="Arial" w:hAnsi="Arial" w:cs="Arial"/>
          <w:kern w:val="24"/>
          <w:sz w:val="22"/>
          <w:szCs w:val="22"/>
        </w:rPr>
        <w:t>d</w:t>
      </w:r>
      <w:r w:rsidRPr="002F535F">
        <w:rPr>
          <w:rFonts w:ascii="Arial" w:hAnsi="Arial" w:cs="Arial"/>
          <w:kern w:val="24"/>
          <w:sz w:val="22"/>
          <w:szCs w:val="22"/>
        </w:rPr>
        <w:t xml:space="preserve">emanda </w:t>
      </w:r>
      <w:r w:rsidR="006F0EE4">
        <w:rPr>
          <w:rFonts w:ascii="Arial" w:hAnsi="Arial" w:cs="Arial"/>
          <w:kern w:val="24"/>
          <w:sz w:val="22"/>
          <w:szCs w:val="22"/>
        </w:rPr>
        <w:t>i</w:t>
      </w:r>
      <w:r w:rsidRPr="002F535F">
        <w:rPr>
          <w:rFonts w:ascii="Arial" w:hAnsi="Arial" w:cs="Arial"/>
          <w:kern w:val="24"/>
          <w:sz w:val="22"/>
          <w:szCs w:val="22"/>
        </w:rPr>
        <w:t xml:space="preserve">nterna de alrededor de 3,0%. Asimismo, destacó el dinamismo registrado por las importaciones que crecieron </w:t>
      </w:r>
      <w:r w:rsidR="00AB3F8E" w:rsidRPr="002F535F">
        <w:rPr>
          <w:rFonts w:ascii="Arial" w:hAnsi="Arial" w:cs="Arial"/>
          <w:kern w:val="24"/>
          <w:sz w:val="22"/>
          <w:szCs w:val="22"/>
        </w:rPr>
        <w:t>18,2%</w:t>
      </w:r>
      <w:r w:rsidRPr="002F535F">
        <w:rPr>
          <w:rFonts w:ascii="Arial" w:hAnsi="Arial" w:cs="Arial"/>
          <w:kern w:val="24"/>
          <w:sz w:val="22"/>
          <w:szCs w:val="22"/>
        </w:rPr>
        <w:t xml:space="preserve"> en US$, mientras que el tipo de cambio se ubicó en S/</w:t>
      </w:r>
      <w:r w:rsidR="002F535F">
        <w:rPr>
          <w:rFonts w:ascii="Arial" w:hAnsi="Arial" w:cs="Arial"/>
          <w:kern w:val="24"/>
          <w:sz w:val="22"/>
          <w:szCs w:val="22"/>
        </w:rPr>
        <w:t xml:space="preserve"> </w:t>
      </w:r>
      <w:r w:rsidRPr="002F535F">
        <w:rPr>
          <w:rFonts w:ascii="Arial" w:hAnsi="Arial" w:cs="Arial"/>
          <w:kern w:val="24"/>
          <w:sz w:val="22"/>
          <w:szCs w:val="22"/>
        </w:rPr>
        <w:t xml:space="preserve">3,84 </w:t>
      </w:r>
      <w:r w:rsidR="006F0EE4">
        <w:rPr>
          <w:rFonts w:ascii="Arial" w:hAnsi="Arial" w:cs="Arial"/>
          <w:kern w:val="24"/>
          <w:sz w:val="22"/>
          <w:szCs w:val="22"/>
        </w:rPr>
        <w:t>por dólar</w:t>
      </w:r>
      <w:r w:rsidRPr="002F535F">
        <w:rPr>
          <w:rFonts w:ascii="Arial" w:hAnsi="Arial" w:cs="Arial"/>
          <w:kern w:val="24"/>
          <w:sz w:val="22"/>
          <w:szCs w:val="22"/>
        </w:rPr>
        <w:t xml:space="preserve"> (-1,1%)</w:t>
      </w:r>
      <w:r w:rsidR="000D7B03" w:rsidRPr="002F535F">
        <w:rPr>
          <w:rFonts w:ascii="Arial" w:hAnsi="Arial" w:cs="Arial"/>
          <w:kern w:val="24"/>
          <w:sz w:val="22"/>
          <w:szCs w:val="22"/>
        </w:rPr>
        <w:t>;</w:t>
      </w:r>
    </w:p>
    <w:p w14:paraId="0E92506B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2F875AC6" w14:textId="3DA8A664" w:rsidR="000407E2" w:rsidRPr="002F535F" w:rsidRDefault="0017495C" w:rsidP="000407E2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lastRenderedPageBreak/>
        <w:t xml:space="preserve">Las cotizaciones </w:t>
      </w:r>
      <w:r w:rsidR="002F535F">
        <w:rPr>
          <w:rFonts w:ascii="Arial" w:hAnsi="Arial" w:cs="Arial"/>
          <w:kern w:val="24"/>
          <w:sz w:val="22"/>
          <w:szCs w:val="22"/>
        </w:rPr>
        <w:t xml:space="preserve">favorables </w:t>
      </w:r>
      <w:r w:rsidRPr="002F535F">
        <w:rPr>
          <w:rFonts w:ascii="Arial" w:hAnsi="Arial" w:cs="Arial"/>
          <w:kern w:val="24"/>
          <w:sz w:val="22"/>
          <w:szCs w:val="22"/>
        </w:rPr>
        <w:t xml:space="preserve">de los 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principales productos exportados por la economía nacional, </w:t>
      </w:r>
      <w:r w:rsidRPr="002F535F">
        <w:rPr>
          <w:rFonts w:ascii="Arial" w:hAnsi="Arial" w:cs="Arial"/>
          <w:kern w:val="24"/>
          <w:sz w:val="22"/>
          <w:szCs w:val="22"/>
        </w:rPr>
        <w:t xml:space="preserve">en especial el 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gas natural, el petróleo y metales </w:t>
      </w:r>
      <w:r w:rsidRPr="002F535F">
        <w:rPr>
          <w:rFonts w:ascii="Arial" w:hAnsi="Arial" w:cs="Arial"/>
          <w:kern w:val="24"/>
          <w:sz w:val="22"/>
          <w:szCs w:val="22"/>
        </w:rPr>
        <w:t>como el cobre</w:t>
      </w:r>
      <w:r w:rsidR="00060830" w:rsidRPr="002F535F">
        <w:rPr>
          <w:rFonts w:ascii="Arial" w:hAnsi="Arial" w:cs="Arial"/>
          <w:kern w:val="24"/>
          <w:sz w:val="22"/>
          <w:szCs w:val="22"/>
        </w:rPr>
        <w:t>,</w:t>
      </w:r>
      <w:r w:rsidRPr="002F535F">
        <w:rPr>
          <w:rFonts w:ascii="Arial" w:hAnsi="Arial" w:cs="Arial"/>
          <w:kern w:val="24"/>
          <w:sz w:val="22"/>
          <w:szCs w:val="22"/>
        </w:rPr>
        <w:t xml:space="preserve"> que mantuvieron niveles elevados</w:t>
      </w:r>
      <w:r w:rsidR="00060830" w:rsidRPr="002F535F">
        <w:rPr>
          <w:rFonts w:ascii="Arial" w:hAnsi="Arial" w:cs="Arial"/>
          <w:kern w:val="24"/>
          <w:sz w:val="22"/>
          <w:szCs w:val="22"/>
        </w:rPr>
        <w:t xml:space="preserve"> y con ello generaron un </w:t>
      </w:r>
      <w:r w:rsidRPr="002F535F">
        <w:rPr>
          <w:rFonts w:ascii="Arial" w:hAnsi="Arial" w:cs="Arial"/>
          <w:kern w:val="24"/>
          <w:sz w:val="22"/>
          <w:szCs w:val="22"/>
        </w:rPr>
        <w:t xml:space="preserve">mayor aporte recaudatorio </w:t>
      </w:r>
      <w:r w:rsidR="00060830" w:rsidRPr="002F535F">
        <w:rPr>
          <w:rFonts w:ascii="Arial" w:hAnsi="Arial" w:cs="Arial"/>
          <w:kern w:val="24"/>
          <w:sz w:val="22"/>
          <w:szCs w:val="22"/>
        </w:rPr>
        <w:t>en los sectores relacionados</w:t>
      </w:r>
      <w:r w:rsidR="00245A4D" w:rsidRPr="002F535F">
        <w:rPr>
          <w:rFonts w:ascii="Arial" w:hAnsi="Arial" w:cs="Arial"/>
          <w:kern w:val="24"/>
          <w:sz w:val="22"/>
          <w:szCs w:val="22"/>
        </w:rPr>
        <w:t>;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 y</w:t>
      </w:r>
    </w:p>
    <w:p w14:paraId="76B22B7A" w14:textId="77777777" w:rsidR="000407E2" w:rsidRPr="002F535F" w:rsidRDefault="000407E2" w:rsidP="000407E2">
      <w:pPr>
        <w:pStyle w:val="Prrafodelista"/>
        <w:rPr>
          <w:rFonts w:ascii="Arial" w:hAnsi="Arial" w:cs="Arial"/>
          <w:color w:val="FF0000"/>
          <w:kern w:val="24"/>
          <w:sz w:val="22"/>
          <w:szCs w:val="22"/>
        </w:rPr>
      </w:pPr>
    </w:p>
    <w:p w14:paraId="5D9D6AF3" w14:textId="77777777" w:rsidR="00681AF0" w:rsidRDefault="000407E2" w:rsidP="000407E2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>La</w:t>
      </w:r>
      <w:r w:rsidR="000A69BE"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s acciones llevadas a cabo por la SUNAT orientadas a la facilitación y simplificación </w:t>
      </w:r>
      <w:r w:rsidR="00681AF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que </w:t>
      </w:r>
      <w:r w:rsidR="000A69BE"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>se sustentan en la gestión de riesgo</w:t>
      </w:r>
      <w:r w:rsidR="00681AF0">
        <w:rPr>
          <w:rFonts w:ascii="Arial" w:hAnsi="Arial" w:cs="Arial"/>
          <w:color w:val="000000" w:themeColor="text1"/>
          <w:kern w:val="24"/>
          <w:sz w:val="22"/>
          <w:szCs w:val="22"/>
        </w:rPr>
        <w:t>s</w:t>
      </w:r>
      <w:r w:rsidR="000A69BE"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masivo</w:t>
      </w:r>
      <w:r w:rsidR="00681AF0">
        <w:rPr>
          <w:rFonts w:ascii="Arial" w:hAnsi="Arial" w:cs="Arial"/>
          <w:color w:val="000000" w:themeColor="text1"/>
          <w:kern w:val="24"/>
          <w:sz w:val="22"/>
          <w:szCs w:val="22"/>
        </w:rPr>
        <w:t>s</w:t>
      </w:r>
      <w:r w:rsidR="000A69BE"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del incumplimiento, la transformación digital, la fiscalidad internacional y el cumplimiento colaborativo. </w:t>
      </w:r>
    </w:p>
    <w:p w14:paraId="7B1CE5CF" w14:textId="77777777" w:rsidR="00681AF0" w:rsidRPr="00681AF0" w:rsidRDefault="00681AF0" w:rsidP="00681AF0">
      <w:pPr>
        <w:pStyle w:val="Prrafodelista"/>
        <w:rPr>
          <w:rFonts w:ascii="Arial" w:hAnsi="Arial" w:cs="Arial"/>
          <w:color w:val="000000" w:themeColor="text1"/>
          <w:kern w:val="24"/>
          <w:sz w:val="22"/>
          <w:szCs w:val="22"/>
        </w:rPr>
      </w:pPr>
    </w:p>
    <w:p w14:paraId="791849A2" w14:textId="11D78B2E" w:rsidR="000A69BE" w:rsidRPr="002F535F" w:rsidRDefault="000A69BE" w:rsidP="00681AF0">
      <w:pPr>
        <w:pStyle w:val="Prrafodelista"/>
        <w:ind w:left="643"/>
        <w:jc w:val="both"/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2F535F">
        <w:rPr>
          <w:rFonts w:ascii="Arial" w:hAnsi="Arial" w:cs="Arial"/>
          <w:color w:val="000000" w:themeColor="text1"/>
          <w:kern w:val="24"/>
          <w:sz w:val="22"/>
          <w:szCs w:val="22"/>
        </w:rPr>
        <w:t>Entre las medidas más resaltantes se encuentran la masificación completa del uso de comprobantes de pago electrónico, el desarrollo de programas selectivos y masivos de control tributario siguiendo el modelo internacional de gestión de riesgos, el empleo de la información proveniente de los intercambios internacionales, y la difusión y discusión de esquemas de planificación de alto riesgo fiscal para prevenir la elusión tributaria.</w:t>
      </w:r>
    </w:p>
    <w:bookmarkEnd w:id="0"/>
    <w:p w14:paraId="1CDF57BA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1BD167A8" w14:textId="5FCB8D4B" w:rsidR="00B273D3" w:rsidRPr="002F535F" w:rsidRDefault="00B273D3" w:rsidP="00C32AE8">
      <w:pPr>
        <w:spacing w:after="0"/>
        <w:ind w:left="283"/>
        <w:jc w:val="both"/>
        <w:rPr>
          <w:rFonts w:ascii="Arial" w:hAnsi="Arial" w:cs="Arial"/>
          <w:kern w:val="24"/>
        </w:rPr>
      </w:pPr>
      <w:r w:rsidRPr="002F535F">
        <w:rPr>
          <w:rFonts w:ascii="Arial" w:hAnsi="Arial" w:cs="Arial"/>
          <w:kern w:val="24"/>
        </w:rPr>
        <w:t xml:space="preserve">En contraste, </w:t>
      </w:r>
      <w:r w:rsidR="000D7B03" w:rsidRPr="002F535F">
        <w:rPr>
          <w:rFonts w:ascii="Arial" w:hAnsi="Arial" w:cs="Arial"/>
          <w:kern w:val="24"/>
        </w:rPr>
        <w:t>entre los</w:t>
      </w:r>
      <w:r w:rsidRPr="002F535F">
        <w:rPr>
          <w:rFonts w:ascii="Arial" w:hAnsi="Arial" w:cs="Arial"/>
          <w:kern w:val="24"/>
        </w:rPr>
        <w:t xml:space="preserve"> principales factores que afectaron </w:t>
      </w:r>
      <w:r w:rsidR="00604A54" w:rsidRPr="002F535F">
        <w:rPr>
          <w:rFonts w:ascii="Arial" w:hAnsi="Arial" w:cs="Arial"/>
          <w:kern w:val="24"/>
        </w:rPr>
        <w:t xml:space="preserve">negativamente </w:t>
      </w:r>
      <w:r w:rsidRPr="002F535F">
        <w:rPr>
          <w:rFonts w:ascii="Arial" w:hAnsi="Arial" w:cs="Arial"/>
          <w:kern w:val="24"/>
        </w:rPr>
        <w:t xml:space="preserve">a la recaudación se puede </w:t>
      </w:r>
      <w:r w:rsidR="00022FDB" w:rsidRPr="002F535F">
        <w:rPr>
          <w:rFonts w:ascii="Arial" w:hAnsi="Arial" w:cs="Arial"/>
          <w:kern w:val="24"/>
        </w:rPr>
        <w:t>listar</w:t>
      </w:r>
      <w:r w:rsidRPr="002F535F">
        <w:rPr>
          <w:rFonts w:ascii="Arial" w:hAnsi="Arial" w:cs="Arial"/>
          <w:kern w:val="24"/>
        </w:rPr>
        <w:t xml:space="preserve"> a los siguientes: </w:t>
      </w:r>
    </w:p>
    <w:p w14:paraId="1EF85628" w14:textId="77777777" w:rsidR="000407E2" w:rsidRPr="002F535F" w:rsidRDefault="000407E2" w:rsidP="00C32AE8">
      <w:pPr>
        <w:spacing w:after="0"/>
        <w:ind w:left="283"/>
        <w:jc w:val="both"/>
        <w:rPr>
          <w:rFonts w:ascii="Arial" w:hAnsi="Arial" w:cs="Arial"/>
          <w:kern w:val="24"/>
        </w:rPr>
      </w:pPr>
    </w:p>
    <w:p w14:paraId="255D3194" w14:textId="00BCAD40" w:rsidR="0017495C" w:rsidRPr="002F535F" w:rsidRDefault="0017495C" w:rsidP="000407E2">
      <w:pPr>
        <w:pStyle w:val="Prrafodelista"/>
        <w:numPr>
          <w:ilvl w:val="1"/>
          <w:numId w:val="17"/>
        </w:numPr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>El efecto estadístico adverso debido a la mayor base de comparación</w:t>
      </w:r>
      <w:r w:rsidR="000D7B03" w:rsidRPr="002F535F">
        <w:rPr>
          <w:rFonts w:ascii="Arial" w:hAnsi="Arial" w:cs="Arial"/>
          <w:kern w:val="24"/>
          <w:sz w:val="22"/>
          <w:szCs w:val="22"/>
        </w:rPr>
        <w:t>,</w:t>
      </w:r>
      <w:r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D73621" w:rsidRPr="002F535F">
        <w:rPr>
          <w:rFonts w:ascii="Arial" w:hAnsi="Arial" w:cs="Arial"/>
          <w:kern w:val="24"/>
          <w:sz w:val="22"/>
          <w:szCs w:val="22"/>
        </w:rPr>
        <w:t>generad</w:t>
      </w:r>
      <w:r w:rsidR="00681AF0">
        <w:rPr>
          <w:rFonts w:ascii="Arial" w:hAnsi="Arial" w:cs="Arial"/>
          <w:kern w:val="24"/>
          <w:sz w:val="22"/>
          <w:szCs w:val="22"/>
        </w:rPr>
        <w:t>a</w:t>
      </w:r>
      <w:r w:rsidR="00D73621" w:rsidRPr="002F535F">
        <w:rPr>
          <w:rFonts w:ascii="Arial" w:hAnsi="Arial" w:cs="Arial"/>
          <w:kern w:val="24"/>
          <w:sz w:val="22"/>
          <w:szCs w:val="22"/>
        </w:rPr>
        <w:t xml:space="preserve"> por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 los </w:t>
      </w:r>
      <w:r w:rsidRPr="002F535F">
        <w:rPr>
          <w:rFonts w:ascii="Arial" w:hAnsi="Arial" w:cs="Arial"/>
          <w:kern w:val="24"/>
          <w:sz w:val="22"/>
          <w:szCs w:val="22"/>
        </w:rPr>
        <w:t xml:space="preserve">pagos extraordinarios </w:t>
      </w:r>
      <w:r w:rsidR="000D7B03" w:rsidRPr="002F535F">
        <w:rPr>
          <w:rFonts w:ascii="Arial" w:hAnsi="Arial" w:cs="Arial"/>
          <w:kern w:val="24"/>
          <w:sz w:val="22"/>
          <w:szCs w:val="22"/>
        </w:rPr>
        <w:t>obtenidos en el año 2021 por</w:t>
      </w:r>
      <w:r w:rsidRPr="002F535F">
        <w:rPr>
          <w:rFonts w:ascii="Arial" w:hAnsi="Arial" w:cs="Arial"/>
          <w:kern w:val="24"/>
          <w:sz w:val="22"/>
          <w:szCs w:val="22"/>
        </w:rPr>
        <w:t xml:space="preserve"> S/ 8 245 millones </w:t>
      </w:r>
      <w:r w:rsidR="000D7B03" w:rsidRPr="002F535F">
        <w:rPr>
          <w:rFonts w:ascii="Arial" w:hAnsi="Arial" w:cs="Arial"/>
          <w:kern w:val="24"/>
          <w:sz w:val="22"/>
          <w:szCs w:val="22"/>
        </w:rPr>
        <w:t>en comparación a los aproximadamente</w:t>
      </w:r>
      <w:r w:rsidRPr="002F535F">
        <w:rPr>
          <w:rFonts w:ascii="Arial" w:hAnsi="Arial" w:cs="Arial"/>
          <w:kern w:val="24"/>
          <w:sz w:val="22"/>
          <w:szCs w:val="22"/>
        </w:rPr>
        <w:t xml:space="preserve"> S/ 3 000 millones obtenidos en el año 2022;</w:t>
      </w:r>
    </w:p>
    <w:p w14:paraId="68D8FBB1" w14:textId="77777777" w:rsidR="000407E2" w:rsidRPr="002F535F" w:rsidRDefault="000407E2" w:rsidP="000407E2">
      <w:pPr>
        <w:pStyle w:val="Prrafodelista"/>
        <w:ind w:left="643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1823CD1E" w14:textId="38AC16CC" w:rsidR="00022FDB" w:rsidRPr="002F535F" w:rsidRDefault="00022FDB" w:rsidP="000407E2">
      <w:pPr>
        <w:pStyle w:val="Prrafodelista"/>
        <w:numPr>
          <w:ilvl w:val="1"/>
          <w:numId w:val="17"/>
        </w:numPr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El impacto 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generado por algunas medidas tributarias adoptadas durante el año 2022, </w:t>
      </w:r>
      <w:r w:rsidRPr="002F535F">
        <w:rPr>
          <w:rFonts w:ascii="Arial" w:hAnsi="Arial" w:cs="Arial"/>
          <w:kern w:val="24"/>
          <w:sz w:val="22"/>
          <w:szCs w:val="22"/>
        </w:rPr>
        <w:t xml:space="preserve">siendo las más </w:t>
      </w:r>
      <w:r w:rsidR="000D7B03" w:rsidRPr="002F535F">
        <w:rPr>
          <w:rFonts w:ascii="Arial" w:hAnsi="Arial" w:cs="Arial"/>
          <w:kern w:val="24"/>
          <w:sz w:val="22"/>
          <w:szCs w:val="22"/>
        </w:rPr>
        <w:t>importantes</w:t>
      </w:r>
      <w:r w:rsidRPr="002F535F">
        <w:rPr>
          <w:rFonts w:ascii="Arial" w:hAnsi="Arial" w:cs="Arial"/>
          <w:kern w:val="24"/>
          <w:sz w:val="22"/>
          <w:szCs w:val="22"/>
        </w:rPr>
        <w:t xml:space="preserve"> el D.S </w:t>
      </w:r>
      <w:proofErr w:type="spellStart"/>
      <w:r w:rsidRPr="002F535F">
        <w:rPr>
          <w:rFonts w:ascii="Arial" w:hAnsi="Arial" w:cs="Arial"/>
          <w:kern w:val="24"/>
          <w:sz w:val="22"/>
          <w:szCs w:val="22"/>
        </w:rPr>
        <w:t>N°</w:t>
      </w:r>
      <w:proofErr w:type="spellEnd"/>
      <w:r w:rsidRPr="002F535F">
        <w:rPr>
          <w:rFonts w:ascii="Arial" w:hAnsi="Arial" w:cs="Arial"/>
          <w:kern w:val="24"/>
          <w:sz w:val="22"/>
          <w:szCs w:val="22"/>
        </w:rPr>
        <w:t xml:space="preserve"> 068-2022-EF que excluyó temporalmente de la aplicación del ISC a las gasolinas menores de 95 octanos y </w:t>
      </w:r>
      <w:r w:rsidR="00CA0EDE">
        <w:rPr>
          <w:rFonts w:ascii="Arial" w:hAnsi="Arial" w:cs="Arial"/>
          <w:kern w:val="24"/>
          <w:sz w:val="22"/>
          <w:szCs w:val="22"/>
        </w:rPr>
        <w:t>d</w:t>
      </w:r>
      <w:r w:rsidR="00CA0EDE" w:rsidRPr="002F535F">
        <w:rPr>
          <w:rFonts w:ascii="Arial" w:hAnsi="Arial" w:cs="Arial"/>
          <w:kern w:val="24"/>
          <w:sz w:val="22"/>
          <w:szCs w:val="22"/>
        </w:rPr>
        <w:t>iésel</w:t>
      </w:r>
      <w:r w:rsidRPr="002F535F">
        <w:rPr>
          <w:rFonts w:ascii="Arial" w:hAnsi="Arial" w:cs="Arial"/>
          <w:kern w:val="24"/>
          <w:sz w:val="22"/>
          <w:szCs w:val="22"/>
        </w:rPr>
        <w:t xml:space="preserve">; la Ley </w:t>
      </w:r>
      <w:proofErr w:type="spellStart"/>
      <w:r w:rsidRPr="002F535F">
        <w:rPr>
          <w:rFonts w:ascii="Arial" w:hAnsi="Arial" w:cs="Arial"/>
          <w:kern w:val="24"/>
          <w:sz w:val="22"/>
          <w:szCs w:val="22"/>
        </w:rPr>
        <w:t>N°</w:t>
      </w:r>
      <w:proofErr w:type="spellEnd"/>
      <w:r w:rsidRPr="002F535F">
        <w:rPr>
          <w:rFonts w:ascii="Arial" w:hAnsi="Arial" w:cs="Arial"/>
          <w:kern w:val="24"/>
          <w:sz w:val="22"/>
          <w:szCs w:val="22"/>
        </w:rPr>
        <w:t xml:space="preserve"> 31452 que exoneró temporalmente del IGV a un grupo de productos de la canasta básica y la Ley </w:t>
      </w:r>
      <w:proofErr w:type="spellStart"/>
      <w:r w:rsidRPr="002F535F">
        <w:rPr>
          <w:rFonts w:ascii="Arial" w:hAnsi="Arial" w:cs="Arial"/>
          <w:kern w:val="24"/>
          <w:sz w:val="22"/>
          <w:szCs w:val="22"/>
        </w:rPr>
        <w:t>N°</w:t>
      </w:r>
      <w:proofErr w:type="spellEnd"/>
      <w:r w:rsidRPr="002F535F">
        <w:rPr>
          <w:rFonts w:ascii="Arial" w:hAnsi="Arial" w:cs="Arial"/>
          <w:kern w:val="24"/>
          <w:sz w:val="22"/>
          <w:szCs w:val="22"/>
        </w:rPr>
        <w:t xml:space="preserve"> 31556 que fijó una tasa especial y temporal de IGV de 8%</w:t>
      </w:r>
      <w:r w:rsidR="00681AF0">
        <w:rPr>
          <w:rFonts w:ascii="Arial" w:hAnsi="Arial" w:cs="Arial"/>
          <w:kern w:val="24"/>
          <w:sz w:val="22"/>
          <w:szCs w:val="22"/>
        </w:rPr>
        <w:t>,</w:t>
      </w:r>
      <w:r w:rsidRPr="002F535F">
        <w:rPr>
          <w:rFonts w:ascii="Arial" w:hAnsi="Arial" w:cs="Arial"/>
          <w:kern w:val="24"/>
          <w:sz w:val="22"/>
          <w:szCs w:val="22"/>
        </w:rPr>
        <w:t xml:space="preserve"> a</w:t>
      </w:r>
      <w:r w:rsidR="000D7B03" w:rsidRPr="002F535F">
        <w:rPr>
          <w:rFonts w:ascii="Arial" w:hAnsi="Arial" w:cs="Arial"/>
          <w:kern w:val="24"/>
          <w:sz w:val="22"/>
          <w:szCs w:val="22"/>
        </w:rPr>
        <w:t xml:space="preserve">plicable a las ventas realizadas por las </w:t>
      </w:r>
      <w:r w:rsidRPr="002F535F">
        <w:rPr>
          <w:rFonts w:ascii="Arial" w:hAnsi="Arial" w:cs="Arial"/>
          <w:kern w:val="24"/>
          <w:sz w:val="22"/>
          <w:szCs w:val="22"/>
        </w:rPr>
        <w:t>MYPES dedicadas a los servicios de restaurantes, hoteles y alojamientos turísticos</w:t>
      </w:r>
      <w:r w:rsidR="000D7B03" w:rsidRPr="002F535F">
        <w:rPr>
          <w:rFonts w:ascii="Arial" w:hAnsi="Arial" w:cs="Arial"/>
          <w:kern w:val="24"/>
          <w:sz w:val="22"/>
          <w:szCs w:val="22"/>
        </w:rPr>
        <w:t>, y</w:t>
      </w:r>
    </w:p>
    <w:p w14:paraId="6C786F2C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0343CE9D" w14:textId="1D840A01" w:rsidR="0017495C" w:rsidRPr="002F535F" w:rsidRDefault="0017495C" w:rsidP="000407E2">
      <w:pPr>
        <w:pStyle w:val="Prrafodelista"/>
        <w:numPr>
          <w:ilvl w:val="1"/>
          <w:numId w:val="17"/>
        </w:numPr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>Las mayores devoluciones de impuestos realizadas durante el año 2022</w:t>
      </w:r>
      <w:r w:rsidR="00024955" w:rsidRPr="002F535F">
        <w:rPr>
          <w:rFonts w:ascii="Arial" w:hAnsi="Arial" w:cs="Arial"/>
          <w:kern w:val="24"/>
          <w:sz w:val="22"/>
          <w:szCs w:val="22"/>
        </w:rPr>
        <w:t>, las mismas</w:t>
      </w:r>
      <w:r w:rsidRPr="002F535F">
        <w:rPr>
          <w:rFonts w:ascii="Arial" w:hAnsi="Arial" w:cs="Arial"/>
          <w:kern w:val="24"/>
          <w:sz w:val="22"/>
          <w:szCs w:val="22"/>
        </w:rPr>
        <w:t xml:space="preserve"> que crecieron 20</w:t>
      </w:r>
      <w:r w:rsidR="00C07566" w:rsidRPr="002F535F">
        <w:rPr>
          <w:rFonts w:ascii="Arial" w:hAnsi="Arial" w:cs="Arial"/>
          <w:kern w:val="24"/>
          <w:sz w:val="22"/>
          <w:szCs w:val="22"/>
        </w:rPr>
        <w:t>,1</w:t>
      </w:r>
      <w:r w:rsidRPr="002F535F">
        <w:rPr>
          <w:rFonts w:ascii="Arial" w:hAnsi="Arial" w:cs="Arial"/>
          <w:kern w:val="24"/>
          <w:sz w:val="22"/>
          <w:szCs w:val="22"/>
        </w:rPr>
        <w:t xml:space="preserve">% </w:t>
      </w:r>
      <w:r w:rsidR="00022FDB" w:rsidRPr="002F535F">
        <w:rPr>
          <w:rFonts w:ascii="Arial" w:hAnsi="Arial" w:cs="Arial"/>
          <w:kern w:val="24"/>
          <w:sz w:val="22"/>
          <w:szCs w:val="22"/>
        </w:rPr>
        <w:t xml:space="preserve">con respecto al año 2021 </w:t>
      </w:r>
      <w:r w:rsidRPr="002F535F">
        <w:rPr>
          <w:rFonts w:ascii="Arial" w:hAnsi="Arial" w:cs="Arial"/>
          <w:kern w:val="24"/>
          <w:sz w:val="22"/>
          <w:szCs w:val="22"/>
        </w:rPr>
        <w:t xml:space="preserve">y excedieron en S/ </w:t>
      </w:r>
      <w:r w:rsidR="00472288" w:rsidRPr="002F535F">
        <w:rPr>
          <w:rFonts w:ascii="Arial" w:hAnsi="Arial" w:cs="Arial"/>
          <w:kern w:val="24"/>
          <w:sz w:val="22"/>
          <w:szCs w:val="22"/>
        </w:rPr>
        <w:t>5 808</w:t>
      </w:r>
      <w:r w:rsidRPr="002F535F">
        <w:rPr>
          <w:rFonts w:ascii="Arial" w:hAnsi="Arial" w:cs="Arial"/>
          <w:kern w:val="24"/>
          <w:sz w:val="22"/>
          <w:szCs w:val="22"/>
        </w:rPr>
        <w:t xml:space="preserve"> millones a las efectuadas </w:t>
      </w:r>
      <w:r w:rsidR="00024955" w:rsidRPr="002F535F">
        <w:rPr>
          <w:rFonts w:ascii="Arial" w:hAnsi="Arial" w:cs="Arial"/>
          <w:kern w:val="24"/>
          <w:sz w:val="22"/>
          <w:szCs w:val="22"/>
        </w:rPr>
        <w:t>en dicho año</w:t>
      </w:r>
      <w:r w:rsidR="00681AF0">
        <w:rPr>
          <w:rFonts w:ascii="Arial" w:hAnsi="Arial" w:cs="Arial"/>
          <w:kern w:val="24"/>
          <w:sz w:val="22"/>
          <w:szCs w:val="22"/>
        </w:rPr>
        <w:t>.</w:t>
      </w:r>
    </w:p>
    <w:p w14:paraId="1D737955" w14:textId="6D808594" w:rsidR="003531BB" w:rsidRPr="002F535F" w:rsidRDefault="002252A3" w:rsidP="00681AF0">
      <w:pPr>
        <w:spacing w:before="120" w:after="0" w:line="240" w:lineRule="auto"/>
        <w:rPr>
          <w:rFonts w:ascii="Arial" w:hAnsi="Arial" w:cs="Arial"/>
          <w:b/>
          <w:color w:val="000000" w:themeColor="text1"/>
        </w:rPr>
      </w:pPr>
      <w:r w:rsidRPr="002F535F">
        <w:rPr>
          <w:rFonts w:ascii="Arial" w:hAnsi="Arial" w:cs="Arial"/>
          <w:b/>
          <w:color w:val="0070C0"/>
        </w:rPr>
        <w:br w:type="page"/>
      </w:r>
      <w:r w:rsidR="002F0C2F" w:rsidRPr="002F535F">
        <w:rPr>
          <w:rFonts w:ascii="Arial" w:hAnsi="Arial" w:cs="Arial"/>
          <w:b/>
          <w:color w:val="000000" w:themeColor="text1"/>
        </w:rPr>
        <w:lastRenderedPageBreak/>
        <w:t>Principales resultados por tributos</w:t>
      </w:r>
    </w:p>
    <w:p w14:paraId="3A5DA102" w14:textId="77777777" w:rsidR="000407E2" w:rsidRPr="002F535F" w:rsidRDefault="000407E2" w:rsidP="000407E2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3229FB53" w14:textId="769167F6" w:rsidR="000407E2" w:rsidRPr="002F535F" w:rsidRDefault="00BC5F87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CA165E2" wp14:editId="618FBF24">
            <wp:simplePos x="0" y="0"/>
            <wp:positionH relativeFrom="margin">
              <wp:posOffset>2702560</wp:posOffset>
            </wp:positionH>
            <wp:positionV relativeFrom="paragraph">
              <wp:posOffset>17087</wp:posOffset>
            </wp:positionV>
            <wp:extent cx="3482975" cy="2279015"/>
            <wp:effectExtent l="0" t="0" r="3175" b="6985"/>
            <wp:wrapSquare wrapText="bothSides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F0E7F1A-7280-4E39-9E80-EF7F6CB79C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9" w:rsidRPr="002F535F">
        <w:rPr>
          <w:rFonts w:ascii="Arial" w:hAnsi="Arial" w:cs="Arial"/>
          <w:kern w:val="24"/>
          <w:sz w:val="22"/>
          <w:szCs w:val="22"/>
        </w:rPr>
        <w:t>En</w:t>
      </w:r>
      <w:r w:rsidR="002F0C2F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D53BFF" w:rsidRPr="002F535F">
        <w:rPr>
          <w:rFonts w:ascii="Arial" w:hAnsi="Arial" w:cs="Arial"/>
          <w:kern w:val="24"/>
          <w:sz w:val="22"/>
          <w:szCs w:val="22"/>
        </w:rPr>
        <w:t xml:space="preserve">el año 2022 se recaudaron S/ 69 </w:t>
      </w:r>
      <w:r w:rsidR="00C07566" w:rsidRPr="002F535F">
        <w:rPr>
          <w:rFonts w:ascii="Arial" w:hAnsi="Arial" w:cs="Arial"/>
          <w:kern w:val="24"/>
          <w:sz w:val="22"/>
          <w:szCs w:val="22"/>
        </w:rPr>
        <w:t>922</w:t>
      </w:r>
      <w:r w:rsidR="00D53BFF" w:rsidRPr="002F535F">
        <w:rPr>
          <w:rFonts w:ascii="Arial" w:hAnsi="Arial" w:cs="Arial"/>
          <w:kern w:val="24"/>
          <w:sz w:val="22"/>
          <w:szCs w:val="22"/>
        </w:rPr>
        <w:t xml:space="preserve"> millones por Impuesto a la Renta</w:t>
      </w:r>
      <w:r w:rsidR="00F05C72" w:rsidRPr="002F535F">
        <w:rPr>
          <w:rFonts w:ascii="Arial" w:hAnsi="Arial" w:cs="Arial"/>
          <w:kern w:val="24"/>
          <w:sz w:val="22"/>
          <w:szCs w:val="22"/>
        </w:rPr>
        <w:t xml:space="preserve">, </w:t>
      </w:r>
      <w:r w:rsidR="00024955" w:rsidRPr="002F535F">
        <w:rPr>
          <w:rFonts w:ascii="Arial" w:hAnsi="Arial" w:cs="Arial"/>
          <w:kern w:val="24"/>
          <w:sz w:val="22"/>
          <w:szCs w:val="22"/>
        </w:rPr>
        <w:t>importe que</w:t>
      </w:r>
      <w:r w:rsidR="0017495C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significó un crecimiento de 1</w:t>
      </w:r>
      <w:r w:rsidR="0083616B" w:rsidRPr="002F535F">
        <w:rPr>
          <w:rFonts w:ascii="Arial" w:hAnsi="Arial" w:cs="Arial"/>
          <w:kern w:val="24"/>
          <w:sz w:val="22"/>
          <w:szCs w:val="22"/>
          <w:lang w:val="es-ES"/>
        </w:rPr>
        <w:t>8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,</w:t>
      </w:r>
      <w:r w:rsidR="00C07566" w:rsidRPr="002F535F">
        <w:rPr>
          <w:rFonts w:ascii="Arial" w:hAnsi="Arial" w:cs="Arial"/>
          <w:kern w:val="24"/>
          <w:sz w:val="22"/>
          <w:szCs w:val="22"/>
          <w:lang w:val="es-ES"/>
        </w:rPr>
        <w:t>6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%</w:t>
      </w:r>
      <w:r w:rsidR="00F05C72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y 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S/ </w:t>
      </w:r>
      <w:r w:rsidR="0083616B" w:rsidRPr="002F535F">
        <w:rPr>
          <w:rFonts w:ascii="Arial" w:hAnsi="Arial" w:cs="Arial"/>
          <w:kern w:val="24"/>
          <w:sz w:val="22"/>
          <w:szCs w:val="22"/>
          <w:lang w:val="es-ES"/>
        </w:rPr>
        <w:t>1</w:t>
      </w:r>
      <w:r w:rsidR="00C07566" w:rsidRPr="002F535F">
        <w:rPr>
          <w:rFonts w:ascii="Arial" w:hAnsi="Arial" w:cs="Arial"/>
          <w:kern w:val="24"/>
          <w:sz w:val="22"/>
          <w:szCs w:val="22"/>
          <w:lang w:val="es-ES"/>
        </w:rPr>
        <w:t>5 045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millones </w:t>
      </w:r>
      <w:r w:rsidR="00024955" w:rsidRPr="002F535F">
        <w:rPr>
          <w:rFonts w:ascii="Arial" w:hAnsi="Arial" w:cs="Arial"/>
          <w:kern w:val="24"/>
          <w:sz w:val="22"/>
          <w:szCs w:val="22"/>
          <w:lang w:val="es-ES"/>
        </w:rPr>
        <w:t>por encima del monto recaudado en e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l año 20</w:t>
      </w:r>
      <w:r w:rsidR="0083616B" w:rsidRPr="002F535F">
        <w:rPr>
          <w:rFonts w:ascii="Arial" w:hAnsi="Arial" w:cs="Arial"/>
          <w:kern w:val="24"/>
          <w:sz w:val="22"/>
          <w:szCs w:val="22"/>
          <w:lang w:val="es-ES"/>
        </w:rPr>
        <w:t>2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1.</w:t>
      </w:r>
    </w:p>
    <w:p w14:paraId="5794FB71" w14:textId="77777777" w:rsidR="000407E2" w:rsidRPr="002F535F" w:rsidRDefault="000407E2" w:rsidP="000407E2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444B8B09" w14:textId="77777777" w:rsidR="000407E2" w:rsidRPr="002F535F" w:rsidRDefault="00135471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  <w:lang w:val="es-ES"/>
        </w:rPr>
        <w:t>La mayor recaudación en este impuesto se sostuvo principalmente en los tributos aplicados a las rentas empresariales, tanto a nivel de los pagos a cuenta mensuales como de los pagos por regularización del Régimen General y del Régimen MYPE Tributario (RMT).</w:t>
      </w:r>
    </w:p>
    <w:p w14:paraId="2121B7E1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369AC27E" w14:textId="337DB8FE" w:rsidR="000407E2" w:rsidRPr="002F535F" w:rsidRDefault="00BC5F87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D8609E0" wp14:editId="62A4A00B">
            <wp:simplePos x="0" y="0"/>
            <wp:positionH relativeFrom="margin">
              <wp:posOffset>2646045</wp:posOffset>
            </wp:positionH>
            <wp:positionV relativeFrom="paragraph">
              <wp:posOffset>13912</wp:posOffset>
            </wp:positionV>
            <wp:extent cx="3543935" cy="2334260"/>
            <wp:effectExtent l="0" t="0" r="0" b="8890"/>
            <wp:wrapSquare wrapText="bothSides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830C55CC-AE51-4CF4-A8CC-27BE15DFB8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161A39" w:rsidRPr="002F535F">
        <w:rPr>
          <w:rFonts w:ascii="Arial" w:hAnsi="Arial" w:cs="Arial"/>
          <w:kern w:val="24"/>
          <w:sz w:val="22"/>
          <w:szCs w:val="22"/>
        </w:rPr>
        <w:t xml:space="preserve">En el </w:t>
      </w:r>
      <w:r w:rsidR="00D57CD9" w:rsidRPr="002F535F">
        <w:rPr>
          <w:rFonts w:ascii="Arial" w:hAnsi="Arial" w:cs="Arial"/>
          <w:kern w:val="24"/>
          <w:sz w:val="22"/>
          <w:szCs w:val="22"/>
        </w:rPr>
        <w:t>20</w:t>
      </w:r>
      <w:r w:rsidR="00A217E9" w:rsidRPr="002F535F">
        <w:rPr>
          <w:rFonts w:ascii="Arial" w:hAnsi="Arial" w:cs="Arial"/>
          <w:kern w:val="24"/>
          <w:sz w:val="22"/>
          <w:szCs w:val="22"/>
        </w:rPr>
        <w:t>22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se recaudaron S/ </w:t>
      </w:r>
      <w:r w:rsidR="00A217E9" w:rsidRPr="002F535F">
        <w:rPr>
          <w:rFonts w:ascii="Arial" w:hAnsi="Arial" w:cs="Arial"/>
          <w:kern w:val="24"/>
          <w:sz w:val="22"/>
          <w:szCs w:val="22"/>
        </w:rPr>
        <w:t>15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A217E9" w:rsidRPr="002F535F">
        <w:rPr>
          <w:rFonts w:ascii="Arial" w:hAnsi="Arial" w:cs="Arial"/>
          <w:kern w:val="24"/>
          <w:sz w:val="22"/>
          <w:szCs w:val="22"/>
        </w:rPr>
        <w:t>02</w:t>
      </w:r>
      <w:r w:rsidR="00456FFB" w:rsidRPr="002F535F">
        <w:rPr>
          <w:rFonts w:ascii="Arial" w:hAnsi="Arial" w:cs="Arial"/>
          <w:kern w:val="24"/>
          <w:sz w:val="22"/>
          <w:szCs w:val="22"/>
        </w:rPr>
        <w:t>2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millones por concepto de regularización</w:t>
      </w:r>
      <w:r w:rsidR="002F0C2F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AE5F09" w:rsidRPr="002F535F">
        <w:rPr>
          <w:rFonts w:ascii="Arial" w:hAnsi="Arial" w:cs="Arial"/>
          <w:kern w:val="24"/>
          <w:sz w:val="22"/>
          <w:szCs w:val="22"/>
        </w:rPr>
        <w:t>del Impuesto a la Renta</w:t>
      </w:r>
      <w:r w:rsidR="00490D19" w:rsidRPr="002F535F">
        <w:rPr>
          <w:rFonts w:ascii="Arial" w:hAnsi="Arial" w:cs="Arial"/>
          <w:kern w:val="24"/>
          <w:sz w:val="22"/>
          <w:szCs w:val="22"/>
        </w:rPr>
        <w:t xml:space="preserve">. Dicho importe representa un crecimiento de 55,3% y 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S/ </w:t>
      </w:r>
      <w:r w:rsidR="00A217E9" w:rsidRPr="002F535F">
        <w:rPr>
          <w:rFonts w:ascii="Arial" w:hAnsi="Arial" w:cs="Arial"/>
          <w:kern w:val="24"/>
          <w:sz w:val="22"/>
          <w:szCs w:val="22"/>
        </w:rPr>
        <w:t>5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A217E9" w:rsidRPr="002F535F">
        <w:rPr>
          <w:rFonts w:ascii="Arial" w:hAnsi="Arial" w:cs="Arial"/>
          <w:kern w:val="24"/>
          <w:sz w:val="22"/>
          <w:szCs w:val="22"/>
        </w:rPr>
        <w:t>98</w:t>
      </w:r>
      <w:r w:rsidR="00456FFB" w:rsidRPr="002F535F">
        <w:rPr>
          <w:rFonts w:ascii="Arial" w:hAnsi="Arial" w:cs="Arial"/>
          <w:kern w:val="24"/>
          <w:sz w:val="22"/>
          <w:szCs w:val="22"/>
        </w:rPr>
        <w:t>2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millones </w:t>
      </w:r>
      <w:r w:rsidR="00490D19" w:rsidRPr="002F535F">
        <w:rPr>
          <w:rFonts w:ascii="Arial" w:hAnsi="Arial" w:cs="Arial"/>
          <w:kern w:val="24"/>
          <w:sz w:val="22"/>
          <w:szCs w:val="22"/>
        </w:rPr>
        <w:t>adicionales a lo recaudado durante el año 2021.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</w:t>
      </w:r>
    </w:p>
    <w:p w14:paraId="6A2428B9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2597A976" w14:textId="77777777" w:rsidR="000407E2" w:rsidRPr="002F535F" w:rsidRDefault="00490D19" w:rsidP="00681AF0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Al respecto, a fin de describir la recaudación obtenida durante el año 2022 es muy importante mencionar el impacto positivo generado por el pago </w:t>
      </w:r>
      <w:r w:rsidR="00642D00" w:rsidRPr="002F535F">
        <w:rPr>
          <w:rFonts w:ascii="Arial" w:hAnsi="Arial" w:cs="Arial"/>
          <w:kern w:val="24"/>
          <w:sz w:val="22"/>
          <w:szCs w:val="22"/>
        </w:rPr>
        <w:t xml:space="preserve">anual </w:t>
      </w:r>
      <w:r w:rsidRPr="002F535F">
        <w:rPr>
          <w:rFonts w:ascii="Arial" w:hAnsi="Arial" w:cs="Arial"/>
          <w:kern w:val="24"/>
          <w:sz w:val="22"/>
          <w:szCs w:val="22"/>
        </w:rPr>
        <w:t>de regularización</w:t>
      </w:r>
      <w:r w:rsidR="00642D00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Pr="002F535F">
        <w:rPr>
          <w:rFonts w:ascii="Arial" w:hAnsi="Arial" w:cs="Arial"/>
          <w:kern w:val="24"/>
          <w:sz w:val="22"/>
          <w:szCs w:val="22"/>
        </w:rPr>
        <w:t xml:space="preserve">correspondiente a las operaciones del </w:t>
      </w:r>
      <w:r w:rsidR="0017495C" w:rsidRPr="002F535F">
        <w:rPr>
          <w:rFonts w:ascii="Arial" w:hAnsi="Arial" w:cs="Arial"/>
          <w:kern w:val="24"/>
          <w:sz w:val="22"/>
          <w:szCs w:val="22"/>
        </w:rPr>
        <w:t>ejercicio fiscal 2021 (pagada entre enero y abril de 2022)</w:t>
      </w:r>
      <w:r w:rsidRPr="002F535F">
        <w:rPr>
          <w:rFonts w:ascii="Arial" w:hAnsi="Arial" w:cs="Arial"/>
          <w:kern w:val="24"/>
          <w:sz w:val="22"/>
          <w:szCs w:val="22"/>
        </w:rPr>
        <w:t>.</w:t>
      </w:r>
    </w:p>
    <w:p w14:paraId="464CCB64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773C9F5A" w14:textId="341400B7" w:rsidR="000407E2" w:rsidRPr="002F535F" w:rsidRDefault="00490D19" w:rsidP="00681AF0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Dicha regularización tuvo un impacto directo </w:t>
      </w:r>
      <w:r w:rsidR="00B13734" w:rsidRPr="002F535F">
        <w:rPr>
          <w:rFonts w:ascii="Arial" w:hAnsi="Arial" w:cs="Arial"/>
          <w:kern w:val="24"/>
          <w:sz w:val="22"/>
          <w:szCs w:val="22"/>
        </w:rPr>
        <w:t xml:space="preserve">en el resultado anual </w:t>
      </w:r>
      <w:r w:rsidRPr="002F535F">
        <w:rPr>
          <w:rFonts w:ascii="Arial" w:hAnsi="Arial" w:cs="Arial"/>
          <w:kern w:val="24"/>
          <w:sz w:val="22"/>
          <w:szCs w:val="22"/>
        </w:rPr>
        <w:t xml:space="preserve">al recaudarse S/ 13 480 millones, </w:t>
      </w:r>
      <w:r w:rsidR="00456FFB" w:rsidRPr="002F535F">
        <w:rPr>
          <w:rFonts w:ascii="Arial" w:hAnsi="Arial" w:cs="Arial"/>
          <w:kern w:val="24"/>
          <w:sz w:val="22"/>
          <w:szCs w:val="22"/>
        </w:rPr>
        <w:t xml:space="preserve">solo en la campaña </w:t>
      </w:r>
      <w:r w:rsidR="0007756B" w:rsidRPr="002F535F">
        <w:rPr>
          <w:rFonts w:ascii="Arial" w:hAnsi="Arial" w:cs="Arial"/>
          <w:kern w:val="24"/>
          <w:sz w:val="22"/>
          <w:szCs w:val="22"/>
        </w:rPr>
        <w:t xml:space="preserve">de </w:t>
      </w:r>
      <w:r w:rsidR="00456FFB" w:rsidRPr="002F535F">
        <w:rPr>
          <w:rFonts w:ascii="Arial" w:hAnsi="Arial" w:cs="Arial"/>
          <w:kern w:val="24"/>
          <w:sz w:val="22"/>
          <w:szCs w:val="22"/>
        </w:rPr>
        <w:t xml:space="preserve">enero a abril, </w:t>
      </w:r>
      <w:r w:rsidRPr="002F535F">
        <w:rPr>
          <w:rFonts w:ascii="Arial" w:hAnsi="Arial" w:cs="Arial"/>
          <w:kern w:val="24"/>
          <w:sz w:val="22"/>
          <w:szCs w:val="22"/>
        </w:rPr>
        <w:t xml:space="preserve">alcanzando un </w:t>
      </w:r>
      <w:r w:rsidR="00D57CD9" w:rsidRPr="002F535F">
        <w:rPr>
          <w:rFonts w:ascii="Arial" w:hAnsi="Arial" w:cs="Arial"/>
          <w:kern w:val="24"/>
          <w:sz w:val="22"/>
          <w:szCs w:val="22"/>
        </w:rPr>
        <w:t>récord históri</w:t>
      </w:r>
      <w:r w:rsidRPr="002F535F">
        <w:rPr>
          <w:rFonts w:ascii="Arial" w:hAnsi="Arial" w:cs="Arial"/>
          <w:kern w:val="24"/>
          <w:sz w:val="22"/>
          <w:szCs w:val="22"/>
        </w:rPr>
        <w:t xml:space="preserve">co y un crecimiento interanual de </w:t>
      </w:r>
      <w:r w:rsidR="00D57CD9" w:rsidRPr="002F535F">
        <w:rPr>
          <w:rFonts w:ascii="Arial" w:hAnsi="Arial" w:cs="Arial"/>
          <w:kern w:val="24"/>
          <w:sz w:val="22"/>
          <w:szCs w:val="22"/>
        </w:rPr>
        <w:t>8</w:t>
      </w:r>
      <w:r w:rsidR="0017495C" w:rsidRPr="002F535F">
        <w:rPr>
          <w:rFonts w:ascii="Arial" w:hAnsi="Arial" w:cs="Arial"/>
          <w:kern w:val="24"/>
          <w:sz w:val="22"/>
          <w:szCs w:val="22"/>
        </w:rPr>
        <w:t>4,9</w:t>
      </w:r>
      <w:r w:rsidR="00D57CD9" w:rsidRPr="002F535F">
        <w:rPr>
          <w:rFonts w:ascii="Arial" w:hAnsi="Arial" w:cs="Arial"/>
          <w:kern w:val="24"/>
          <w:sz w:val="22"/>
          <w:szCs w:val="22"/>
        </w:rPr>
        <w:t>%.</w:t>
      </w:r>
    </w:p>
    <w:p w14:paraId="6BBA4331" w14:textId="02BB956C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47239C2D" w14:textId="031B3141" w:rsidR="000407E2" w:rsidRPr="002F535F" w:rsidRDefault="006F0EE4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D6B2FB3" wp14:editId="7EC3D64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338195" cy="2125345"/>
            <wp:effectExtent l="0" t="0" r="0" b="8255"/>
            <wp:wrapSquare wrapText="bothSides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1F2981F4-1256-4A45-AF6D-287ECFFFCD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9" w:rsidRPr="002F535F">
        <w:rPr>
          <w:rFonts w:ascii="Arial" w:hAnsi="Arial" w:cs="Arial"/>
          <w:kern w:val="24"/>
          <w:sz w:val="22"/>
          <w:szCs w:val="22"/>
        </w:rPr>
        <w:t>En</w:t>
      </w:r>
      <w:r w:rsidR="00F2628F" w:rsidRPr="002F535F">
        <w:rPr>
          <w:rFonts w:ascii="Arial" w:hAnsi="Arial" w:cs="Arial"/>
          <w:kern w:val="24"/>
          <w:sz w:val="22"/>
          <w:szCs w:val="22"/>
        </w:rPr>
        <w:t xml:space="preserve"> lo que respecta a los pagos a cuenta del Régimen General (RG) y el Régimen </w:t>
      </w:r>
      <w:proofErr w:type="spellStart"/>
      <w:r w:rsidR="00F2628F" w:rsidRPr="002F535F">
        <w:rPr>
          <w:rFonts w:ascii="Arial" w:hAnsi="Arial" w:cs="Arial"/>
          <w:kern w:val="24"/>
          <w:sz w:val="22"/>
          <w:szCs w:val="22"/>
        </w:rPr>
        <w:t>Mype</w:t>
      </w:r>
      <w:proofErr w:type="spellEnd"/>
      <w:r w:rsidR="00F2628F" w:rsidRPr="002F535F">
        <w:rPr>
          <w:rFonts w:ascii="Arial" w:hAnsi="Arial" w:cs="Arial"/>
          <w:kern w:val="24"/>
          <w:sz w:val="22"/>
          <w:szCs w:val="22"/>
        </w:rPr>
        <w:t xml:space="preserve"> Tributario</w:t>
      </w:r>
      <w:r>
        <w:rPr>
          <w:rFonts w:ascii="Arial" w:hAnsi="Arial" w:cs="Arial"/>
          <w:kern w:val="24"/>
          <w:sz w:val="22"/>
          <w:szCs w:val="22"/>
        </w:rPr>
        <w:t xml:space="preserve"> (RMT)</w:t>
      </w:r>
      <w:r w:rsidR="00F2628F" w:rsidRPr="002F535F">
        <w:rPr>
          <w:rFonts w:ascii="Arial" w:hAnsi="Arial" w:cs="Arial"/>
          <w:kern w:val="24"/>
          <w:sz w:val="22"/>
          <w:szCs w:val="22"/>
        </w:rPr>
        <w:t>, en el año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20</w:t>
      </w:r>
      <w:r w:rsidR="008B2D6B" w:rsidRPr="002F535F">
        <w:rPr>
          <w:rFonts w:ascii="Arial" w:hAnsi="Arial" w:cs="Arial"/>
          <w:kern w:val="24"/>
          <w:sz w:val="22"/>
          <w:szCs w:val="22"/>
        </w:rPr>
        <w:t>22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se recaudaron S/ </w:t>
      </w:r>
      <w:r w:rsidR="008B2D6B" w:rsidRPr="002F535F">
        <w:rPr>
          <w:rFonts w:ascii="Arial" w:hAnsi="Arial" w:cs="Arial"/>
          <w:kern w:val="24"/>
          <w:sz w:val="22"/>
          <w:szCs w:val="22"/>
        </w:rPr>
        <w:t>32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456FFB" w:rsidRPr="002F535F">
        <w:rPr>
          <w:rFonts w:ascii="Arial" w:hAnsi="Arial" w:cs="Arial"/>
          <w:kern w:val="24"/>
          <w:sz w:val="22"/>
          <w:szCs w:val="22"/>
        </w:rPr>
        <w:t>102</w:t>
      </w:r>
      <w:r w:rsidR="00F2628F" w:rsidRPr="002F535F">
        <w:rPr>
          <w:rFonts w:ascii="Arial" w:hAnsi="Arial" w:cs="Arial"/>
          <w:kern w:val="24"/>
          <w:sz w:val="22"/>
          <w:szCs w:val="22"/>
        </w:rPr>
        <w:t xml:space="preserve"> millones, importe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 que </w:t>
      </w:r>
      <w:r w:rsidR="00456FFB" w:rsidRPr="002F535F">
        <w:rPr>
          <w:rFonts w:ascii="Arial" w:hAnsi="Arial" w:cs="Arial"/>
          <w:kern w:val="24"/>
          <w:sz w:val="22"/>
          <w:szCs w:val="22"/>
        </w:rPr>
        <w:t>r</w:t>
      </w:r>
      <w:r w:rsidR="009028A6" w:rsidRPr="002F535F">
        <w:rPr>
          <w:rFonts w:ascii="Arial" w:hAnsi="Arial" w:cs="Arial"/>
          <w:kern w:val="24"/>
          <w:sz w:val="22"/>
          <w:szCs w:val="22"/>
        </w:rPr>
        <w:t>epresenta un crecimiento de</w:t>
      </w:r>
      <w:r w:rsidR="00F2628F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9028A6" w:rsidRPr="002F535F">
        <w:rPr>
          <w:rFonts w:ascii="Arial" w:hAnsi="Arial" w:cs="Arial"/>
          <w:kern w:val="24"/>
          <w:sz w:val="22"/>
          <w:szCs w:val="22"/>
        </w:rPr>
        <w:t>20,</w:t>
      </w:r>
      <w:r w:rsidR="00456FFB" w:rsidRPr="002F535F">
        <w:rPr>
          <w:rFonts w:ascii="Arial" w:hAnsi="Arial" w:cs="Arial"/>
          <w:kern w:val="24"/>
          <w:sz w:val="22"/>
          <w:szCs w:val="22"/>
        </w:rPr>
        <w:t>6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% y una recaudación </w:t>
      </w:r>
      <w:r>
        <w:rPr>
          <w:rFonts w:ascii="Arial" w:hAnsi="Arial" w:cs="Arial"/>
          <w:kern w:val="24"/>
          <w:sz w:val="22"/>
          <w:szCs w:val="22"/>
        </w:rPr>
        <w:t>mayor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F2628F" w:rsidRPr="002F535F">
        <w:rPr>
          <w:rFonts w:ascii="Arial" w:hAnsi="Arial" w:cs="Arial"/>
          <w:kern w:val="24"/>
          <w:sz w:val="22"/>
          <w:szCs w:val="22"/>
        </w:rPr>
        <w:t xml:space="preserve">en 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S/ </w:t>
      </w:r>
      <w:r w:rsidR="008B2D6B" w:rsidRPr="002F535F">
        <w:rPr>
          <w:rFonts w:ascii="Arial" w:hAnsi="Arial" w:cs="Arial"/>
          <w:kern w:val="24"/>
          <w:sz w:val="22"/>
          <w:szCs w:val="22"/>
        </w:rPr>
        <w:t>7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8B2D6B" w:rsidRPr="002F535F">
        <w:rPr>
          <w:rFonts w:ascii="Arial" w:hAnsi="Arial" w:cs="Arial"/>
          <w:kern w:val="24"/>
          <w:sz w:val="22"/>
          <w:szCs w:val="22"/>
        </w:rPr>
        <w:t>3</w:t>
      </w:r>
      <w:r w:rsidR="00456FFB" w:rsidRPr="002F535F">
        <w:rPr>
          <w:rFonts w:ascii="Arial" w:hAnsi="Arial" w:cs="Arial"/>
          <w:kern w:val="24"/>
          <w:sz w:val="22"/>
          <w:szCs w:val="22"/>
        </w:rPr>
        <w:t>75</w:t>
      </w:r>
      <w:r w:rsidR="00D57CD9" w:rsidRPr="002F535F">
        <w:rPr>
          <w:rFonts w:ascii="Arial" w:hAnsi="Arial" w:cs="Arial"/>
          <w:kern w:val="24"/>
          <w:sz w:val="22"/>
          <w:szCs w:val="22"/>
        </w:rPr>
        <w:t xml:space="preserve"> millones </w:t>
      </w:r>
      <w:r w:rsidR="009028A6" w:rsidRPr="002F535F">
        <w:rPr>
          <w:rFonts w:ascii="Arial" w:hAnsi="Arial" w:cs="Arial"/>
          <w:kern w:val="24"/>
          <w:sz w:val="22"/>
          <w:szCs w:val="22"/>
        </w:rPr>
        <w:t>a lo recaudado en el año</w:t>
      </w:r>
      <w:r w:rsidR="00F2628F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D57CD9" w:rsidRPr="002F535F">
        <w:rPr>
          <w:rFonts w:ascii="Arial" w:hAnsi="Arial" w:cs="Arial"/>
          <w:kern w:val="24"/>
          <w:sz w:val="22"/>
          <w:szCs w:val="22"/>
        </w:rPr>
        <w:t>20</w:t>
      </w:r>
      <w:r w:rsidR="008B2D6B" w:rsidRPr="002F535F">
        <w:rPr>
          <w:rFonts w:ascii="Arial" w:hAnsi="Arial" w:cs="Arial"/>
          <w:kern w:val="24"/>
          <w:sz w:val="22"/>
          <w:szCs w:val="22"/>
        </w:rPr>
        <w:t>2</w:t>
      </w:r>
      <w:r w:rsidR="00D57CD9" w:rsidRPr="002F535F">
        <w:rPr>
          <w:rFonts w:ascii="Arial" w:hAnsi="Arial" w:cs="Arial"/>
          <w:kern w:val="24"/>
          <w:sz w:val="22"/>
          <w:szCs w:val="22"/>
        </w:rPr>
        <w:t>1.</w:t>
      </w:r>
    </w:p>
    <w:p w14:paraId="3C2B3C52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5FB73749" w14:textId="5EA46F66" w:rsidR="000407E2" w:rsidRPr="002F535F" w:rsidRDefault="00426E1B" w:rsidP="00C46038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 xml:space="preserve">El crecimiento 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observado en los pagos a cuenta </w:t>
      </w:r>
      <w:r w:rsidR="00B13734" w:rsidRPr="002F535F">
        <w:rPr>
          <w:rFonts w:ascii="Arial" w:hAnsi="Arial" w:cs="Arial"/>
          <w:kern w:val="24"/>
          <w:sz w:val="22"/>
          <w:szCs w:val="22"/>
        </w:rPr>
        <w:t>también fue influenciado por los resultados del ejercicio fiscal 2021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 </w:t>
      </w:r>
      <w:r w:rsidR="00C46038">
        <w:rPr>
          <w:rFonts w:ascii="Arial" w:hAnsi="Arial" w:cs="Arial"/>
          <w:kern w:val="24"/>
          <w:sz w:val="22"/>
          <w:szCs w:val="22"/>
        </w:rPr>
        <w:t>referidos a</w:t>
      </w:r>
      <w:r w:rsidR="009028A6" w:rsidRPr="002F535F">
        <w:rPr>
          <w:rFonts w:ascii="Arial" w:hAnsi="Arial" w:cs="Arial"/>
          <w:kern w:val="24"/>
          <w:sz w:val="22"/>
          <w:szCs w:val="22"/>
        </w:rPr>
        <w:t xml:space="preserve"> la aplicación de mayores coeficientes a utilizar para efectuar la determinación y pago</w:t>
      </w:r>
      <w:r w:rsidR="00B13734" w:rsidRPr="002F535F">
        <w:rPr>
          <w:rFonts w:ascii="Arial" w:hAnsi="Arial" w:cs="Arial"/>
          <w:kern w:val="24"/>
          <w:sz w:val="22"/>
          <w:szCs w:val="22"/>
        </w:rPr>
        <w:t xml:space="preserve"> durante el año 2022, tanto en el Régimen General como en el RMT. Asimismo, en la regularización del ejercicio </w:t>
      </w:r>
      <w:r w:rsidR="00B13734" w:rsidRPr="002F535F">
        <w:rPr>
          <w:rFonts w:ascii="Arial" w:hAnsi="Arial" w:cs="Arial"/>
          <w:kern w:val="24"/>
          <w:sz w:val="22"/>
          <w:szCs w:val="22"/>
        </w:rPr>
        <w:lastRenderedPageBreak/>
        <w:t>fiscal se determinó la</w:t>
      </w:r>
      <w:r w:rsidRPr="002F535F">
        <w:rPr>
          <w:rFonts w:ascii="Arial" w:hAnsi="Arial" w:cs="Arial"/>
          <w:kern w:val="24"/>
          <w:sz w:val="22"/>
          <w:szCs w:val="22"/>
        </w:rPr>
        <w:t xml:space="preserve"> reducción de </w:t>
      </w:r>
      <w:r w:rsidR="00B13734" w:rsidRPr="002F535F">
        <w:rPr>
          <w:rFonts w:ascii="Arial" w:hAnsi="Arial" w:cs="Arial"/>
          <w:kern w:val="24"/>
          <w:sz w:val="22"/>
          <w:szCs w:val="22"/>
        </w:rPr>
        <w:t xml:space="preserve">los </w:t>
      </w:r>
      <w:r w:rsidRPr="002F535F">
        <w:rPr>
          <w:rFonts w:ascii="Arial" w:hAnsi="Arial" w:cs="Arial"/>
          <w:kern w:val="24"/>
          <w:sz w:val="22"/>
          <w:szCs w:val="22"/>
        </w:rPr>
        <w:t>saldos a favor (que pueden compensarse contra sus obligaciones corrientes)</w:t>
      </w:r>
      <w:r w:rsidR="00B13734" w:rsidRPr="002F535F">
        <w:rPr>
          <w:rFonts w:ascii="Arial" w:hAnsi="Arial" w:cs="Arial"/>
          <w:kern w:val="24"/>
          <w:sz w:val="22"/>
          <w:szCs w:val="22"/>
        </w:rPr>
        <w:t>.</w:t>
      </w:r>
    </w:p>
    <w:p w14:paraId="12D0CDC1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5C4285D3" w14:textId="49DB16D6" w:rsidR="001323DE" w:rsidRPr="002F535F" w:rsidRDefault="001323DE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kern w:val="24"/>
          <w:sz w:val="22"/>
          <w:szCs w:val="22"/>
        </w:rPr>
        <w:t>A lo anterior se sumaron los mayores ingresos obtenidos por sectores muy importantes en la recaudación, tales como el de hidrocarburos, comercio, transporte, generación de energía eléctrica y agua; y minería cuya recaudación por el concepto analizado se incrementó en 134,7%, 21,7%, 14,0%, 11,0% y 8,7%; respectivamente.</w:t>
      </w:r>
    </w:p>
    <w:p w14:paraId="7A6F87FF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4153EC3F" w14:textId="5C8C6815" w:rsidR="00F2628F" w:rsidRPr="002F535F" w:rsidRDefault="002252A3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2F535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99752CA" wp14:editId="0F8A122D">
            <wp:simplePos x="0" y="0"/>
            <wp:positionH relativeFrom="margin">
              <wp:posOffset>2678430</wp:posOffset>
            </wp:positionH>
            <wp:positionV relativeFrom="paragraph">
              <wp:posOffset>29845</wp:posOffset>
            </wp:positionV>
            <wp:extent cx="3594735" cy="2463800"/>
            <wp:effectExtent l="0" t="0" r="5715" b="0"/>
            <wp:wrapSquare wrapText="bothSides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F52BBD50-1F62-4472-B832-273633D7F3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La </w:t>
      </w:r>
      <w:r w:rsidR="00D57CD9" w:rsidRPr="002F535F">
        <w:rPr>
          <w:rFonts w:ascii="Arial" w:hAnsi="Arial" w:cs="Arial"/>
          <w:kern w:val="24"/>
          <w:sz w:val="22"/>
          <w:szCs w:val="22"/>
        </w:rPr>
        <w:t>recaudación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por IGV ascendió a S/ </w:t>
      </w:r>
      <w:r w:rsidR="00734DA0" w:rsidRPr="002F535F">
        <w:rPr>
          <w:rFonts w:ascii="Arial" w:hAnsi="Arial" w:cs="Arial"/>
          <w:kern w:val="24"/>
          <w:sz w:val="22"/>
          <w:szCs w:val="22"/>
          <w:lang w:val="es-ES"/>
        </w:rPr>
        <w:t>88</w:t>
      </w:r>
      <w:r w:rsidR="00B60867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303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millones </w:t>
      </w:r>
      <w:r w:rsidR="007349CA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durante el año 2022, 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registrando un incremento de </w:t>
      </w:r>
      <w:r w:rsidR="00734DA0" w:rsidRPr="002F535F">
        <w:rPr>
          <w:rFonts w:ascii="Arial" w:hAnsi="Arial" w:cs="Arial"/>
          <w:kern w:val="24"/>
          <w:sz w:val="22"/>
          <w:szCs w:val="22"/>
          <w:lang w:val="es-ES"/>
        </w:rPr>
        <w:t>5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>,</w:t>
      </w:r>
      <w:r w:rsidR="00B60867" w:rsidRPr="002F535F">
        <w:rPr>
          <w:rFonts w:ascii="Arial" w:hAnsi="Arial" w:cs="Arial"/>
          <w:kern w:val="24"/>
          <w:sz w:val="22"/>
          <w:szCs w:val="22"/>
          <w:lang w:val="es-ES"/>
        </w:rPr>
        <w:t>0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% </w:t>
      </w:r>
      <w:r w:rsidR="00F2628F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en un contexto en que la economía y demanda interna </w:t>
      </w:r>
      <w:r w:rsidR="00F2628F" w:rsidRPr="002F535F">
        <w:rPr>
          <w:rFonts w:ascii="Arial" w:hAnsi="Arial" w:cs="Arial"/>
          <w:kern w:val="24"/>
          <w:sz w:val="22"/>
          <w:szCs w:val="22"/>
        </w:rPr>
        <w:t>habrían</w:t>
      </w:r>
      <w:r w:rsidR="00F2628F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crecido alrededor de </w:t>
      </w:r>
      <w:r w:rsidR="0017495C" w:rsidRPr="002F535F">
        <w:rPr>
          <w:rFonts w:ascii="Arial" w:hAnsi="Arial" w:cs="Arial"/>
          <w:kern w:val="24"/>
          <w:sz w:val="22"/>
          <w:szCs w:val="22"/>
          <w:lang w:val="es-ES"/>
        </w:rPr>
        <w:t>3,0</w:t>
      </w:r>
      <w:r w:rsidR="00F2628F" w:rsidRPr="002F535F">
        <w:rPr>
          <w:rFonts w:ascii="Arial" w:hAnsi="Arial" w:cs="Arial"/>
          <w:kern w:val="24"/>
          <w:sz w:val="22"/>
          <w:szCs w:val="22"/>
          <w:lang w:val="es-ES"/>
        </w:rPr>
        <w:t>%</w:t>
      </w:r>
      <w:r w:rsidR="00F2628F" w:rsidRPr="002F535F">
        <w:rPr>
          <w:rStyle w:val="Refdenotaalpie"/>
          <w:rFonts w:ascii="Arial" w:hAnsi="Arial" w:cs="Arial"/>
          <w:kern w:val="24"/>
          <w:sz w:val="22"/>
          <w:szCs w:val="22"/>
          <w:lang w:val="es-ES"/>
        </w:rPr>
        <w:footnoteReference w:id="1"/>
      </w:r>
      <w:r w:rsidR="00F2628F" w:rsidRPr="002F535F">
        <w:rPr>
          <w:rFonts w:ascii="Arial" w:hAnsi="Arial" w:cs="Arial"/>
          <w:kern w:val="24"/>
          <w:sz w:val="22"/>
          <w:szCs w:val="22"/>
          <w:lang w:val="es-ES"/>
        </w:rPr>
        <w:t>. Dicho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resultado significó recaudar S/ </w:t>
      </w:r>
      <w:r w:rsidR="005D513E" w:rsidRPr="002F535F">
        <w:rPr>
          <w:rFonts w:ascii="Arial" w:hAnsi="Arial" w:cs="Arial"/>
          <w:kern w:val="24"/>
          <w:sz w:val="22"/>
          <w:szCs w:val="22"/>
          <w:lang w:val="es-ES"/>
        </w:rPr>
        <w:t>10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</w:t>
      </w:r>
      <w:r w:rsidR="00B60867" w:rsidRPr="002F535F">
        <w:rPr>
          <w:rFonts w:ascii="Arial" w:hAnsi="Arial" w:cs="Arial"/>
          <w:kern w:val="24"/>
          <w:sz w:val="22"/>
          <w:szCs w:val="22"/>
          <w:lang w:val="es-ES"/>
        </w:rPr>
        <w:t>205</w:t>
      </w:r>
      <w:r w:rsidR="00D57CD9" w:rsidRPr="002F535F">
        <w:rPr>
          <w:rFonts w:ascii="Arial" w:hAnsi="Arial" w:cs="Arial"/>
          <w:kern w:val="24"/>
          <w:sz w:val="22"/>
          <w:szCs w:val="22"/>
          <w:lang w:val="es-ES"/>
        </w:rPr>
        <w:t xml:space="preserve"> millones más por este tributo</w:t>
      </w:r>
      <w:r w:rsidR="005D513E" w:rsidRPr="002F535F">
        <w:rPr>
          <w:rFonts w:ascii="Arial" w:hAnsi="Arial" w:cs="Arial"/>
          <w:kern w:val="24"/>
          <w:sz w:val="22"/>
          <w:szCs w:val="22"/>
          <w:lang w:val="es-ES"/>
        </w:rPr>
        <w:t>.</w:t>
      </w:r>
    </w:p>
    <w:p w14:paraId="3A891B5F" w14:textId="77777777" w:rsidR="000407E2" w:rsidRPr="002F535F" w:rsidRDefault="000407E2" w:rsidP="000407E2">
      <w:pPr>
        <w:pStyle w:val="Prrafodelista"/>
        <w:rPr>
          <w:rFonts w:ascii="Arial" w:hAnsi="Arial" w:cs="Arial"/>
          <w:kern w:val="24"/>
          <w:sz w:val="22"/>
          <w:szCs w:val="22"/>
        </w:rPr>
      </w:pPr>
    </w:p>
    <w:p w14:paraId="2C677855" w14:textId="2B906F66" w:rsidR="00343AE8" w:rsidRPr="002F535F" w:rsidRDefault="00343AE8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2F535F">
        <w:rPr>
          <w:rFonts w:ascii="Arial" w:hAnsi="Arial" w:cs="Arial"/>
          <w:kern w:val="24"/>
          <w:lang w:val="es-ES"/>
        </w:rPr>
        <w:t xml:space="preserve">A nivel de componentes, el IGV </w:t>
      </w:r>
      <w:r w:rsidR="001E571D">
        <w:rPr>
          <w:rFonts w:ascii="Arial" w:hAnsi="Arial" w:cs="Arial"/>
          <w:kern w:val="24"/>
          <w:lang w:val="es-ES"/>
        </w:rPr>
        <w:t>I</w:t>
      </w:r>
      <w:r w:rsidRPr="002F535F">
        <w:rPr>
          <w:rFonts w:ascii="Arial" w:hAnsi="Arial" w:cs="Arial"/>
          <w:kern w:val="24"/>
          <w:lang w:val="es-ES"/>
        </w:rPr>
        <w:t>nterno registró una recaudación de S/ 47 3</w:t>
      </w:r>
      <w:r w:rsidR="00B60867" w:rsidRPr="002F535F">
        <w:rPr>
          <w:rFonts w:ascii="Arial" w:hAnsi="Arial" w:cs="Arial"/>
          <w:kern w:val="24"/>
          <w:lang w:val="es-ES"/>
        </w:rPr>
        <w:t>75</w:t>
      </w:r>
      <w:r w:rsidRPr="002F535F">
        <w:rPr>
          <w:rFonts w:ascii="Arial" w:hAnsi="Arial" w:cs="Arial"/>
          <w:kern w:val="24"/>
          <w:lang w:val="es-ES"/>
        </w:rPr>
        <w:t xml:space="preserve"> millones (3,2% de crecimiento) y el IGV importaciones recaudó S/ 4</w:t>
      </w:r>
      <w:r w:rsidR="00B60867" w:rsidRPr="002F535F">
        <w:rPr>
          <w:rFonts w:ascii="Arial" w:hAnsi="Arial" w:cs="Arial"/>
          <w:kern w:val="24"/>
          <w:lang w:val="es-ES"/>
        </w:rPr>
        <w:t>0 928</w:t>
      </w:r>
      <w:r w:rsidRPr="002F535F">
        <w:rPr>
          <w:rFonts w:ascii="Arial" w:hAnsi="Arial" w:cs="Arial"/>
          <w:kern w:val="24"/>
          <w:lang w:val="es-ES"/>
        </w:rPr>
        <w:t xml:space="preserve"> millones (7,</w:t>
      </w:r>
      <w:r w:rsidR="00B60867" w:rsidRPr="002F535F">
        <w:rPr>
          <w:rFonts w:ascii="Arial" w:hAnsi="Arial" w:cs="Arial"/>
          <w:kern w:val="24"/>
          <w:lang w:val="es-ES"/>
        </w:rPr>
        <w:t>1</w:t>
      </w:r>
      <w:r w:rsidRPr="002F535F">
        <w:rPr>
          <w:rFonts w:ascii="Arial" w:hAnsi="Arial" w:cs="Arial"/>
          <w:kern w:val="24"/>
          <w:lang w:val="es-ES"/>
        </w:rPr>
        <w:t>% de crecimiento).</w:t>
      </w:r>
    </w:p>
    <w:p w14:paraId="6585BF86" w14:textId="77777777" w:rsidR="000407E2" w:rsidRPr="002F535F" w:rsidRDefault="000407E2" w:rsidP="000407E2">
      <w:pPr>
        <w:spacing w:after="0" w:line="240" w:lineRule="auto"/>
        <w:ind w:left="284"/>
        <w:jc w:val="both"/>
        <w:rPr>
          <w:rFonts w:ascii="Arial" w:hAnsi="Arial" w:cs="Arial"/>
        </w:rPr>
      </w:pPr>
    </w:p>
    <w:p w14:paraId="14589735" w14:textId="77777777" w:rsidR="001E571D" w:rsidRDefault="00D57CD9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2F535F">
        <w:rPr>
          <w:rFonts w:ascii="Arial" w:hAnsi="Arial" w:cs="Arial"/>
          <w:kern w:val="24"/>
          <w:lang w:val="es-ES"/>
        </w:rPr>
        <w:t xml:space="preserve">El resultado </w:t>
      </w:r>
      <w:r w:rsidR="008E567D" w:rsidRPr="002F535F">
        <w:rPr>
          <w:rFonts w:ascii="Arial" w:hAnsi="Arial" w:cs="Arial"/>
          <w:kern w:val="24"/>
          <w:lang w:val="es-ES"/>
        </w:rPr>
        <w:t xml:space="preserve">anual </w:t>
      </w:r>
      <w:r w:rsidRPr="002F535F">
        <w:rPr>
          <w:rFonts w:ascii="Arial" w:hAnsi="Arial" w:cs="Arial"/>
          <w:kern w:val="24"/>
          <w:lang w:val="es-ES"/>
        </w:rPr>
        <w:t>positivo se vio favorecido</w:t>
      </w:r>
      <w:r w:rsidR="0017495C" w:rsidRPr="002F535F">
        <w:rPr>
          <w:rFonts w:ascii="Arial" w:hAnsi="Arial" w:cs="Arial"/>
          <w:kern w:val="24"/>
          <w:lang w:val="es-ES"/>
        </w:rPr>
        <w:t xml:space="preserve"> principalmente</w:t>
      </w:r>
      <w:r w:rsidR="008E567D" w:rsidRPr="002F535F">
        <w:rPr>
          <w:rFonts w:ascii="Arial" w:hAnsi="Arial" w:cs="Arial"/>
          <w:kern w:val="24"/>
          <w:lang w:val="es-ES"/>
        </w:rPr>
        <w:t xml:space="preserve"> </w:t>
      </w:r>
      <w:r w:rsidR="0017495C" w:rsidRPr="002F535F">
        <w:rPr>
          <w:rFonts w:ascii="Arial" w:hAnsi="Arial" w:cs="Arial"/>
          <w:kern w:val="24"/>
          <w:lang w:val="es-ES"/>
        </w:rPr>
        <w:t>por los mayores pagos de los sectores hidrocarburos, transportes</w:t>
      </w:r>
      <w:r w:rsidR="001E571D">
        <w:rPr>
          <w:rFonts w:ascii="Arial" w:hAnsi="Arial" w:cs="Arial"/>
          <w:kern w:val="24"/>
          <w:lang w:val="es-ES"/>
        </w:rPr>
        <w:t>, así como</w:t>
      </w:r>
      <w:r w:rsidR="0017495C" w:rsidRPr="002F535F">
        <w:rPr>
          <w:rFonts w:ascii="Arial" w:hAnsi="Arial" w:cs="Arial"/>
          <w:kern w:val="24"/>
          <w:lang w:val="es-ES"/>
        </w:rPr>
        <w:t xml:space="preserve"> turismo y hotelería</w:t>
      </w:r>
      <w:r w:rsidR="008E567D" w:rsidRPr="002F535F">
        <w:rPr>
          <w:rFonts w:ascii="Arial" w:hAnsi="Arial" w:cs="Arial"/>
          <w:kern w:val="24"/>
          <w:lang w:val="es-ES"/>
        </w:rPr>
        <w:t xml:space="preserve">. </w:t>
      </w:r>
    </w:p>
    <w:p w14:paraId="0B54E2C2" w14:textId="77777777" w:rsidR="001E571D" w:rsidRDefault="001E571D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</w:p>
    <w:p w14:paraId="59B4157A" w14:textId="12D8847F" w:rsidR="001E571D" w:rsidRDefault="008E567D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2F535F">
        <w:rPr>
          <w:rFonts w:ascii="Arial" w:hAnsi="Arial" w:cs="Arial"/>
          <w:kern w:val="24"/>
          <w:lang w:val="es-ES"/>
        </w:rPr>
        <w:t xml:space="preserve">En el caso del sector hidrocarburos, el </w:t>
      </w:r>
      <w:r w:rsidR="006A75EA" w:rsidRPr="002F535F">
        <w:rPr>
          <w:rFonts w:ascii="Arial" w:hAnsi="Arial" w:cs="Arial"/>
          <w:kern w:val="24"/>
          <w:lang w:val="es-ES"/>
        </w:rPr>
        <w:t>crecimiento</w:t>
      </w:r>
      <w:r w:rsidRPr="002F535F">
        <w:rPr>
          <w:rFonts w:ascii="Arial" w:hAnsi="Arial" w:cs="Arial"/>
          <w:kern w:val="24"/>
          <w:lang w:val="es-ES"/>
        </w:rPr>
        <w:t xml:space="preserve"> está asociado al </w:t>
      </w:r>
      <w:r w:rsidR="0017495C" w:rsidRPr="002F535F">
        <w:rPr>
          <w:rFonts w:ascii="Arial" w:hAnsi="Arial" w:cs="Arial"/>
          <w:kern w:val="24"/>
          <w:lang w:val="es-ES"/>
        </w:rPr>
        <w:t>incremento en las cotizaciones internacionales</w:t>
      </w:r>
      <w:r w:rsidR="006F0EE4">
        <w:rPr>
          <w:rFonts w:ascii="Arial" w:hAnsi="Arial" w:cs="Arial"/>
          <w:kern w:val="24"/>
          <w:lang w:val="es-ES"/>
        </w:rPr>
        <w:t>,</w:t>
      </w:r>
      <w:r w:rsidR="0017495C" w:rsidRPr="002F535F">
        <w:rPr>
          <w:rFonts w:ascii="Arial" w:hAnsi="Arial" w:cs="Arial"/>
          <w:kern w:val="24"/>
          <w:lang w:val="es-ES"/>
        </w:rPr>
        <w:t xml:space="preserve"> principalmente</w:t>
      </w:r>
      <w:r w:rsidR="006F0EE4">
        <w:rPr>
          <w:rFonts w:ascii="Arial" w:hAnsi="Arial" w:cs="Arial"/>
          <w:kern w:val="24"/>
          <w:lang w:val="es-ES"/>
        </w:rPr>
        <w:t>,</w:t>
      </w:r>
      <w:r w:rsidR="0017495C" w:rsidRPr="002F535F">
        <w:rPr>
          <w:rFonts w:ascii="Arial" w:hAnsi="Arial" w:cs="Arial"/>
          <w:kern w:val="24"/>
          <w:lang w:val="es-ES"/>
        </w:rPr>
        <w:t xml:space="preserve"> del </w:t>
      </w:r>
      <w:r w:rsidR="006F0EE4">
        <w:rPr>
          <w:rFonts w:ascii="Arial" w:hAnsi="Arial" w:cs="Arial"/>
          <w:kern w:val="24"/>
          <w:lang w:val="es-ES"/>
        </w:rPr>
        <w:t>g</w:t>
      </w:r>
      <w:r w:rsidR="0017495C" w:rsidRPr="002F535F">
        <w:rPr>
          <w:rFonts w:ascii="Arial" w:hAnsi="Arial" w:cs="Arial"/>
          <w:kern w:val="24"/>
          <w:lang w:val="es-ES"/>
        </w:rPr>
        <w:t xml:space="preserve">as </w:t>
      </w:r>
      <w:r w:rsidR="006F0EE4">
        <w:rPr>
          <w:rFonts w:ascii="Arial" w:hAnsi="Arial" w:cs="Arial"/>
          <w:kern w:val="24"/>
          <w:lang w:val="es-ES"/>
        </w:rPr>
        <w:t>n</w:t>
      </w:r>
      <w:r w:rsidR="0017495C" w:rsidRPr="002F535F">
        <w:rPr>
          <w:rFonts w:ascii="Arial" w:hAnsi="Arial" w:cs="Arial"/>
          <w:kern w:val="24"/>
          <w:lang w:val="es-ES"/>
        </w:rPr>
        <w:t>atural y petróleo</w:t>
      </w:r>
      <w:r w:rsidRPr="002F535F">
        <w:rPr>
          <w:rFonts w:ascii="Arial" w:hAnsi="Arial" w:cs="Arial"/>
          <w:kern w:val="24"/>
          <w:lang w:val="es-ES"/>
        </w:rPr>
        <w:t xml:space="preserve">. </w:t>
      </w:r>
    </w:p>
    <w:p w14:paraId="23B81206" w14:textId="77777777" w:rsidR="001E571D" w:rsidRDefault="001E571D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</w:p>
    <w:p w14:paraId="70955C4F" w14:textId="679827D9" w:rsidR="00343AE8" w:rsidRPr="002F535F" w:rsidRDefault="008E567D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2F535F">
        <w:rPr>
          <w:rFonts w:ascii="Arial" w:hAnsi="Arial" w:cs="Arial"/>
          <w:kern w:val="24"/>
          <w:lang w:val="es-ES"/>
        </w:rPr>
        <w:t xml:space="preserve">En </w:t>
      </w:r>
      <w:r w:rsidR="007349CA" w:rsidRPr="002F535F">
        <w:rPr>
          <w:rFonts w:ascii="Arial" w:hAnsi="Arial" w:cs="Arial"/>
          <w:kern w:val="24"/>
          <w:lang w:val="es-ES"/>
        </w:rPr>
        <w:t xml:space="preserve">lo que respecta a los sectores de </w:t>
      </w:r>
      <w:r w:rsidRPr="002F535F">
        <w:rPr>
          <w:rFonts w:ascii="Arial" w:hAnsi="Arial" w:cs="Arial"/>
          <w:kern w:val="24"/>
          <w:lang w:val="es-ES"/>
        </w:rPr>
        <w:t xml:space="preserve">transportes y </w:t>
      </w:r>
      <w:r w:rsidR="006A75EA" w:rsidRPr="002F535F">
        <w:rPr>
          <w:rFonts w:ascii="Arial" w:hAnsi="Arial" w:cs="Arial"/>
          <w:kern w:val="24"/>
          <w:lang w:val="es-ES"/>
        </w:rPr>
        <w:t xml:space="preserve">de </w:t>
      </w:r>
      <w:r w:rsidRPr="002F535F">
        <w:rPr>
          <w:rFonts w:ascii="Arial" w:hAnsi="Arial" w:cs="Arial"/>
          <w:kern w:val="24"/>
          <w:lang w:val="es-ES"/>
        </w:rPr>
        <w:t xml:space="preserve">turismo y hotelería, se trata de </w:t>
      </w:r>
      <w:r w:rsidR="007349CA" w:rsidRPr="002F535F">
        <w:rPr>
          <w:rFonts w:ascii="Arial" w:hAnsi="Arial" w:cs="Arial"/>
          <w:kern w:val="24"/>
          <w:lang w:val="es-ES"/>
        </w:rPr>
        <w:t>actividades</w:t>
      </w:r>
      <w:r w:rsidR="0017495C" w:rsidRPr="002F535F">
        <w:rPr>
          <w:rFonts w:ascii="Arial" w:hAnsi="Arial" w:cs="Arial"/>
          <w:kern w:val="24"/>
          <w:lang w:val="es-ES"/>
        </w:rPr>
        <w:t xml:space="preserve"> que fueron </w:t>
      </w:r>
      <w:r w:rsidRPr="002F535F">
        <w:rPr>
          <w:rFonts w:ascii="Arial" w:hAnsi="Arial" w:cs="Arial"/>
          <w:kern w:val="24"/>
          <w:lang w:val="es-ES"/>
        </w:rPr>
        <w:t>particularmente</w:t>
      </w:r>
      <w:r w:rsidR="0017495C" w:rsidRPr="002F535F">
        <w:rPr>
          <w:rFonts w:ascii="Arial" w:hAnsi="Arial" w:cs="Arial"/>
          <w:kern w:val="24"/>
          <w:lang w:val="es-ES"/>
        </w:rPr>
        <w:t xml:space="preserve"> afectados por la pandemia </w:t>
      </w:r>
      <w:r w:rsidR="007349CA" w:rsidRPr="002F535F">
        <w:rPr>
          <w:rFonts w:ascii="Arial" w:hAnsi="Arial" w:cs="Arial"/>
          <w:kern w:val="24"/>
          <w:lang w:val="es-ES"/>
        </w:rPr>
        <w:t>y en las</w:t>
      </w:r>
      <w:r w:rsidRPr="002F535F">
        <w:rPr>
          <w:rFonts w:ascii="Arial" w:hAnsi="Arial" w:cs="Arial"/>
          <w:kern w:val="24"/>
          <w:lang w:val="es-ES"/>
        </w:rPr>
        <w:t xml:space="preserve"> que el crecimiento mostrado corresponde a </w:t>
      </w:r>
      <w:r w:rsidR="0017495C" w:rsidRPr="002F535F">
        <w:rPr>
          <w:rFonts w:ascii="Arial" w:hAnsi="Arial" w:cs="Arial"/>
          <w:kern w:val="24"/>
          <w:lang w:val="es-ES"/>
        </w:rPr>
        <w:t xml:space="preserve">su </w:t>
      </w:r>
      <w:r w:rsidR="007349CA" w:rsidRPr="002F535F">
        <w:rPr>
          <w:rFonts w:ascii="Arial" w:hAnsi="Arial" w:cs="Arial"/>
          <w:kern w:val="24"/>
          <w:lang w:val="es-ES"/>
        </w:rPr>
        <w:t xml:space="preserve">proceso de </w:t>
      </w:r>
      <w:r w:rsidR="0017495C" w:rsidRPr="002F535F">
        <w:rPr>
          <w:rFonts w:ascii="Arial" w:hAnsi="Arial" w:cs="Arial"/>
          <w:kern w:val="24"/>
          <w:lang w:val="es-ES"/>
        </w:rPr>
        <w:t xml:space="preserve">recuperación. </w:t>
      </w:r>
    </w:p>
    <w:p w14:paraId="52E659A5" w14:textId="77777777" w:rsidR="000407E2" w:rsidRPr="002F535F" w:rsidRDefault="000407E2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</w:rPr>
      </w:pPr>
    </w:p>
    <w:p w14:paraId="17B0E479" w14:textId="66111F84" w:rsidR="00D57CD9" w:rsidRPr="002F535F" w:rsidRDefault="0017495C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2F535F">
        <w:rPr>
          <w:rFonts w:ascii="Arial" w:hAnsi="Arial" w:cs="Arial"/>
          <w:kern w:val="24"/>
          <w:lang w:val="es-ES"/>
        </w:rPr>
        <w:t xml:space="preserve">A lo anterior se sumó el favorable desempeño de las importaciones que registraron un crecimiento de </w:t>
      </w:r>
      <w:r w:rsidR="00AB3F8E" w:rsidRPr="002F535F">
        <w:rPr>
          <w:rFonts w:ascii="Arial" w:hAnsi="Arial" w:cs="Arial"/>
          <w:kern w:val="24"/>
          <w:lang w:val="es-ES"/>
        </w:rPr>
        <w:t>18,2</w:t>
      </w:r>
      <w:r w:rsidRPr="002F535F">
        <w:rPr>
          <w:rFonts w:ascii="Arial" w:hAnsi="Arial" w:cs="Arial"/>
          <w:kern w:val="24"/>
          <w:lang w:val="es-ES"/>
        </w:rPr>
        <w:t xml:space="preserve">% y generó </w:t>
      </w:r>
      <w:r w:rsidR="001E571D">
        <w:rPr>
          <w:rFonts w:ascii="Arial" w:hAnsi="Arial" w:cs="Arial"/>
          <w:kern w:val="24"/>
          <w:lang w:val="es-ES"/>
        </w:rPr>
        <w:t xml:space="preserve">una </w:t>
      </w:r>
      <w:r w:rsidRPr="002F535F">
        <w:rPr>
          <w:rFonts w:ascii="Arial" w:hAnsi="Arial" w:cs="Arial"/>
          <w:kern w:val="24"/>
          <w:lang w:val="es-ES"/>
        </w:rPr>
        <w:t>mayor recaudación aduanera.</w:t>
      </w:r>
    </w:p>
    <w:p w14:paraId="1B2B1BB3" w14:textId="77777777" w:rsidR="000407E2" w:rsidRPr="002F535F" w:rsidRDefault="000407E2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</w:rPr>
      </w:pPr>
    </w:p>
    <w:p w14:paraId="0BF0C0B5" w14:textId="02AB3066" w:rsidR="0000227B" w:rsidRPr="001E571D" w:rsidRDefault="00DF39E3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bookmarkStart w:id="1" w:name="_Hlk535484836"/>
      <w:r w:rsidRPr="001E57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2380641" wp14:editId="08212820">
            <wp:simplePos x="0" y="0"/>
            <wp:positionH relativeFrom="margin">
              <wp:posOffset>2632075</wp:posOffset>
            </wp:positionH>
            <wp:positionV relativeFrom="paragraph">
              <wp:posOffset>15240</wp:posOffset>
            </wp:positionV>
            <wp:extent cx="3559175" cy="2286000"/>
            <wp:effectExtent l="0" t="0" r="3175" b="0"/>
            <wp:wrapSquare wrapText="bothSides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C102F2DF-D590-42EF-A6BC-49EF2B1864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>La recaudación por concepto de</w:t>
      </w:r>
      <w:r w:rsidR="000D0694" w:rsidRPr="001E571D">
        <w:rPr>
          <w:rFonts w:ascii="Arial" w:hAnsi="Arial" w:cs="Arial"/>
          <w:kern w:val="24"/>
          <w:sz w:val="22"/>
          <w:szCs w:val="22"/>
          <w:lang w:val="es-ES"/>
        </w:rPr>
        <w:t>l Impuesto Selectivo al Consumo (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>ISC</w:t>
      </w:r>
      <w:r w:rsidR="000D0694" w:rsidRPr="001E571D">
        <w:rPr>
          <w:rFonts w:ascii="Arial" w:hAnsi="Arial" w:cs="Arial"/>
          <w:kern w:val="24"/>
          <w:sz w:val="22"/>
          <w:szCs w:val="22"/>
          <w:lang w:val="es-ES"/>
        </w:rPr>
        <w:t>)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sumó S/ 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9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02</w:t>
      </w:r>
      <w:r w:rsidR="00B60867" w:rsidRPr="001E571D">
        <w:rPr>
          <w:rFonts w:ascii="Arial" w:hAnsi="Arial" w:cs="Arial"/>
          <w:kern w:val="24"/>
          <w:sz w:val="22"/>
          <w:szCs w:val="22"/>
          <w:lang w:val="es-ES"/>
        </w:rPr>
        <w:t>6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millones</w:t>
      </w:r>
      <w:r w:rsidR="00E03494" w:rsidRPr="001E571D">
        <w:rPr>
          <w:rFonts w:ascii="Arial" w:hAnsi="Arial" w:cs="Arial"/>
          <w:kern w:val="24"/>
          <w:sz w:val="22"/>
          <w:szCs w:val="22"/>
          <w:lang w:val="es-ES"/>
        </w:rPr>
        <w:t>,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lo que significó un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a caída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de 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8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>,</w:t>
      </w:r>
      <w:r w:rsidR="00B60867" w:rsidRPr="001E571D">
        <w:rPr>
          <w:rFonts w:ascii="Arial" w:hAnsi="Arial" w:cs="Arial"/>
          <w:kern w:val="24"/>
          <w:sz w:val="22"/>
          <w:szCs w:val="22"/>
          <w:lang w:val="es-ES"/>
        </w:rPr>
        <w:t>3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>% y una m</w:t>
      </w:r>
      <w:r w:rsidR="002222D7" w:rsidRPr="001E571D">
        <w:rPr>
          <w:rFonts w:ascii="Arial" w:hAnsi="Arial" w:cs="Arial"/>
          <w:kern w:val="24"/>
          <w:sz w:val="22"/>
          <w:szCs w:val="22"/>
          <w:lang w:val="es-ES"/>
        </w:rPr>
        <w:t>eno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r recaudación de S/ 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11</w:t>
      </w:r>
      <w:r w:rsidR="00B60867" w:rsidRPr="001E571D">
        <w:rPr>
          <w:rFonts w:ascii="Arial" w:hAnsi="Arial" w:cs="Arial"/>
          <w:kern w:val="24"/>
          <w:sz w:val="22"/>
          <w:szCs w:val="22"/>
          <w:lang w:val="es-ES"/>
        </w:rPr>
        <w:t>3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 millones respecto del 20</w:t>
      </w:r>
      <w:r w:rsidR="00370502" w:rsidRPr="001E571D">
        <w:rPr>
          <w:rFonts w:ascii="Arial" w:hAnsi="Arial" w:cs="Arial"/>
          <w:kern w:val="24"/>
          <w:sz w:val="22"/>
          <w:szCs w:val="22"/>
          <w:lang w:val="es-ES"/>
        </w:rPr>
        <w:t>2</w:t>
      </w:r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>1</w:t>
      </w:r>
      <w:bookmarkEnd w:id="1"/>
      <w:r w:rsidR="0000227B" w:rsidRPr="001E571D">
        <w:rPr>
          <w:rFonts w:ascii="Arial" w:hAnsi="Arial" w:cs="Arial"/>
          <w:kern w:val="24"/>
          <w:sz w:val="22"/>
          <w:szCs w:val="22"/>
          <w:lang w:val="es-ES"/>
        </w:rPr>
        <w:t xml:space="preserve">. </w:t>
      </w:r>
    </w:p>
    <w:p w14:paraId="243DDAFE" w14:textId="77777777" w:rsidR="000407E2" w:rsidRPr="001E571D" w:rsidRDefault="000407E2" w:rsidP="000407E2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40B443F3" w14:textId="72E80A20" w:rsidR="0000227B" w:rsidRPr="001E571D" w:rsidRDefault="0000227B" w:rsidP="000407E2">
      <w:pPr>
        <w:spacing w:after="0" w:line="240" w:lineRule="auto"/>
        <w:ind w:left="284"/>
        <w:jc w:val="both"/>
        <w:rPr>
          <w:rFonts w:ascii="Arial" w:hAnsi="Arial" w:cs="Arial"/>
          <w:kern w:val="24"/>
          <w:lang w:val="es-ES"/>
        </w:rPr>
      </w:pPr>
      <w:r w:rsidRPr="001E571D">
        <w:rPr>
          <w:rFonts w:ascii="Arial" w:hAnsi="Arial" w:cs="Arial"/>
          <w:kern w:val="24"/>
          <w:lang w:val="es-ES"/>
        </w:rPr>
        <w:t xml:space="preserve">El comportamiento </w:t>
      </w:r>
      <w:r w:rsidR="0017495C" w:rsidRPr="001E571D">
        <w:rPr>
          <w:rFonts w:ascii="Arial" w:hAnsi="Arial" w:cs="Arial"/>
          <w:kern w:val="24"/>
          <w:lang w:val="es-ES"/>
        </w:rPr>
        <w:t>d</w:t>
      </w:r>
      <w:r w:rsidRPr="001E571D">
        <w:rPr>
          <w:rFonts w:ascii="Arial" w:hAnsi="Arial" w:cs="Arial"/>
          <w:kern w:val="24"/>
          <w:lang w:val="es-ES"/>
        </w:rPr>
        <w:t>el ISC durante el año 20</w:t>
      </w:r>
      <w:r w:rsidR="00723654" w:rsidRPr="001E571D">
        <w:rPr>
          <w:rFonts w:ascii="Arial" w:hAnsi="Arial" w:cs="Arial"/>
          <w:kern w:val="24"/>
          <w:lang w:val="es-ES"/>
        </w:rPr>
        <w:t>2</w:t>
      </w:r>
      <w:r w:rsidR="0017495C" w:rsidRPr="001E571D">
        <w:rPr>
          <w:rFonts w:ascii="Arial" w:hAnsi="Arial" w:cs="Arial"/>
          <w:kern w:val="24"/>
          <w:lang w:val="es-ES"/>
        </w:rPr>
        <w:t>2</w:t>
      </w:r>
      <w:r w:rsidRPr="001E571D">
        <w:rPr>
          <w:rFonts w:ascii="Arial" w:hAnsi="Arial" w:cs="Arial"/>
          <w:kern w:val="24"/>
          <w:lang w:val="es-ES"/>
        </w:rPr>
        <w:t xml:space="preserve"> </w:t>
      </w:r>
      <w:r w:rsidR="0050107D" w:rsidRPr="001E571D">
        <w:rPr>
          <w:rFonts w:ascii="Arial" w:hAnsi="Arial" w:cs="Arial"/>
          <w:kern w:val="24"/>
          <w:lang w:val="es-ES"/>
        </w:rPr>
        <w:t>fue influenciado significativamente por la exclusión</w:t>
      </w:r>
      <w:r w:rsidR="00723654" w:rsidRPr="001E571D">
        <w:rPr>
          <w:rFonts w:ascii="Arial" w:hAnsi="Arial" w:cs="Arial"/>
          <w:kern w:val="24"/>
          <w:lang w:val="es-ES"/>
        </w:rPr>
        <w:t xml:space="preserve"> temporal de la aplicación del ISC a las gasolinas menores a 95 octanos y </w:t>
      </w:r>
      <w:r w:rsidR="00CA0EDE">
        <w:rPr>
          <w:rFonts w:ascii="Arial" w:hAnsi="Arial" w:cs="Arial"/>
          <w:kern w:val="24"/>
          <w:lang w:val="es-ES"/>
        </w:rPr>
        <w:t>d</w:t>
      </w:r>
      <w:r w:rsidR="00CA0EDE" w:rsidRPr="001E571D">
        <w:rPr>
          <w:rFonts w:ascii="Arial" w:hAnsi="Arial" w:cs="Arial"/>
          <w:kern w:val="24"/>
          <w:lang w:val="es-ES"/>
        </w:rPr>
        <w:t>iésel</w:t>
      </w:r>
      <w:r w:rsidR="0017495C" w:rsidRPr="001E571D">
        <w:rPr>
          <w:rFonts w:ascii="Arial" w:hAnsi="Arial" w:cs="Arial"/>
          <w:kern w:val="24"/>
          <w:lang w:val="es-ES"/>
        </w:rPr>
        <w:t xml:space="preserve">, la que representó una menor recaudación </w:t>
      </w:r>
      <w:r w:rsidR="0050107D" w:rsidRPr="001E571D">
        <w:rPr>
          <w:rFonts w:ascii="Arial" w:hAnsi="Arial" w:cs="Arial"/>
          <w:kern w:val="24"/>
          <w:lang w:val="es-ES"/>
        </w:rPr>
        <w:t>por aproximadamente</w:t>
      </w:r>
      <w:r w:rsidR="0017495C" w:rsidRPr="001E571D">
        <w:rPr>
          <w:rFonts w:ascii="Arial" w:hAnsi="Arial" w:cs="Arial"/>
          <w:kern w:val="24"/>
          <w:lang w:val="es-ES"/>
        </w:rPr>
        <w:t xml:space="preserve"> S/ 900 millones </w:t>
      </w:r>
      <w:r w:rsidR="0050107D" w:rsidRPr="001E571D">
        <w:rPr>
          <w:rFonts w:ascii="Arial" w:hAnsi="Arial" w:cs="Arial"/>
          <w:kern w:val="24"/>
          <w:lang w:val="es-ES"/>
        </w:rPr>
        <w:t xml:space="preserve">tan solo </w:t>
      </w:r>
      <w:r w:rsidR="0017495C" w:rsidRPr="001E571D">
        <w:rPr>
          <w:rFonts w:ascii="Arial" w:hAnsi="Arial" w:cs="Arial"/>
          <w:kern w:val="24"/>
          <w:lang w:val="es-ES"/>
        </w:rPr>
        <w:t xml:space="preserve">en este tributo. </w:t>
      </w:r>
      <w:r w:rsidR="0050107D" w:rsidRPr="001E571D">
        <w:rPr>
          <w:rFonts w:ascii="Arial" w:hAnsi="Arial" w:cs="Arial"/>
          <w:kern w:val="24"/>
          <w:lang w:val="es-ES"/>
        </w:rPr>
        <w:lastRenderedPageBreak/>
        <w:t xml:space="preserve">En contraste, el ISC aplicado </w:t>
      </w:r>
      <w:r w:rsidR="0017495C" w:rsidRPr="001E571D">
        <w:rPr>
          <w:rFonts w:ascii="Arial" w:hAnsi="Arial" w:cs="Arial"/>
          <w:kern w:val="24"/>
          <w:lang w:val="es-ES"/>
        </w:rPr>
        <w:t>al resto de productos registró un crecimiento de 1,7% asociado a</w:t>
      </w:r>
      <w:r w:rsidR="00BF3B52" w:rsidRPr="001E571D">
        <w:rPr>
          <w:rFonts w:ascii="Arial" w:hAnsi="Arial" w:cs="Arial"/>
          <w:kern w:val="24"/>
          <w:lang w:val="es-ES"/>
        </w:rPr>
        <w:t xml:space="preserve"> </w:t>
      </w:r>
      <w:r w:rsidR="0017495C" w:rsidRPr="001E571D">
        <w:rPr>
          <w:rFonts w:ascii="Arial" w:hAnsi="Arial" w:cs="Arial"/>
          <w:kern w:val="24"/>
          <w:lang w:val="es-ES"/>
        </w:rPr>
        <w:t>l</w:t>
      </w:r>
      <w:r w:rsidR="00BF3B52" w:rsidRPr="001E571D">
        <w:rPr>
          <w:rFonts w:ascii="Arial" w:hAnsi="Arial" w:cs="Arial"/>
          <w:kern w:val="24"/>
          <w:lang w:val="es-ES"/>
        </w:rPr>
        <w:t>a</w:t>
      </w:r>
      <w:r w:rsidR="0017495C" w:rsidRPr="001E571D">
        <w:rPr>
          <w:rFonts w:ascii="Arial" w:hAnsi="Arial" w:cs="Arial"/>
          <w:kern w:val="24"/>
          <w:lang w:val="es-ES"/>
        </w:rPr>
        <w:t xml:space="preserve"> </w:t>
      </w:r>
      <w:r w:rsidR="00BF3B52" w:rsidRPr="001E571D">
        <w:rPr>
          <w:rFonts w:ascii="Arial" w:hAnsi="Arial" w:cs="Arial"/>
          <w:kern w:val="24"/>
          <w:lang w:val="es-ES"/>
        </w:rPr>
        <w:t>evolución</w:t>
      </w:r>
      <w:r w:rsidR="0017495C" w:rsidRPr="001E571D">
        <w:rPr>
          <w:rFonts w:ascii="Arial" w:hAnsi="Arial" w:cs="Arial"/>
          <w:kern w:val="24"/>
          <w:lang w:val="es-ES"/>
        </w:rPr>
        <w:t xml:space="preserve"> de la demanda interna</w:t>
      </w:r>
      <w:r w:rsidR="00BF3B52" w:rsidRPr="001E571D">
        <w:rPr>
          <w:rFonts w:ascii="Arial" w:hAnsi="Arial" w:cs="Arial"/>
          <w:kern w:val="24"/>
          <w:lang w:val="es-ES"/>
        </w:rPr>
        <w:t xml:space="preserve"> y el consumo de los bienes gravados</w:t>
      </w:r>
      <w:r w:rsidR="0017495C" w:rsidRPr="001E571D">
        <w:rPr>
          <w:rFonts w:ascii="Arial" w:hAnsi="Arial" w:cs="Arial"/>
          <w:kern w:val="24"/>
          <w:lang w:val="es-ES"/>
        </w:rPr>
        <w:t>.</w:t>
      </w:r>
    </w:p>
    <w:p w14:paraId="35FE6AB8" w14:textId="77777777" w:rsidR="000407E2" w:rsidRPr="001E571D" w:rsidRDefault="000407E2" w:rsidP="000407E2">
      <w:pPr>
        <w:spacing w:after="0" w:line="240" w:lineRule="auto"/>
        <w:jc w:val="both"/>
        <w:rPr>
          <w:rFonts w:ascii="Arial" w:hAnsi="Arial" w:cs="Arial"/>
          <w:kern w:val="24"/>
        </w:rPr>
      </w:pPr>
    </w:p>
    <w:p w14:paraId="2B6DA6D0" w14:textId="13D5E499" w:rsidR="0000227B" w:rsidRPr="001E571D" w:rsidRDefault="002252A3" w:rsidP="000407E2">
      <w:pPr>
        <w:pStyle w:val="Prrafodelista"/>
        <w:numPr>
          <w:ilvl w:val="0"/>
          <w:numId w:val="11"/>
        </w:numPr>
        <w:ind w:left="284" w:hanging="218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  <w:r w:rsidRPr="001E571D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CBA9684" wp14:editId="3E9ABB41">
            <wp:simplePos x="0" y="0"/>
            <wp:positionH relativeFrom="page">
              <wp:posOffset>3387090</wp:posOffset>
            </wp:positionH>
            <wp:positionV relativeFrom="paragraph">
              <wp:posOffset>42545</wp:posOffset>
            </wp:positionV>
            <wp:extent cx="3489960" cy="2261870"/>
            <wp:effectExtent l="0" t="0" r="0" b="5080"/>
            <wp:wrapSquare wrapText="bothSides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90ED8B0F-66D3-493F-A23F-885AAEFDA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17495C" w:rsidRPr="001E571D">
        <w:rPr>
          <w:rFonts w:ascii="Arial" w:hAnsi="Arial" w:cs="Arial"/>
          <w:kern w:val="24"/>
          <w:sz w:val="22"/>
          <w:szCs w:val="22"/>
        </w:rPr>
        <w:t>Finalmente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, las devoluciones </w:t>
      </w:r>
      <w:r w:rsidR="0017495C" w:rsidRPr="001E571D">
        <w:rPr>
          <w:rFonts w:ascii="Arial" w:hAnsi="Arial" w:cs="Arial"/>
          <w:kern w:val="24"/>
          <w:sz w:val="22"/>
          <w:szCs w:val="22"/>
        </w:rPr>
        <w:t xml:space="preserve">de impuestos efectuadas 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ascendieron a S/ </w:t>
      </w:r>
      <w:r w:rsidR="003175A1" w:rsidRPr="001E571D">
        <w:rPr>
          <w:rFonts w:ascii="Arial" w:hAnsi="Arial" w:cs="Arial"/>
          <w:kern w:val="24"/>
          <w:sz w:val="22"/>
          <w:szCs w:val="22"/>
        </w:rPr>
        <w:t>25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 </w:t>
      </w:r>
      <w:r w:rsidR="003175A1" w:rsidRPr="001E571D">
        <w:rPr>
          <w:rFonts w:ascii="Arial" w:hAnsi="Arial" w:cs="Arial"/>
          <w:kern w:val="24"/>
          <w:sz w:val="22"/>
          <w:szCs w:val="22"/>
        </w:rPr>
        <w:t>6</w:t>
      </w:r>
      <w:r w:rsidR="007F241D" w:rsidRPr="001E571D">
        <w:rPr>
          <w:rFonts w:ascii="Arial" w:hAnsi="Arial" w:cs="Arial"/>
          <w:kern w:val="24"/>
          <w:sz w:val="22"/>
          <w:szCs w:val="22"/>
        </w:rPr>
        <w:t>31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 </w:t>
      </w:r>
      <w:r w:rsidR="00B356FF" w:rsidRPr="001E571D">
        <w:rPr>
          <w:rFonts w:ascii="Arial" w:hAnsi="Arial" w:cs="Arial"/>
          <w:kern w:val="24"/>
          <w:sz w:val="22"/>
          <w:szCs w:val="22"/>
        </w:rPr>
        <w:t xml:space="preserve">millones durante </w:t>
      </w:r>
      <w:r w:rsidR="006F0EE4">
        <w:rPr>
          <w:rFonts w:ascii="Arial" w:hAnsi="Arial" w:cs="Arial"/>
          <w:kern w:val="24"/>
          <w:sz w:val="22"/>
          <w:szCs w:val="22"/>
        </w:rPr>
        <w:t xml:space="preserve">el </w:t>
      </w:r>
      <w:r w:rsidR="00B356FF" w:rsidRPr="001E571D">
        <w:rPr>
          <w:rFonts w:ascii="Arial" w:hAnsi="Arial" w:cs="Arial"/>
          <w:kern w:val="24"/>
          <w:sz w:val="22"/>
          <w:szCs w:val="22"/>
        </w:rPr>
        <w:t>20</w:t>
      </w:r>
      <w:r w:rsidR="003175A1" w:rsidRPr="001E571D">
        <w:rPr>
          <w:rFonts w:ascii="Arial" w:hAnsi="Arial" w:cs="Arial"/>
          <w:kern w:val="24"/>
          <w:sz w:val="22"/>
          <w:szCs w:val="22"/>
        </w:rPr>
        <w:t>22</w:t>
      </w:r>
      <w:r w:rsidR="00B356FF" w:rsidRPr="001E571D">
        <w:rPr>
          <w:rFonts w:ascii="Arial" w:hAnsi="Arial" w:cs="Arial"/>
          <w:kern w:val="24"/>
          <w:sz w:val="22"/>
          <w:szCs w:val="22"/>
        </w:rPr>
        <w:t>, importe que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 representó S/ </w:t>
      </w:r>
      <w:r w:rsidR="003175A1" w:rsidRPr="001E571D">
        <w:rPr>
          <w:rFonts w:ascii="Arial" w:hAnsi="Arial" w:cs="Arial"/>
          <w:kern w:val="24"/>
          <w:sz w:val="22"/>
          <w:szCs w:val="22"/>
        </w:rPr>
        <w:t>5 8</w:t>
      </w:r>
      <w:r w:rsidR="007F241D" w:rsidRPr="001E571D">
        <w:rPr>
          <w:rFonts w:ascii="Arial" w:hAnsi="Arial" w:cs="Arial"/>
          <w:kern w:val="24"/>
          <w:sz w:val="22"/>
          <w:szCs w:val="22"/>
        </w:rPr>
        <w:t>08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 millones </w:t>
      </w:r>
      <w:r w:rsidR="003175A1" w:rsidRPr="001E571D">
        <w:rPr>
          <w:rFonts w:ascii="Arial" w:hAnsi="Arial" w:cs="Arial"/>
          <w:kern w:val="24"/>
          <w:sz w:val="22"/>
          <w:szCs w:val="22"/>
        </w:rPr>
        <w:t xml:space="preserve">más </w:t>
      </w:r>
      <w:r w:rsidR="0000227B" w:rsidRPr="001E571D">
        <w:rPr>
          <w:rFonts w:ascii="Arial" w:hAnsi="Arial" w:cs="Arial"/>
          <w:kern w:val="24"/>
          <w:sz w:val="22"/>
          <w:szCs w:val="22"/>
        </w:rPr>
        <w:t>que en el 20</w:t>
      </w:r>
      <w:r w:rsidR="003175A1" w:rsidRPr="001E571D">
        <w:rPr>
          <w:rFonts w:ascii="Arial" w:hAnsi="Arial" w:cs="Arial"/>
          <w:kern w:val="24"/>
          <w:sz w:val="22"/>
          <w:szCs w:val="22"/>
        </w:rPr>
        <w:t>2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1 </w:t>
      </w:r>
      <w:r w:rsidR="0017495C" w:rsidRPr="001E571D">
        <w:rPr>
          <w:rFonts w:ascii="Arial" w:hAnsi="Arial" w:cs="Arial"/>
          <w:kern w:val="24"/>
          <w:sz w:val="22"/>
          <w:szCs w:val="22"/>
        </w:rPr>
        <w:t>y que se tradujo en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 un </w:t>
      </w:r>
      <w:r w:rsidR="003175A1" w:rsidRPr="001E571D">
        <w:rPr>
          <w:rFonts w:ascii="Arial" w:hAnsi="Arial" w:cs="Arial"/>
          <w:kern w:val="24"/>
          <w:sz w:val="22"/>
          <w:szCs w:val="22"/>
        </w:rPr>
        <w:t xml:space="preserve">crecimiento </w:t>
      </w:r>
      <w:r w:rsidR="0000227B" w:rsidRPr="001E571D">
        <w:rPr>
          <w:rFonts w:ascii="Arial" w:hAnsi="Arial" w:cs="Arial"/>
          <w:kern w:val="24"/>
          <w:sz w:val="22"/>
          <w:szCs w:val="22"/>
        </w:rPr>
        <w:t xml:space="preserve">de </w:t>
      </w:r>
      <w:r w:rsidR="003175A1" w:rsidRPr="001E571D">
        <w:rPr>
          <w:rFonts w:ascii="Arial" w:hAnsi="Arial" w:cs="Arial"/>
          <w:kern w:val="24"/>
          <w:sz w:val="22"/>
          <w:szCs w:val="22"/>
        </w:rPr>
        <w:t>20</w:t>
      </w:r>
      <w:r w:rsidR="0000227B" w:rsidRPr="001E571D">
        <w:rPr>
          <w:rFonts w:ascii="Arial" w:hAnsi="Arial" w:cs="Arial"/>
          <w:kern w:val="24"/>
          <w:sz w:val="22"/>
          <w:szCs w:val="22"/>
        </w:rPr>
        <w:t>,</w:t>
      </w:r>
      <w:r w:rsidR="007F241D" w:rsidRPr="001E571D">
        <w:rPr>
          <w:rFonts w:ascii="Arial" w:hAnsi="Arial" w:cs="Arial"/>
          <w:kern w:val="24"/>
          <w:sz w:val="22"/>
          <w:szCs w:val="22"/>
        </w:rPr>
        <w:t>1</w:t>
      </w:r>
      <w:r w:rsidR="0000227B" w:rsidRPr="001E571D">
        <w:rPr>
          <w:rFonts w:ascii="Arial" w:hAnsi="Arial" w:cs="Arial"/>
          <w:kern w:val="24"/>
          <w:sz w:val="22"/>
          <w:szCs w:val="22"/>
        </w:rPr>
        <w:t>%.</w:t>
      </w:r>
    </w:p>
    <w:p w14:paraId="44244C50" w14:textId="77777777" w:rsidR="000407E2" w:rsidRPr="001E571D" w:rsidRDefault="000407E2" w:rsidP="000407E2">
      <w:pPr>
        <w:pStyle w:val="Prrafodelista"/>
        <w:ind w:left="284"/>
        <w:contextualSpacing w:val="0"/>
        <w:jc w:val="both"/>
        <w:rPr>
          <w:rFonts w:ascii="Arial" w:hAnsi="Arial" w:cs="Arial"/>
          <w:kern w:val="24"/>
          <w:sz w:val="22"/>
          <w:szCs w:val="22"/>
        </w:rPr>
      </w:pPr>
    </w:p>
    <w:p w14:paraId="698327D4" w14:textId="5C6D43BD" w:rsidR="00B356FF" w:rsidRPr="001E571D" w:rsidRDefault="0000227B" w:rsidP="000407E2">
      <w:pPr>
        <w:spacing w:after="0" w:line="240" w:lineRule="auto"/>
        <w:ind w:left="284"/>
        <w:jc w:val="both"/>
        <w:rPr>
          <w:rFonts w:ascii="Arial" w:hAnsi="Arial" w:cs="Arial"/>
        </w:rPr>
      </w:pPr>
      <w:r w:rsidRPr="001E571D">
        <w:rPr>
          <w:rFonts w:ascii="Arial" w:hAnsi="Arial" w:cs="Arial"/>
          <w:kern w:val="24"/>
          <w:lang w:val="es-ES"/>
        </w:rPr>
        <w:t xml:space="preserve">Cabe recordar que el principal concepto de devolución </w:t>
      </w:r>
      <w:r w:rsidR="006D70E9" w:rsidRPr="001E571D">
        <w:rPr>
          <w:rFonts w:ascii="Arial" w:hAnsi="Arial" w:cs="Arial"/>
          <w:kern w:val="24"/>
          <w:lang w:val="es-ES"/>
        </w:rPr>
        <w:t xml:space="preserve">de impuestos </w:t>
      </w:r>
      <w:r w:rsidRPr="001E571D">
        <w:rPr>
          <w:rFonts w:ascii="Arial" w:hAnsi="Arial" w:cs="Arial"/>
          <w:kern w:val="24"/>
          <w:lang w:val="es-ES"/>
        </w:rPr>
        <w:t>corresponde a l</w:t>
      </w:r>
      <w:r w:rsidR="000D0694" w:rsidRPr="001E571D">
        <w:rPr>
          <w:rFonts w:ascii="Arial" w:hAnsi="Arial" w:cs="Arial"/>
          <w:kern w:val="24"/>
          <w:lang w:val="es-ES"/>
        </w:rPr>
        <w:t xml:space="preserve">as exportaciones, </w:t>
      </w:r>
      <w:r w:rsidR="00B356FF" w:rsidRPr="001E571D">
        <w:rPr>
          <w:rFonts w:ascii="Arial" w:hAnsi="Arial" w:cs="Arial"/>
          <w:kern w:val="24"/>
          <w:lang w:val="es-ES"/>
        </w:rPr>
        <w:t>con un</w:t>
      </w:r>
      <w:r w:rsidR="0017495C" w:rsidRPr="001E571D">
        <w:rPr>
          <w:rFonts w:ascii="Arial" w:hAnsi="Arial" w:cs="Arial"/>
          <w:kern w:val="24"/>
          <w:lang w:val="es-ES"/>
        </w:rPr>
        <w:t>a participación de alrededor del</w:t>
      </w:r>
      <w:r w:rsidR="00B356FF" w:rsidRPr="001E571D">
        <w:rPr>
          <w:rFonts w:ascii="Arial" w:hAnsi="Arial" w:cs="Arial"/>
          <w:kern w:val="24"/>
          <w:lang w:val="es-ES"/>
        </w:rPr>
        <w:t xml:space="preserve"> </w:t>
      </w:r>
      <w:r w:rsidR="007E7573" w:rsidRPr="001E571D">
        <w:rPr>
          <w:rFonts w:ascii="Arial" w:hAnsi="Arial" w:cs="Arial"/>
          <w:kern w:val="24"/>
          <w:lang w:val="es-ES"/>
        </w:rPr>
        <w:t>7</w:t>
      </w:r>
      <w:r w:rsidR="00B356FF" w:rsidRPr="001E571D">
        <w:rPr>
          <w:rFonts w:ascii="Arial" w:hAnsi="Arial" w:cs="Arial"/>
          <w:kern w:val="24"/>
          <w:lang w:val="es-ES"/>
        </w:rPr>
        <w:t xml:space="preserve">0% del total. </w:t>
      </w:r>
    </w:p>
    <w:p w14:paraId="40C44315" w14:textId="23330777" w:rsidR="00024955" w:rsidRPr="00060830" w:rsidRDefault="00024955" w:rsidP="00C32AE8">
      <w:pPr>
        <w:spacing w:before="120" w:after="0" w:line="240" w:lineRule="auto"/>
        <w:ind w:left="284" w:hanging="218"/>
        <w:rPr>
          <w:rFonts w:ascii="Arial Nova" w:hAnsi="Arial Nova" w:cs="Arial"/>
          <w:b/>
        </w:rPr>
      </w:pPr>
    </w:p>
    <w:p w14:paraId="2236295F" w14:textId="77777777" w:rsidR="000407E2" w:rsidRDefault="000407E2" w:rsidP="00C32AE8">
      <w:pPr>
        <w:spacing w:before="120" w:after="0" w:line="240" w:lineRule="auto"/>
        <w:ind w:left="284" w:hanging="218"/>
        <w:rPr>
          <w:rFonts w:ascii="Arial Nova" w:hAnsi="Arial Nova" w:cs="Arial"/>
          <w:b/>
        </w:rPr>
      </w:pPr>
    </w:p>
    <w:p w14:paraId="3BA0F379" w14:textId="77777777" w:rsidR="001E571D" w:rsidRDefault="001E571D" w:rsidP="000407E2">
      <w:pPr>
        <w:spacing w:after="0" w:line="240" w:lineRule="auto"/>
        <w:ind w:left="284" w:hanging="218"/>
        <w:rPr>
          <w:rFonts w:ascii="Arial Nova" w:hAnsi="Arial Nova" w:cs="Arial"/>
          <w:b/>
        </w:rPr>
      </w:pPr>
    </w:p>
    <w:p w14:paraId="7CDC27B3" w14:textId="39F308AF" w:rsidR="00275244" w:rsidRPr="00DC1A16" w:rsidRDefault="00C970C2" w:rsidP="000407E2">
      <w:pPr>
        <w:spacing w:after="0" w:line="240" w:lineRule="auto"/>
        <w:ind w:left="284" w:hanging="218"/>
        <w:rPr>
          <w:rFonts w:ascii="Arial" w:hAnsi="Arial" w:cs="Arial"/>
          <w:b/>
        </w:rPr>
      </w:pPr>
      <w:r w:rsidRPr="00DC1A16">
        <w:rPr>
          <w:rFonts w:ascii="Arial" w:hAnsi="Arial" w:cs="Arial"/>
          <w:b/>
        </w:rPr>
        <w:t>Gerencia de Comunicaciones e Imagen Institucional</w:t>
      </w:r>
    </w:p>
    <w:p w14:paraId="24EBEBCD" w14:textId="3DD02149" w:rsidR="0017495C" w:rsidRPr="00DC1A16" w:rsidRDefault="00C970C2" w:rsidP="000407E2">
      <w:pPr>
        <w:spacing w:after="0" w:line="240" w:lineRule="auto"/>
        <w:ind w:left="284" w:hanging="218"/>
        <w:rPr>
          <w:rFonts w:ascii="Arial" w:hAnsi="Arial" w:cs="Arial"/>
        </w:rPr>
      </w:pPr>
      <w:r w:rsidRPr="00DC1A16">
        <w:rPr>
          <w:rFonts w:ascii="Arial" w:hAnsi="Arial" w:cs="Arial"/>
        </w:rPr>
        <w:t xml:space="preserve">Lima, </w:t>
      </w:r>
      <w:r w:rsidR="00E77FBC" w:rsidRPr="00DC1A16">
        <w:rPr>
          <w:rFonts w:ascii="Arial" w:hAnsi="Arial" w:cs="Arial"/>
        </w:rPr>
        <w:t>miércoles</w:t>
      </w:r>
      <w:r w:rsidR="000407E2" w:rsidRPr="00DC1A16">
        <w:rPr>
          <w:rFonts w:ascii="Arial" w:hAnsi="Arial" w:cs="Arial"/>
        </w:rPr>
        <w:t xml:space="preserve"> </w:t>
      </w:r>
      <w:r w:rsidR="00E77FBC" w:rsidRPr="00DC1A16">
        <w:rPr>
          <w:rFonts w:ascii="Arial" w:hAnsi="Arial" w:cs="Arial"/>
        </w:rPr>
        <w:t>4</w:t>
      </w:r>
      <w:r w:rsidRPr="00DC1A16">
        <w:rPr>
          <w:rFonts w:ascii="Arial" w:hAnsi="Arial" w:cs="Arial"/>
        </w:rPr>
        <w:t xml:space="preserve"> de enero del 20</w:t>
      </w:r>
      <w:r w:rsidR="007E7573" w:rsidRPr="00DC1A16">
        <w:rPr>
          <w:rFonts w:ascii="Arial" w:hAnsi="Arial" w:cs="Arial"/>
        </w:rPr>
        <w:t>23</w:t>
      </w:r>
      <w:r w:rsidR="00F02AAC" w:rsidRPr="00DC1A16">
        <w:rPr>
          <w:rFonts w:ascii="Arial" w:hAnsi="Arial" w:cs="Arial"/>
        </w:rPr>
        <w:t>.</w:t>
      </w:r>
    </w:p>
    <w:p w14:paraId="36110A87" w14:textId="77777777" w:rsidR="0017495C" w:rsidRPr="00060830" w:rsidRDefault="0017495C" w:rsidP="00C32AE8">
      <w:pPr>
        <w:spacing w:before="120" w:after="0" w:line="240" w:lineRule="auto"/>
        <w:rPr>
          <w:rFonts w:ascii="Arial Nova" w:hAnsi="Arial Nova" w:cs="Arial"/>
        </w:rPr>
      </w:pPr>
      <w:r w:rsidRPr="00060830">
        <w:rPr>
          <w:rFonts w:ascii="Arial Nova" w:hAnsi="Arial Nova" w:cs="Arial"/>
        </w:rPr>
        <w:br w:type="page"/>
      </w:r>
    </w:p>
    <w:p w14:paraId="5D60C899" w14:textId="64FC89F2" w:rsidR="0017495C" w:rsidRPr="00060830" w:rsidRDefault="0017495C" w:rsidP="006F0DC0">
      <w:pPr>
        <w:spacing w:before="240" w:after="240" w:line="240" w:lineRule="auto"/>
        <w:ind w:left="284" w:hanging="218"/>
        <w:rPr>
          <w:rFonts w:ascii="Arial Nova" w:hAnsi="Arial Nova" w:cs="Arial"/>
        </w:rPr>
      </w:pPr>
    </w:p>
    <w:p w14:paraId="4744E620" w14:textId="6630EC5F" w:rsidR="0017495C" w:rsidRPr="00060830" w:rsidRDefault="0017495C" w:rsidP="006F0DC0">
      <w:pPr>
        <w:spacing w:before="240" w:after="240" w:line="240" w:lineRule="auto"/>
        <w:ind w:left="284" w:hanging="218"/>
        <w:jc w:val="center"/>
        <w:rPr>
          <w:rFonts w:ascii="Arial Nova" w:hAnsi="Arial Nova" w:cs="Arial"/>
          <w:b/>
        </w:rPr>
      </w:pPr>
      <w:r w:rsidRPr="00060830">
        <w:rPr>
          <w:rFonts w:ascii="Arial Nova" w:hAnsi="Arial Nova" w:cs="Arial"/>
          <w:b/>
        </w:rPr>
        <w:t>ANEXO</w:t>
      </w:r>
    </w:p>
    <w:p w14:paraId="007C1832" w14:textId="4845E611" w:rsidR="0017495C" w:rsidRDefault="00642C75" w:rsidP="006F0DC0">
      <w:pPr>
        <w:spacing w:before="240" w:after="240" w:line="240" w:lineRule="auto"/>
        <w:ind w:left="284" w:hanging="218"/>
        <w:jc w:val="center"/>
        <w:rPr>
          <w:rFonts w:ascii="Arial Nova" w:hAnsi="Arial Nova" w:cs="Arial"/>
          <w:b/>
        </w:rPr>
      </w:pPr>
      <w:r w:rsidRPr="00642C75">
        <w:rPr>
          <w:noProof/>
        </w:rPr>
        <w:drawing>
          <wp:inline distT="0" distB="0" distL="0" distR="0" wp14:anchorId="3909B19A" wp14:editId="42938C36">
            <wp:extent cx="6304280" cy="3976437"/>
            <wp:effectExtent l="0" t="0" r="127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6" cy="39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0C47" w14:textId="669FD5F5" w:rsidR="00CA1E3C" w:rsidRDefault="00CA1E3C" w:rsidP="006F0DC0">
      <w:pPr>
        <w:spacing w:before="240" w:after="240" w:line="240" w:lineRule="auto"/>
        <w:ind w:left="284" w:hanging="218"/>
        <w:jc w:val="center"/>
        <w:rPr>
          <w:rFonts w:ascii="Arial Nova" w:hAnsi="Arial Nova" w:cs="Arial"/>
          <w:b/>
        </w:rPr>
      </w:pPr>
    </w:p>
    <w:p w14:paraId="1CE013DD" w14:textId="5B66C26D" w:rsidR="00CA1E3C" w:rsidRDefault="00CA1E3C" w:rsidP="006F0DC0">
      <w:pPr>
        <w:spacing w:before="240" w:after="240" w:line="240" w:lineRule="auto"/>
        <w:ind w:left="284" w:hanging="218"/>
        <w:jc w:val="center"/>
        <w:rPr>
          <w:rFonts w:ascii="Arial Nova" w:hAnsi="Arial Nova" w:cs="Arial"/>
          <w:b/>
        </w:rPr>
      </w:pPr>
    </w:p>
    <w:sectPr w:rsidR="00CA1E3C" w:rsidSect="00FF505E">
      <w:headerReference w:type="default" r:id="rId17"/>
      <w:footerReference w:type="default" r:id="rId18"/>
      <w:pgSz w:w="11906" w:h="16838"/>
      <w:pgMar w:top="1450" w:right="1080" w:bottom="144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3CA3D" w14:textId="77777777" w:rsidR="00C521E8" w:rsidRDefault="00C521E8" w:rsidP="00D57CD9">
      <w:pPr>
        <w:spacing w:after="0" w:line="240" w:lineRule="auto"/>
      </w:pPr>
      <w:r>
        <w:separator/>
      </w:r>
    </w:p>
  </w:endnote>
  <w:endnote w:type="continuationSeparator" w:id="0">
    <w:p w14:paraId="73A292A8" w14:textId="77777777" w:rsidR="00C521E8" w:rsidRDefault="00C521E8" w:rsidP="00D57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 Roman">
    <w:altName w:val="Corbel"/>
    <w:charset w:val="00"/>
    <w:family w:val="swiss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D646" w14:textId="2E9C9261" w:rsidR="00845BD7" w:rsidRDefault="00453723">
    <w:pPr>
      <w:pStyle w:val="Piedepgina"/>
    </w:pPr>
    <w:r>
      <w:rPr>
        <w:rFonts w:ascii="Antique Olive Roman" w:hAnsi="Antique Olive Roman" w:cs="Aharoni"/>
        <w:b/>
        <w:noProof/>
        <w:szCs w:val="20"/>
        <w:lang w:val="es-ES_tradnl" w:eastAsia="es-ES_tradnl"/>
      </w:rPr>
      <w:drawing>
        <wp:inline distT="0" distB="0" distL="0" distR="0" wp14:anchorId="32FFDA03" wp14:editId="54CF4525">
          <wp:extent cx="292735" cy="292735"/>
          <wp:effectExtent l="0" t="0" r="0" b="0"/>
          <wp:docPr id="6" name="Imagen 2" descr="Descripción: Descripción: logo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logotwi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5BD7">
      <w:rPr>
        <w:rFonts w:ascii="Antique Olive Roman" w:hAnsi="Antique Olive Roman" w:cs="Aharoni"/>
        <w:b/>
        <w:szCs w:val="20"/>
      </w:rPr>
      <w:t xml:space="preserve">  @SUNAT</w:t>
    </w:r>
    <w:r w:rsidR="00704AAB">
      <w:rPr>
        <w:rFonts w:ascii="Antique Olive Roman" w:hAnsi="Antique Olive Roman" w:cs="Aharoni"/>
        <w:b/>
        <w:szCs w:val="20"/>
      </w:rPr>
      <w:t>Oficial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3E7B7" w14:textId="77777777" w:rsidR="00C521E8" w:rsidRDefault="00C521E8" w:rsidP="00D57CD9">
      <w:pPr>
        <w:spacing w:after="0" w:line="240" w:lineRule="auto"/>
      </w:pPr>
      <w:r>
        <w:separator/>
      </w:r>
    </w:p>
  </w:footnote>
  <w:footnote w:type="continuationSeparator" w:id="0">
    <w:p w14:paraId="6DD43505" w14:textId="77777777" w:rsidR="00C521E8" w:rsidRDefault="00C521E8" w:rsidP="00D57CD9">
      <w:pPr>
        <w:spacing w:after="0" w:line="240" w:lineRule="auto"/>
      </w:pPr>
      <w:r>
        <w:continuationSeparator/>
      </w:r>
    </w:p>
  </w:footnote>
  <w:footnote w:id="1">
    <w:p w14:paraId="4C4139A4" w14:textId="2E5FB6F2" w:rsidR="00F2628F" w:rsidRPr="001323DE" w:rsidRDefault="00F2628F" w:rsidP="006F0DC0">
      <w:pPr>
        <w:pStyle w:val="Textonotapie"/>
        <w:ind w:left="142" w:hanging="142"/>
        <w:jc w:val="both"/>
        <w:rPr>
          <w:rFonts w:ascii="Arial" w:hAnsi="Arial" w:cs="Arial"/>
          <w:sz w:val="18"/>
          <w:szCs w:val="18"/>
        </w:rPr>
      </w:pPr>
      <w:r w:rsidRPr="001323DE">
        <w:rPr>
          <w:rStyle w:val="Refdenotaalpie"/>
          <w:rFonts w:ascii="Arial" w:hAnsi="Arial" w:cs="Arial"/>
          <w:sz w:val="18"/>
          <w:szCs w:val="18"/>
        </w:rPr>
        <w:footnoteRef/>
      </w:r>
      <w:r w:rsidRPr="001323DE">
        <w:rPr>
          <w:rFonts w:ascii="Arial" w:hAnsi="Arial" w:cs="Arial"/>
          <w:sz w:val="18"/>
          <w:szCs w:val="18"/>
        </w:rPr>
        <w:t xml:space="preserve"> </w:t>
      </w:r>
      <w:r w:rsidR="0017495C" w:rsidRPr="001323DE">
        <w:rPr>
          <w:rFonts w:ascii="Arial" w:hAnsi="Arial" w:cs="Arial"/>
          <w:sz w:val="18"/>
          <w:szCs w:val="18"/>
        </w:rPr>
        <w:t>Tasas de 2,9% y 2,7%, respectivamente, según p</w:t>
      </w:r>
      <w:r w:rsidRPr="001323DE">
        <w:rPr>
          <w:rFonts w:ascii="Arial" w:hAnsi="Arial" w:cs="Arial"/>
          <w:sz w:val="18"/>
          <w:szCs w:val="18"/>
        </w:rPr>
        <w:t>royección del BCRP en su Reporte de Inflación de diciembre 20</w:t>
      </w:r>
      <w:r w:rsidR="00882183" w:rsidRPr="001323DE">
        <w:rPr>
          <w:rFonts w:ascii="Arial" w:hAnsi="Arial" w:cs="Arial"/>
          <w:sz w:val="18"/>
          <w:szCs w:val="18"/>
        </w:rPr>
        <w:t>22</w:t>
      </w:r>
      <w:r w:rsidRPr="001323DE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8377" w14:textId="4D74C000" w:rsidR="00845BD7" w:rsidRDefault="00453723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78AD7F76" wp14:editId="12F6A9CD">
          <wp:extent cx="2070100" cy="680085"/>
          <wp:effectExtent l="0" t="0" r="0" b="0"/>
          <wp:docPr id="4" name="Imagen 1" descr="Descripción: Descripción: logo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logo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C637C"/>
    <w:multiLevelType w:val="hybridMultilevel"/>
    <w:tmpl w:val="92D45D5C"/>
    <w:lvl w:ilvl="0" w:tplc="280A0003">
      <w:start w:val="1"/>
      <w:numFmt w:val="bullet"/>
      <w:lvlText w:val="o"/>
      <w:lvlJc w:val="left"/>
      <w:pPr>
        <w:ind w:left="426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" w15:restartNumberingAfterBreak="0">
    <w:nsid w:val="15D075C3"/>
    <w:multiLevelType w:val="hybridMultilevel"/>
    <w:tmpl w:val="32D69FD8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06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62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23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C1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0D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24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AB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E2E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4049A7"/>
    <w:multiLevelType w:val="hybridMultilevel"/>
    <w:tmpl w:val="A95A4DBA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401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E5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29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4A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28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86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E2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72D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165F0C"/>
    <w:multiLevelType w:val="hybridMultilevel"/>
    <w:tmpl w:val="3036CCA4"/>
    <w:lvl w:ilvl="0" w:tplc="280A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24B01C00"/>
    <w:multiLevelType w:val="hybridMultilevel"/>
    <w:tmpl w:val="CF64EA0A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E5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2C7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47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60A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B0B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521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EB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82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F833CA"/>
    <w:multiLevelType w:val="hybridMultilevel"/>
    <w:tmpl w:val="08725FD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DB055A"/>
    <w:multiLevelType w:val="hybridMultilevel"/>
    <w:tmpl w:val="3FDA241C"/>
    <w:lvl w:ilvl="0" w:tplc="44F4CA4E">
      <w:numFmt w:val="bullet"/>
      <w:lvlText w:val="-"/>
      <w:lvlJc w:val="left"/>
      <w:pPr>
        <w:ind w:left="643" w:hanging="360"/>
      </w:pPr>
      <w:rPr>
        <w:rFonts w:ascii="Arial Nova" w:eastAsia="Calibri" w:hAnsi="Arial Nova" w:cs="Arial" w:hint="default"/>
      </w:rPr>
    </w:lvl>
    <w:lvl w:ilvl="1" w:tplc="2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35B10997"/>
    <w:multiLevelType w:val="hybridMultilevel"/>
    <w:tmpl w:val="1A8A6DE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DB0210"/>
    <w:multiLevelType w:val="hybridMultilevel"/>
    <w:tmpl w:val="9C4EC694"/>
    <w:lvl w:ilvl="0" w:tplc="44F4CA4E"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45308"/>
    <w:multiLevelType w:val="hybridMultilevel"/>
    <w:tmpl w:val="40268010"/>
    <w:lvl w:ilvl="0" w:tplc="82F8E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A23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20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CA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41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A4D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01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009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6CC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760665"/>
    <w:multiLevelType w:val="hybridMultilevel"/>
    <w:tmpl w:val="FF42130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352E9"/>
    <w:multiLevelType w:val="hybridMultilevel"/>
    <w:tmpl w:val="06C299FA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966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49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CF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2F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89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C5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0E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EE6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F7271F"/>
    <w:multiLevelType w:val="hybridMultilevel"/>
    <w:tmpl w:val="030C32EC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F61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8D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02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26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8F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E5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4EF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00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276B72"/>
    <w:multiLevelType w:val="hybridMultilevel"/>
    <w:tmpl w:val="9C7249A0"/>
    <w:lvl w:ilvl="0" w:tplc="5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B9844B5"/>
    <w:multiLevelType w:val="hybridMultilevel"/>
    <w:tmpl w:val="249A6A6C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D31EED"/>
    <w:multiLevelType w:val="hybridMultilevel"/>
    <w:tmpl w:val="5F56D246"/>
    <w:lvl w:ilvl="0" w:tplc="FFFFFFF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4F4CA4E">
      <w:numFmt w:val="bullet"/>
      <w:lvlText w:val="-"/>
      <w:lvlJc w:val="left"/>
      <w:pPr>
        <w:ind w:left="643" w:hanging="360"/>
      </w:pPr>
      <w:rPr>
        <w:rFonts w:ascii="Arial Nova" w:eastAsia="Calibri" w:hAnsi="Arial Nova" w:cs="Arial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6721776"/>
    <w:multiLevelType w:val="hybridMultilevel"/>
    <w:tmpl w:val="99D28F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924A9"/>
    <w:multiLevelType w:val="hybridMultilevel"/>
    <w:tmpl w:val="431286AC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0DB46BB"/>
    <w:multiLevelType w:val="hybridMultilevel"/>
    <w:tmpl w:val="909C16DA"/>
    <w:lvl w:ilvl="0" w:tplc="44F4CA4E"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4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11"/>
  </w:num>
  <w:num w:numId="10">
    <w:abstractNumId w:val="2"/>
  </w:num>
  <w:num w:numId="11">
    <w:abstractNumId w:val="16"/>
  </w:num>
  <w:num w:numId="12">
    <w:abstractNumId w:val="0"/>
  </w:num>
  <w:num w:numId="13">
    <w:abstractNumId w:val="13"/>
  </w:num>
  <w:num w:numId="14">
    <w:abstractNumId w:val="17"/>
  </w:num>
  <w:num w:numId="15">
    <w:abstractNumId w:val="3"/>
  </w:num>
  <w:num w:numId="16">
    <w:abstractNumId w:val="6"/>
  </w:num>
  <w:num w:numId="17">
    <w:abstractNumId w:val="15"/>
  </w:num>
  <w:num w:numId="18">
    <w:abstractNumId w:val="8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24"/>
    <w:rsid w:val="0000227B"/>
    <w:rsid w:val="000069EA"/>
    <w:rsid w:val="000210A2"/>
    <w:rsid w:val="00022FDB"/>
    <w:rsid w:val="00024955"/>
    <w:rsid w:val="000407E2"/>
    <w:rsid w:val="00056F21"/>
    <w:rsid w:val="00060830"/>
    <w:rsid w:val="0007756B"/>
    <w:rsid w:val="00092EC1"/>
    <w:rsid w:val="000A4F40"/>
    <w:rsid w:val="000A63F7"/>
    <w:rsid w:val="000A64D2"/>
    <w:rsid w:val="000A69BE"/>
    <w:rsid w:val="000B7571"/>
    <w:rsid w:val="000D0694"/>
    <w:rsid w:val="000D3905"/>
    <w:rsid w:val="000D7B03"/>
    <w:rsid w:val="000F6D3F"/>
    <w:rsid w:val="0013177F"/>
    <w:rsid w:val="001322C3"/>
    <w:rsid w:val="001323DE"/>
    <w:rsid w:val="001331EF"/>
    <w:rsid w:val="00135471"/>
    <w:rsid w:val="0013720F"/>
    <w:rsid w:val="0014132D"/>
    <w:rsid w:val="0014343E"/>
    <w:rsid w:val="00147976"/>
    <w:rsid w:val="00161A39"/>
    <w:rsid w:val="001660D5"/>
    <w:rsid w:val="00173624"/>
    <w:rsid w:val="0017495C"/>
    <w:rsid w:val="00190BA8"/>
    <w:rsid w:val="00193F8C"/>
    <w:rsid w:val="00196F22"/>
    <w:rsid w:val="001A27A4"/>
    <w:rsid w:val="001A52D3"/>
    <w:rsid w:val="001A5923"/>
    <w:rsid w:val="001B3AF2"/>
    <w:rsid w:val="001C20B7"/>
    <w:rsid w:val="001C640C"/>
    <w:rsid w:val="001D00DC"/>
    <w:rsid w:val="001D411E"/>
    <w:rsid w:val="001D4E2E"/>
    <w:rsid w:val="001E571D"/>
    <w:rsid w:val="001E62B0"/>
    <w:rsid w:val="001F5473"/>
    <w:rsid w:val="001F7095"/>
    <w:rsid w:val="002222D7"/>
    <w:rsid w:val="00224A2D"/>
    <w:rsid w:val="002252A3"/>
    <w:rsid w:val="00245A4D"/>
    <w:rsid w:val="00262DAB"/>
    <w:rsid w:val="00273D3F"/>
    <w:rsid w:val="00275244"/>
    <w:rsid w:val="00276921"/>
    <w:rsid w:val="002777D4"/>
    <w:rsid w:val="00293404"/>
    <w:rsid w:val="00297E3C"/>
    <w:rsid w:val="002A3218"/>
    <w:rsid w:val="002C2333"/>
    <w:rsid w:val="002E4C59"/>
    <w:rsid w:val="002F0C2F"/>
    <w:rsid w:val="002F32E7"/>
    <w:rsid w:val="002F37F0"/>
    <w:rsid w:val="002F428A"/>
    <w:rsid w:val="002F535F"/>
    <w:rsid w:val="00302542"/>
    <w:rsid w:val="00302EAB"/>
    <w:rsid w:val="003175A1"/>
    <w:rsid w:val="00320942"/>
    <w:rsid w:val="003271D2"/>
    <w:rsid w:val="00335A4B"/>
    <w:rsid w:val="00343AE8"/>
    <w:rsid w:val="003531BB"/>
    <w:rsid w:val="003600F7"/>
    <w:rsid w:val="00370502"/>
    <w:rsid w:val="003B6E58"/>
    <w:rsid w:val="003B70F3"/>
    <w:rsid w:val="003B72E1"/>
    <w:rsid w:val="003D234F"/>
    <w:rsid w:val="003E2773"/>
    <w:rsid w:val="00400FF8"/>
    <w:rsid w:val="0042265B"/>
    <w:rsid w:val="00426E1B"/>
    <w:rsid w:val="004449D5"/>
    <w:rsid w:val="004523BC"/>
    <w:rsid w:val="00453723"/>
    <w:rsid w:val="00453EAD"/>
    <w:rsid w:val="00456FFB"/>
    <w:rsid w:val="00462E35"/>
    <w:rsid w:val="00463420"/>
    <w:rsid w:val="00472288"/>
    <w:rsid w:val="004731F0"/>
    <w:rsid w:val="00490D19"/>
    <w:rsid w:val="004917B8"/>
    <w:rsid w:val="004A38CC"/>
    <w:rsid w:val="004C3BCF"/>
    <w:rsid w:val="004C63A2"/>
    <w:rsid w:val="004C7BB5"/>
    <w:rsid w:val="0050107D"/>
    <w:rsid w:val="005307AE"/>
    <w:rsid w:val="005369BC"/>
    <w:rsid w:val="00545449"/>
    <w:rsid w:val="005505B0"/>
    <w:rsid w:val="00570BFB"/>
    <w:rsid w:val="00574BD8"/>
    <w:rsid w:val="00583C99"/>
    <w:rsid w:val="005A074F"/>
    <w:rsid w:val="005A4CCF"/>
    <w:rsid w:val="005C0F73"/>
    <w:rsid w:val="005C3E4B"/>
    <w:rsid w:val="005D362F"/>
    <w:rsid w:val="005D5065"/>
    <w:rsid w:val="005D513E"/>
    <w:rsid w:val="005F2052"/>
    <w:rsid w:val="005F7ABC"/>
    <w:rsid w:val="00604A54"/>
    <w:rsid w:val="00607D79"/>
    <w:rsid w:val="00627925"/>
    <w:rsid w:val="0063179A"/>
    <w:rsid w:val="00642C75"/>
    <w:rsid w:val="00642D00"/>
    <w:rsid w:val="00643091"/>
    <w:rsid w:val="006627C7"/>
    <w:rsid w:val="00674F21"/>
    <w:rsid w:val="00675FBE"/>
    <w:rsid w:val="00681AF0"/>
    <w:rsid w:val="00682E5D"/>
    <w:rsid w:val="00684CEB"/>
    <w:rsid w:val="00694856"/>
    <w:rsid w:val="006A1544"/>
    <w:rsid w:val="006A32B6"/>
    <w:rsid w:val="006A75EA"/>
    <w:rsid w:val="006D2C7C"/>
    <w:rsid w:val="006D70E9"/>
    <w:rsid w:val="006F0DC0"/>
    <w:rsid w:val="006F0EE4"/>
    <w:rsid w:val="006F5F7C"/>
    <w:rsid w:val="00704AAB"/>
    <w:rsid w:val="00723654"/>
    <w:rsid w:val="007320AA"/>
    <w:rsid w:val="0073357C"/>
    <w:rsid w:val="007349CA"/>
    <w:rsid w:val="00734DA0"/>
    <w:rsid w:val="00745118"/>
    <w:rsid w:val="00750D25"/>
    <w:rsid w:val="00751B60"/>
    <w:rsid w:val="00791C05"/>
    <w:rsid w:val="007A4C55"/>
    <w:rsid w:val="007B10BD"/>
    <w:rsid w:val="007B1876"/>
    <w:rsid w:val="007B6265"/>
    <w:rsid w:val="007C0BFB"/>
    <w:rsid w:val="007C5CD2"/>
    <w:rsid w:val="007C665A"/>
    <w:rsid w:val="007E151F"/>
    <w:rsid w:val="007E7573"/>
    <w:rsid w:val="007F241D"/>
    <w:rsid w:val="007F7377"/>
    <w:rsid w:val="008003DB"/>
    <w:rsid w:val="00800C82"/>
    <w:rsid w:val="008010C2"/>
    <w:rsid w:val="00803F4F"/>
    <w:rsid w:val="008058C4"/>
    <w:rsid w:val="0081453E"/>
    <w:rsid w:val="00833478"/>
    <w:rsid w:val="0083616B"/>
    <w:rsid w:val="00837649"/>
    <w:rsid w:val="00837A64"/>
    <w:rsid w:val="008412ED"/>
    <w:rsid w:val="00845BD7"/>
    <w:rsid w:val="00850753"/>
    <w:rsid w:val="008711F3"/>
    <w:rsid w:val="008813F1"/>
    <w:rsid w:val="00882183"/>
    <w:rsid w:val="00893EFC"/>
    <w:rsid w:val="008A1C96"/>
    <w:rsid w:val="008A3CBE"/>
    <w:rsid w:val="008B2D6B"/>
    <w:rsid w:val="008B7FC1"/>
    <w:rsid w:val="008E4015"/>
    <w:rsid w:val="008E567D"/>
    <w:rsid w:val="008E68AF"/>
    <w:rsid w:val="008E7197"/>
    <w:rsid w:val="008F3DDD"/>
    <w:rsid w:val="009028A6"/>
    <w:rsid w:val="0090294D"/>
    <w:rsid w:val="00924A16"/>
    <w:rsid w:val="00930196"/>
    <w:rsid w:val="00932603"/>
    <w:rsid w:val="00934434"/>
    <w:rsid w:val="00941763"/>
    <w:rsid w:val="00943996"/>
    <w:rsid w:val="00983F9E"/>
    <w:rsid w:val="009E211D"/>
    <w:rsid w:val="00A02AEF"/>
    <w:rsid w:val="00A13DE2"/>
    <w:rsid w:val="00A217E9"/>
    <w:rsid w:val="00A2451F"/>
    <w:rsid w:val="00A2500C"/>
    <w:rsid w:val="00A2557B"/>
    <w:rsid w:val="00A3239D"/>
    <w:rsid w:val="00A45211"/>
    <w:rsid w:val="00A47237"/>
    <w:rsid w:val="00A726FF"/>
    <w:rsid w:val="00A73F09"/>
    <w:rsid w:val="00A832BF"/>
    <w:rsid w:val="00A93728"/>
    <w:rsid w:val="00A97791"/>
    <w:rsid w:val="00AA010D"/>
    <w:rsid w:val="00AA106A"/>
    <w:rsid w:val="00AA1368"/>
    <w:rsid w:val="00AB0593"/>
    <w:rsid w:val="00AB3F8E"/>
    <w:rsid w:val="00AC36B9"/>
    <w:rsid w:val="00AC4938"/>
    <w:rsid w:val="00AC74B4"/>
    <w:rsid w:val="00AD0A1E"/>
    <w:rsid w:val="00AE1052"/>
    <w:rsid w:val="00AE5F09"/>
    <w:rsid w:val="00B13734"/>
    <w:rsid w:val="00B273D3"/>
    <w:rsid w:val="00B278CB"/>
    <w:rsid w:val="00B356FF"/>
    <w:rsid w:val="00B54BCE"/>
    <w:rsid w:val="00B60867"/>
    <w:rsid w:val="00B7567F"/>
    <w:rsid w:val="00B852D1"/>
    <w:rsid w:val="00B91C23"/>
    <w:rsid w:val="00B97E42"/>
    <w:rsid w:val="00BA781D"/>
    <w:rsid w:val="00BC5F87"/>
    <w:rsid w:val="00BE0559"/>
    <w:rsid w:val="00BF3B52"/>
    <w:rsid w:val="00C046D8"/>
    <w:rsid w:val="00C07566"/>
    <w:rsid w:val="00C137DC"/>
    <w:rsid w:val="00C13BC4"/>
    <w:rsid w:val="00C32AE8"/>
    <w:rsid w:val="00C344EE"/>
    <w:rsid w:val="00C46038"/>
    <w:rsid w:val="00C471D1"/>
    <w:rsid w:val="00C521E8"/>
    <w:rsid w:val="00C54E99"/>
    <w:rsid w:val="00C80373"/>
    <w:rsid w:val="00C81A9C"/>
    <w:rsid w:val="00C85467"/>
    <w:rsid w:val="00C92EB3"/>
    <w:rsid w:val="00C970C2"/>
    <w:rsid w:val="00CA0EDE"/>
    <w:rsid w:val="00CA1E3C"/>
    <w:rsid w:val="00CB380C"/>
    <w:rsid w:val="00CC4064"/>
    <w:rsid w:val="00CF2BC1"/>
    <w:rsid w:val="00D24B91"/>
    <w:rsid w:val="00D5027E"/>
    <w:rsid w:val="00D53BFF"/>
    <w:rsid w:val="00D57CD9"/>
    <w:rsid w:val="00D6308C"/>
    <w:rsid w:val="00D73621"/>
    <w:rsid w:val="00D82634"/>
    <w:rsid w:val="00D95246"/>
    <w:rsid w:val="00DC1A16"/>
    <w:rsid w:val="00DD129E"/>
    <w:rsid w:val="00DD4DF8"/>
    <w:rsid w:val="00DE34E0"/>
    <w:rsid w:val="00DF234F"/>
    <w:rsid w:val="00DF39E3"/>
    <w:rsid w:val="00E03494"/>
    <w:rsid w:val="00E06C70"/>
    <w:rsid w:val="00E25A61"/>
    <w:rsid w:val="00E267BF"/>
    <w:rsid w:val="00E309F8"/>
    <w:rsid w:val="00E347DE"/>
    <w:rsid w:val="00E41874"/>
    <w:rsid w:val="00E522CA"/>
    <w:rsid w:val="00E53501"/>
    <w:rsid w:val="00E77FBC"/>
    <w:rsid w:val="00EA21C6"/>
    <w:rsid w:val="00EA40B9"/>
    <w:rsid w:val="00EB72D2"/>
    <w:rsid w:val="00ED1288"/>
    <w:rsid w:val="00EE40A2"/>
    <w:rsid w:val="00F02AAC"/>
    <w:rsid w:val="00F05C72"/>
    <w:rsid w:val="00F10146"/>
    <w:rsid w:val="00F2628F"/>
    <w:rsid w:val="00F26C9A"/>
    <w:rsid w:val="00F420D6"/>
    <w:rsid w:val="00F42B7A"/>
    <w:rsid w:val="00F520FC"/>
    <w:rsid w:val="00F549EB"/>
    <w:rsid w:val="00F75094"/>
    <w:rsid w:val="00F77C9C"/>
    <w:rsid w:val="00F977D7"/>
    <w:rsid w:val="00FB1A1B"/>
    <w:rsid w:val="00FB71F2"/>
    <w:rsid w:val="00FC593B"/>
    <w:rsid w:val="00FD6F6B"/>
    <w:rsid w:val="00FF20F6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392FAD4"/>
  <w15:chartTrackingRefBased/>
  <w15:docId w15:val="{5FBD98D6-341C-4891-BAF1-E24AC228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1736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73624"/>
  </w:style>
  <w:style w:type="paragraph" w:styleId="Prrafodelista">
    <w:name w:val="List Paragraph"/>
    <w:basedOn w:val="Normal"/>
    <w:uiPriority w:val="34"/>
    <w:qFormat/>
    <w:rsid w:val="0017362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57CD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D57CD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D57CD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022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845B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BD7"/>
  </w:style>
  <w:style w:type="paragraph" w:styleId="Textodeglobo">
    <w:name w:val="Balloon Text"/>
    <w:basedOn w:val="Normal"/>
    <w:link w:val="TextodegloboCar"/>
    <w:uiPriority w:val="99"/>
    <w:semiHidden/>
    <w:unhideWhenUsed/>
    <w:rsid w:val="0084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5BD7"/>
    <w:rPr>
      <w:rFonts w:ascii="Tahoma" w:hAnsi="Tahoma" w:cs="Tahoma"/>
      <w:sz w:val="16"/>
      <w:szCs w:val="16"/>
    </w:rPr>
  </w:style>
  <w:style w:type="paragraph" w:customStyle="1" w:styleId="xmsolistparagraph">
    <w:name w:val="x_msolistparagraph"/>
    <w:basedOn w:val="Normal"/>
    <w:rsid w:val="001749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6279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792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7925"/>
    <w:rPr>
      <w:lang w:val="es-PE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79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7925"/>
    <w:rPr>
      <w:b/>
      <w:bCs/>
      <w:lang w:val="es-P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3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800" b="1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Ingresos Tributarios del Gobierno Central 2018 - 2022 </a:t>
            </a:r>
          </a:p>
          <a:p>
            <a:pPr algn="l">
              <a:defRPr/>
            </a:pPr>
            <a:r>
              <a:rPr lang="es-PE" sz="80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En millones de soles</a:t>
            </a:r>
          </a:p>
        </c:rich>
      </c:tx>
      <c:layout>
        <c:manualLayout>
          <c:xMode val="edge"/>
          <c:yMode val="edge"/>
          <c:x val="1.6128497313091746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>
        <c:manualLayout>
          <c:layoutTarget val="inner"/>
          <c:xMode val="edge"/>
          <c:yMode val="edge"/>
          <c:x val="0.1711159486869426"/>
          <c:y val="0.2167090036692069"/>
          <c:w val="0.73410067401798218"/>
          <c:h val="0.46856594238167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20-26'!$D$119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6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ysClr val="window" lastClr="FFFFFF">
                  <a:lumMod val="95000"/>
                </a:sysClr>
              </a:solidFill>
              <a:ln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16-48A5-AA54-9BEBA7418EF0}"/>
              </c:ext>
            </c:extLst>
          </c:dPt>
          <c:dPt>
            <c:idx val="11"/>
            <c:invertIfNegative val="0"/>
            <c:bubble3D val="0"/>
            <c:spPr>
              <a:solidFill>
                <a:srgbClr val="4472C4">
                  <a:lumMod val="40000"/>
                  <a:lumOff val="60000"/>
                </a:srgbClr>
              </a:solidFill>
              <a:ln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7CDC-4A78-B46B-332F3ABA9755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116-48A5-AA54-9BEBA7418EF0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CDC-4A78-B46B-332F3ABA97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20-26'!$C$120:$C$131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  <c:extLst/>
            </c:numRef>
          </c:cat>
          <c:val>
            <c:numRef>
              <c:f>'Proyección_Total Sunat 20-26'!$D$120:$D$131</c:f>
              <c:numCache>
                <c:formatCode>#,##0</c:formatCode>
                <c:ptCount val="12"/>
                <c:pt idx="0">
                  <c:v>75591.223399059978</c:v>
                </c:pt>
                <c:pt idx="1">
                  <c:v>84149.145803699983</c:v>
                </c:pt>
                <c:pt idx="2">
                  <c:v>89402</c:v>
                </c:pt>
                <c:pt idx="3">
                  <c:v>95394.7</c:v>
                </c:pt>
                <c:pt idx="4">
                  <c:v>90262.399999999994</c:v>
                </c:pt>
                <c:pt idx="5">
                  <c:v>89375.3</c:v>
                </c:pt>
                <c:pt idx="6">
                  <c:v>90706</c:v>
                </c:pt>
                <c:pt idx="7">
                  <c:v>104589.52759526685</c:v>
                </c:pt>
                <c:pt idx="8">
                  <c:v>110762.06595693008</c:v>
                </c:pt>
                <c:pt idx="9">
                  <c:v>93124.735538220993</c:v>
                </c:pt>
                <c:pt idx="10">
                  <c:v>139947.14641411509</c:v>
                </c:pt>
                <c:pt idx="11">
                  <c:v>157768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D116-48A5-AA54-9BEBA7418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3790479"/>
        <c:axId val="1647805023"/>
      </c:barChart>
      <c:lineChart>
        <c:grouping val="standard"/>
        <c:varyColors val="0"/>
        <c:ser>
          <c:idx val="2"/>
          <c:order val="1"/>
          <c:tx>
            <c:strRef>
              <c:f>'Proyección_Total Sunat 20-26'!$F$119</c:f>
              <c:strCache>
                <c:ptCount val="1"/>
                <c:pt idx="0">
                  <c:v>Col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20-26'!$C$120:$C$131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  <c:extLst/>
            </c:numRef>
          </c:cat>
          <c:val>
            <c:numRef>
              <c:f>'Proyección_Total Sunat 20-26'!$F$120:$F$131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6-D116-48A5-AA54-9BEBA7418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0384351"/>
        <c:axId val="1647819999"/>
      </c:lineChart>
      <c:catAx>
        <c:axId val="19137904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647805023"/>
        <c:crosses val="autoZero"/>
        <c:auto val="1"/>
        <c:lblAlgn val="ctr"/>
        <c:lblOffset val="100"/>
        <c:noMultiLvlLbl val="0"/>
      </c:catAx>
      <c:valAx>
        <c:axId val="1647805023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913790479"/>
        <c:crosses val="autoZero"/>
        <c:crossBetween val="between"/>
      </c:valAx>
      <c:valAx>
        <c:axId val="1647819999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880384351"/>
        <c:crosses val="max"/>
        <c:crossBetween val="between"/>
      </c:valAx>
      <c:catAx>
        <c:axId val="188038435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4781999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PE" sz="8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Presión Tributaria anual: 2018 – 2022 </a:t>
            </a:r>
          </a:p>
          <a:p>
            <a:pPr algn="l"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s-PE" sz="800" b="0">
                <a:latin typeface="Arial" panose="020B0604020202020204" pitchFamily="34" charset="0"/>
                <a:cs typeface="Arial" panose="020B0604020202020204" pitchFamily="34" charset="0"/>
              </a:rPr>
              <a:t>En porcentaje del PBI</a:t>
            </a:r>
          </a:p>
        </c:rich>
      </c:tx>
      <c:layout>
        <c:manualLayout>
          <c:xMode val="edge"/>
          <c:yMode val="edge"/>
          <c:x val="1.4083333333333314E-2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PE"/>
        </a:p>
      </c:txPr>
    </c:title>
    <c:autoTitleDeleted val="0"/>
    <c:plotArea>
      <c:layout>
        <c:manualLayout>
          <c:layoutTarget val="inner"/>
          <c:xMode val="edge"/>
          <c:yMode val="edge"/>
          <c:x val="0.13692976792981404"/>
          <c:y val="0.26321563249914298"/>
          <c:w val="0.82280668887838504"/>
          <c:h val="0.57772870951981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20-26'!$D$152</c:f>
              <c:strCache>
                <c:ptCount val="1"/>
                <c:pt idx="0">
                  <c:v>Presión tributaria (PT) anual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C4-4FAC-9AA6-9D235CCB2A69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5C4-4FAC-9AA6-9D235CCB2A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20-26'!$C$153:$C$164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  <c:extLst/>
            </c:numRef>
          </c:cat>
          <c:val>
            <c:numRef>
              <c:f>'Proyección_Total Sunat 20-26'!$D$153:$D$164</c:f>
              <c:numCache>
                <c:formatCode>0.0</c:formatCode>
                <c:ptCount val="5"/>
                <c:pt idx="0">
                  <c:v>14.029381207730349</c:v>
                </c:pt>
                <c:pt idx="1">
                  <c:v>14.285846794995816</c:v>
                </c:pt>
                <c:pt idx="2">
                  <c:v>12.943797143646444</c:v>
                </c:pt>
                <c:pt idx="3">
                  <c:v>15.977598762834546</c:v>
                </c:pt>
                <c:pt idx="4">
                  <c:v>16.8048896979662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95C4-4FAC-9AA6-9D235CCB2A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28149535"/>
        <c:axId val="1978596223"/>
      </c:barChart>
      <c:catAx>
        <c:axId val="19281495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978596223"/>
        <c:crosses val="autoZero"/>
        <c:auto val="1"/>
        <c:lblAlgn val="ctr"/>
        <c:lblOffset val="100"/>
        <c:noMultiLvlLbl val="0"/>
      </c:catAx>
      <c:valAx>
        <c:axId val="1978596223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9281495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es-PE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lang="en-US" sz="1000" b="0" i="0" u="none" strike="noStrike" kern="1200" spc="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es-PE" sz="1000" b="1"/>
              <a:t>Impuesto a la Renta 2018 - 2022</a:t>
            </a:r>
          </a:p>
          <a:p>
            <a:pPr algn="l">
              <a:defRPr sz="1000"/>
            </a:pPr>
            <a:r>
              <a:rPr lang="es-PE" sz="1000"/>
              <a:t>En millones de soles y Var. % real anual</a:t>
            </a:r>
          </a:p>
        </c:rich>
      </c:tx>
      <c:layout>
        <c:manualLayout>
          <c:xMode val="edge"/>
          <c:yMode val="edge"/>
          <c:x val="1.3726404309333917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lang="en-US" sz="1000" b="0" i="0" u="none" strike="noStrike" kern="1200" spc="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20-26'!$D$89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B3-4790-A775-09DCE5B04C1D}"/>
              </c:ext>
            </c:extLst>
          </c:dPt>
          <c:dLbls>
            <c:dLbl>
              <c:idx val="3"/>
              <c:layout>
                <c:manualLayout>
                  <c:x val="0"/>
                  <c:y val="-5.572582892170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21-4E04-B0C6-136F9F265EBC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lang="en-US" sz="7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5B3-4790-A775-09DCE5B04C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20-26'!$E$88:$I$88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20-26'!$E$89:$I$89</c:f>
              <c:numCache>
                <c:formatCode>#,##0\ ;\(#,##0\);"-.-"\ </c:formatCode>
                <c:ptCount val="5"/>
                <c:pt idx="0">
                  <c:v>41598</c:v>
                </c:pt>
                <c:pt idx="1">
                  <c:v>44015.416711720005</c:v>
                </c:pt>
                <c:pt idx="2">
                  <c:v>38166.711760170008</c:v>
                </c:pt>
                <c:pt idx="3">
                  <c:v>54876.988764359994</c:v>
                </c:pt>
                <c:pt idx="4">
                  <c:v>69922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B3-4790-A775-09DCE5B04C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5116944"/>
        <c:axId val="2140896624"/>
      </c:barChart>
      <c:lineChart>
        <c:grouping val="standard"/>
        <c:varyColors val="0"/>
        <c:ser>
          <c:idx val="1"/>
          <c:order val="1"/>
          <c:tx>
            <c:strRef>
              <c:f>'Proyección_Total Sunat 20-26'!$D$90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340929808568823E-2"/>
                  <c:y val="5.5725828921705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21-4E04-B0C6-136F9F265EBC}"/>
                </c:ext>
              </c:extLst>
            </c:dLbl>
            <c:dLbl>
              <c:idx val="1"/>
              <c:layout>
                <c:manualLayout>
                  <c:x val="-4.0109389243391066E-2"/>
                  <c:y val="-3.3435497353023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21-4E04-B0C6-136F9F265EBC}"/>
                </c:ext>
              </c:extLst>
            </c:dLbl>
            <c:dLbl>
              <c:idx val="2"/>
              <c:layout>
                <c:manualLayout>
                  <c:x val="-7.2926162260711094E-2"/>
                  <c:y val="-3.3435497353023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21-4E04-B0C6-136F9F265EBC}"/>
                </c:ext>
              </c:extLst>
            </c:dLbl>
            <c:dLbl>
              <c:idx val="3"/>
              <c:layout>
                <c:manualLayout>
                  <c:x val="-3.6463081130355512E-2"/>
                  <c:y val="5.572582892170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B8-4745-B680-0CDDB40EC8EC}"/>
                </c:ext>
              </c:extLst>
            </c:dLbl>
            <c:dLbl>
              <c:idx val="4"/>
              <c:layout>
                <c:manualLayout>
                  <c:x val="-3.2816773017319965E-2"/>
                  <c:y val="-4.45806631373642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lang="en-US" sz="7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B3-4790-A775-09DCE5B04C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20-26'!$E$88:$I$88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20-26'!$E$90:$I$90</c:f>
              <c:numCache>
                <c:formatCode>_ * #,##0.0_ ;_ * \-#,##0.0_ ;_ * "-"??_ ;_ @_ </c:formatCode>
                <c:ptCount val="5"/>
                <c:pt idx="0">
                  <c:v>11.8</c:v>
                </c:pt>
                <c:pt idx="1">
                  <c:v>3.5440037226828425</c:v>
                </c:pt>
                <c:pt idx="2">
                  <c:v>-14.822305491121845</c:v>
                </c:pt>
                <c:pt idx="3">
                  <c:v>38.327255722866326</c:v>
                </c:pt>
                <c:pt idx="4" formatCode="#,##0.0">
                  <c:v>18.600000000000001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D5B3-4790-A775-09DCE5B04C1D}"/>
            </c:ext>
          </c:extLst>
        </c:ser>
        <c:ser>
          <c:idx val="2"/>
          <c:order val="2"/>
          <c:tx>
            <c:strRef>
              <c:f>'Proyección_Total Sunat 20-26'!$D$91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20-26'!$E$88:$I$88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20-26'!$E$91:$I$91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5B3-4790-A775-09DCE5B04C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5141744"/>
        <c:axId val="2140906608"/>
      </c:lineChart>
      <c:catAx>
        <c:axId val="22511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s-PE"/>
          </a:p>
        </c:txPr>
        <c:crossAx val="2140896624"/>
        <c:crosses val="autoZero"/>
        <c:auto val="1"/>
        <c:lblAlgn val="ctr"/>
        <c:lblOffset val="100"/>
        <c:noMultiLvlLbl val="0"/>
      </c:catAx>
      <c:valAx>
        <c:axId val="2140896624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s-PE"/>
          </a:p>
        </c:txPr>
        <c:crossAx val="225116944"/>
        <c:crosses val="autoZero"/>
        <c:crossBetween val="between"/>
      </c:valAx>
      <c:valAx>
        <c:axId val="2140906608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rgbClr val="0070C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s-PE"/>
          </a:p>
        </c:txPr>
        <c:crossAx val="225141744"/>
        <c:crosses val="max"/>
        <c:crossBetween val="between"/>
      </c:valAx>
      <c:catAx>
        <c:axId val="225141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0906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Arial Narrow" panose="020B0606020202030204" pitchFamily="34" charset="0"/>
          <a:ea typeface="+mn-ea"/>
          <a:cs typeface="+mn-cs"/>
        </a:defRPr>
      </a:pPr>
      <a:endParaRPr lang="es-P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900" b="1" i="0" baseline="0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Regularización 2018 - 2022</a:t>
            </a:r>
            <a:endParaRPr lang="es-PE" sz="900"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l">
              <a:defRPr/>
            </a:pPr>
            <a:r>
              <a:rPr lang="es-PE" sz="9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En millones de soles y Var. % real anual</a:t>
            </a:r>
            <a:endParaRPr lang="es-PE" sz="9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1.7670115787124751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20-26'!$D$95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79-482D-9495-7DF7CBDB9402}"/>
              </c:ext>
            </c:extLst>
          </c:dPt>
          <c:dLbls>
            <c:dLbl>
              <c:idx val="2"/>
              <c:layout>
                <c:manualLayout>
                  <c:x val="-3.5835871707579287E-3"/>
                  <c:y val="-1.632208922742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36-4DC3-A21A-AAEF9DBEDFC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679-482D-9495-7DF7CBDB94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20-26'!$E$94:$I$94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20-26'!$E$95:$I$95</c:f>
              <c:numCache>
                <c:formatCode>#,##0\ ;\(#,##0\);"-.-"\ </c:formatCode>
                <c:ptCount val="5"/>
                <c:pt idx="0">
                  <c:v>6368</c:v>
                </c:pt>
                <c:pt idx="1">
                  <c:v>6363.3047915499992</c:v>
                </c:pt>
                <c:pt idx="2">
                  <c:v>4595.9409087000004</c:v>
                </c:pt>
                <c:pt idx="3">
                  <c:v>9039.63199523</c:v>
                </c:pt>
                <c:pt idx="4">
                  <c:v>15022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79-482D-9495-7DF7CBDB9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5123744"/>
        <c:axId val="198806848"/>
      </c:barChart>
      <c:lineChart>
        <c:grouping val="standard"/>
        <c:varyColors val="0"/>
        <c:ser>
          <c:idx val="1"/>
          <c:order val="1"/>
          <c:tx>
            <c:strRef>
              <c:f>'Proyección_Total Sunat 20-26'!$D$96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920981902884752E-2"/>
                  <c:y val="-5.9847660500544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36-4DC3-A21A-AAEF9DBEDFC0}"/>
                </c:ext>
              </c:extLst>
            </c:dLbl>
            <c:dLbl>
              <c:idx val="1"/>
              <c:layout>
                <c:manualLayout>
                  <c:x val="-6.8088156244400649E-2"/>
                  <c:y val="7.0729053318824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36-4DC3-A21A-AAEF9DBEDFC0}"/>
                </c:ext>
              </c:extLst>
            </c:dLbl>
            <c:dLbl>
              <c:idx val="3"/>
              <c:layout>
                <c:manualLayout>
                  <c:x val="-3.9419458878337213E-2"/>
                  <c:y val="-5.9847660500544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36-4DC3-A21A-AAEF9DBEDFC0}"/>
                </c:ext>
              </c:extLst>
            </c:dLbl>
            <c:dLbl>
              <c:idx val="4"/>
              <c:layout>
                <c:manualLayout>
                  <c:x val="-4.3003046049095141E-2"/>
                  <c:y val="5.44069640914036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79-482D-9495-7DF7CBDB94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20-26'!$E$94:$I$94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20-26'!$E$96:$I$96</c:f>
              <c:numCache>
                <c:formatCode>_ * #,##0.0_ ;_ * \-#,##0.0_ ;_ * "-"??_ ;_ @_ </c:formatCode>
                <c:ptCount val="5"/>
                <c:pt idx="0">
                  <c:v>29.5</c:v>
                </c:pt>
                <c:pt idx="1">
                  <c:v>-2.4899419594522354</c:v>
                </c:pt>
                <c:pt idx="2">
                  <c:v>-29.04501435883833</c:v>
                </c:pt>
                <c:pt idx="3">
                  <c:v>90.765841715598938</c:v>
                </c:pt>
                <c:pt idx="4" formatCode="#,##0.0">
                  <c:v>55.278935394104067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1679-482D-9495-7DF7CBDB9402}"/>
            </c:ext>
          </c:extLst>
        </c:ser>
        <c:ser>
          <c:idx val="2"/>
          <c:order val="2"/>
          <c:tx>
            <c:strRef>
              <c:f>'Proyección_Total Sunat 20-26'!$D$97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20-26'!$E$94:$I$94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20-26'!$E$97:$I$97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679-482D-9495-7DF7CBDB9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5153744"/>
        <c:axId val="198790624"/>
      </c:lineChart>
      <c:catAx>
        <c:axId val="22512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98806848"/>
        <c:crosses val="autoZero"/>
        <c:auto val="1"/>
        <c:lblAlgn val="ctr"/>
        <c:lblOffset val="100"/>
        <c:noMultiLvlLbl val="0"/>
      </c:catAx>
      <c:valAx>
        <c:axId val="19880684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25123744"/>
        <c:crosses val="autoZero"/>
        <c:crossBetween val="between"/>
      </c:valAx>
      <c:valAx>
        <c:axId val="19879062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25153744"/>
        <c:crosses val="max"/>
        <c:crossBetween val="between"/>
      </c:valAx>
      <c:catAx>
        <c:axId val="225153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8790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4662430321097875"/>
          <c:y val="0.91261519393409141"/>
          <c:w val="0.66578619528857053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9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Pagos a cuenta del Impuesto a la Renta:</a:t>
            </a:r>
            <a:r>
              <a:rPr lang="es-PE" sz="9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s-PE" sz="9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Régimen</a:t>
            </a:r>
            <a:r>
              <a:rPr lang="es-PE" sz="9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General y Régimen MYPE Tributario </a:t>
            </a:r>
            <a:r>
              <a:rPr lang="es-PE" sz="9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2018 - 2022</a:t>
            </a:r>
          </a:p>
          <a:p>
            <a:pPr algn="l">
              <a:defRPr/>
            </a:pPr>
            <a:r>
              <a:rPr lang="es-PE" sz="900">
                <a:latin typeface="Arial" panose="020B0604020202020204" pitchFamily="34" charset="0"/>
                <a:cs typeface="Arial" panose="020B0604020202020204" pitchFamily="34" charset="0"/>
              </a:rPr>
              <a:t>En millones de soles y Var. % real anual</a:t>
            </a:r>
          </a:p>
        </c:rich>
      </c:tx>
      <c:layout>
        <c:manualLayout>
          <c:xMode val="edge"/>
          <c:yMode val="edge"/>
          <c:x val="6.4860029926139288E-3"/>
          <c:y val="2.3148101449834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20-26'!$D$84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87-4911-AB93-89D8707F6C45}"/>
              </c:ext>
            </c:extLst>
          </c:dPt>
          <c:dLbls>
            <c:dLbl>
              <c:idx val="3"/>
              <c:layout>
                <c:manualLayout>
                  <c:x val="3.5669698591046907E-3"/>
                  <c:y val="-5.2260256075254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59-4839-A9A5-51F2F6F1AB7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E3EB627-274B-4F3C-A273-2D17E3400611}" type="VALUE">
                      <a:rPr lang="en-US" b="1"/>
                      <a:pPr/>
                      <a:t>[VALOR]</a:t>
                    </a:fld>
                    <a:endParaRPr lang="es-PE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487-4911-AB93-89D8707F6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20-26'!$E$83:$I$83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20-26'!$E$84:$I$84</c:f>
              <c:numCache>
                <c:formatCode>#,##0\ ;\(#,##0\);"-.-"\ </c:formatCode>
                <c:ptCount val="5"/>
                <c:pt idx="0">
                  <c:v>18601</c:v>
                </c:pt>
                <c:pt idx="1">
                  <c:v>19088.065697489998</c:v>
                </c:pt>
                <c:pt idx="2">
                  <c:v>14971.927230629999</c:v>
                </c:pt>
                <c:pt idx="3">
                  <c:v>24727.124888300001</c:v>
                </c:pt>
                <c:pt idx="4">
                  <c:v>32102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87-4911-AB93-89D8707F6C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501488"/>
        <c:axId val="2140875824"/>
      </c:barChart>
      <c:lineChart>
        <c:grouping val="standard"/>
        <c:varyColors val="0"/>
        <c:ser>
          <c:idx val="1"/>
          <c:order val="1"/>
          <c:tx>
            <c:strRef>
              <c:f>'Proyección_Total Sunat 20-26'!$D$85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267879436418794E-2"/>
                  <c:y val="-1.567807682257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59-4839-A9A5-51F2F6F1AB7D}"/>
                </c:ext>
              </c:extLst>
            </c:dLbl>
            <c:dLbl>
              <c:idx val="1"/>
              <c:layout>
                <c:manualLayout>
                  <c:x val="-5.3504547886570358E-2"/>
                  <c:y val="-2.0904102430101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59-4839-A9A5-51F2F6F1AB7D}"/>
                </c:ext>
              </c:extLst>
            </c:dLbl>
            <c:dLbl>
              <c:idx val="2"/>
              <c:layout>
                <c:manualLayout>
                  <c:x val="-6.7772427322989187E-2"/>
                  <c:y val="3.1356153645152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59-4839-A9A5-51F2F6F1AB7D}"/>
                </c:ext>
              </c:extLst>
            </c:dLbl>
            <c:dLbl>
              <c:idx val="3"/>
              <c:layout>
                <c:manualLayout>
                  <c:x val="-4.2803638309256417E-2"/>
                  <c:y val="7.3164358505356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DE-4DBF-9905-FB594AE7F7E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937BA10-EBE6-4141-B6C6-AB3B22CAB386}" type="VALUE">
                      <a:rPr lang="en-US" b="1"/>
                      <a:pPr/>
                      <a:t>[VALOR]</a:t>
                    </a:fld>
                    <a:endParaRPr lang="es-PE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487-4911-AB93-89D8707F6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20-26'!$E$83:$I$83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20-26'!$E$85:$I$85</c:f>
              <c:numCache>
                <c:formatCode>_ * #,##0.0_ ;_ * \-#,##0.0_ ;_ * "-"??_ ;_ @_ </c:formatCode>
                <c:ptCount val="5"/>
                <c:pt idx="0">
                  <c:v>11.9</c:v>
                </c:pt>
                <c:pt idx="1">
                  <c:v>0.49648662743444483</c:v>
                </c:pt>
                <c:pt idx="2">
                  <c:v>-22.936948435723824</c:v>
                </c:pt>
                <c:pt idx="3">
                  <c:v>58.556080828956382</c:v>
                </c:pt>
                <c:pt idx="4" formatCode="#,##0.0">
                  <c:v>20.6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A487-4911-AB93-89D8707F6C45}"/>
            </c:ext>
          </c:extLst>
        </c:ser>
        <c:ser>
          <c:idx val="2"/>
          <c:order val="2"/>
          <c:tx>
            <c:strRef>
              <c:f>'Proyección_Total Sunat 20-26'!$D$86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20-26'!$E$83:$I$83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20-26'!$E$86:$I$86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487-4911-AB93-89D8707F6C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7023376"/>
        <c:axId val="2140883728"/>
      </c:lineChart>
      <c:catAx>
        <c:axId val="20250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140875824"/>
        <c:crosses val="autoZero"/>
        <c:auto val="1"/>
        <c:lblAlgn val="ctr"/>
        <c:lblOffset val="100"/>
        <c:noMultiLvlLbl val="0"/>
      </c:catAx>
      <c:valAx>
        <c:axId val="2140875824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02501488"/>
        <c:crosses val="autoZero"/>
        <c:crossBetween val="between"/>
      </c:valAx>
      <c:valAx>
        <c:axId val="2140883728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27023376"/>
        <c:crosses val="max"/>
        <c:crossBetween val="between"/>
      </c:valAx>
      <c:catAx>
        <c:axId val="227023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0883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900" b="1" i="0" baseline="0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Impuesto General a las Ventas 2018 - 2022</a:t>
            </a:r>
            <a:endParaRPr lang="es-PE" sz="900"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l">
              <a:defRPr/>
            </a:pPr>
            <a:r>
              <a:rPr lang="es-PE" sz="9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En millones de soles y Var. % real anual</a:t>
            </a:r>
            <a:endParaRPr lang="es-PE" sz="9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1.128451475114804E-2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20-26'!$D$100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8AD-43E3-925D-9A98C4888C25}"/>
              </c:ext>
            </c:extLst>
          </c:dPt>
          <c:dLbls>
            <c:dLbl>
              <c:idx val="3"/>
              <c:layout>
                <c:manualLayout>
                  <c:x val="7.0658894188305949E-3"/>
                  <c:y val="2.5773195876288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3F-40E7-ACA1-4A85B4472AC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949E658-F050-44E6-9EAD-C04FB4020620}" type="VALUE">
                      <a:rPr lang="en-US" b="1"/>
                      <a:pPr/>
                      <a:t>[VALOR]</a:t>
                    </a:fld>
                    <a:endParaRPr lang="es-PE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8AD-43E3-925D-9A98C4888C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20-26'!$E$99:$I$99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20-26'!$E$100:$I$100</c:f>
              <c:numCache>
                <c:formatCode>#,##0\ ;\(#,##0\);"-.-"\ </c:formatCode>
                <c:ptCount val="5"/>
                <c:pt idx="0">
                  <c:v>60666</c:v>
                </c:pt>
                <c:pt idx="1">
                  <c:v>63504.263906455919</c:v>
                </c:pt>
                <c:pt idx="2">
                  <c:v>55379.116814852474</c:v>
                </c:pt>
                <c:pt idx="3">
                  <c:v>78097.58205916587</c:v>
                </c:pt>
                <c:pt idx="4">
                  <c:v>88303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AD-43E3-925D-9A98C4888C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485520"/>
        <c:axId val="2140926576"/>
      </c:barChart>
      <c:lineChart>
        <c:grouping val="standard"/>
        <c:varyColors val="0"/>
        <c:ser>
          <c:idx val="1"/>
          <c:order val="1"/>
          <c:tx>
            <c:strRef>
              <c:f>'Proyección_Total Sunat 20-26'!$D$101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862391803568277E-2"/>
                  <c:y val="-2.5773195876288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3F-40E7-ACA1-4A85B4472ACE}"/>
                </c:ext>
              </c:extLst>
            </c:dLbl>
            <c:dLbl>
              <c:idx val="1"/>
              <c:layout>
                <c:manualLayout>
                  <c:x val="-4.5928281222398872E-2"/>
                  <c:y val="-3.608247422680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3F-40E7-ACA1-4A85B4472ACE}"/>
                </c:ext>
              </c:extLst>
            </c:dLbl>
            <c:dLbl>
              <c:idx val="2"/>
              <c:layout>
                <c:manualLayout>
                  <c:x val="-6.3593004769475422E-2"/>
                  <c:y val="-5.1546391752577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3F-40E7-ACA1-4A85B4472ACE}"/>
                </c:ext>
              </c:extLst>
            </c:dLbl>
            <c:dLbl>
              <c:idx val="3"/>
              <c:layout>
                <c:manualLayout>
                  <c:x val="-7.4191838897721255E-2"/>
                  <c:y val="-3.0927835051546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3F-40E7-ACA1-4A85B4472AC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60FCD56-C760-4B1E-A875-BA8AFCB17C37}" type="VALUE">
                      <a:rPr lang="en-US" b="1"/>
                      <a:pPr/>
                      <a:t>[VALOR]</a:t>
                    </a:fld>
                    <a:endParaRPr lang="es-PE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8AD-43E3-925D-9A98C4888C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20-26'!$E$99:$I$99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20-26'!$E$101:$I$101</c:f>
              <c:numCache>
                <c:formatCode>_ * #,##0.0_ ;_ * \-#,##0.0_ ;_ * "-"??_ ;_ @_ </c:formatCode>
                <c:ptCount val="5"/>
                <c:pt idx="0">
                  <c:v>9.6</c:v>
                </c:pt>
                <c:pt idx="1">
                  <c:v>2.5007559791451195</c:v>
                </c:pt>
                <c:pt idx="2">
                  <c:v>-14.367105694707572</c:v>
                </c:pt>
                <c:pt idx="3">
                  <c:v>35.457802099042411</c:v>
                </c:pt>
                <c:pt idx="4" formatCode="#,##0.0">
                  <c:v>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E8AD-43E3-925D-9A98C4888C25}"/>
            </c:ext>
          </c:extLst>
        </c:ser>
        <c:ser>
          <c:idx val="2"/>
          <c:order val="2"/>
          <c:tx>
            <c:strRef>
              <c:f>'Proyección_Total Sunat 20-26'!$D$102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20-26'!$E$99:$I$99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20-26'!$E$102:$I$102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8AD-43E3-925D-9A98C4888C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4515520"/>
        <c:axId val="2140923664"/>
      </c:lineChart>
      <c:catAx>
        <c:axId val="31448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140926576"/>
        <c:crosses val="autoZero"/>
        <c:auto val="1"/>
        <c:lblAlgn val="ctr"/>
        <c:lblOffset val="100"/>
        <c:noMultiLvlLbl val="0"/>
      </c:catAx>
      <c:valAx>
        <c:axId val="214092657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14485520"/>
        <c:crosses val="autoZero"/>
        <c:crossBetween val="between"/>
      </c:valAx>
      <c:valAx>
        <c:axId val="214092366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14515520"/>
        <c:crosses val="max"/>
        <c:crossBetween val="between"/>
      </c:valAx>
      <c:catAx>
        <c:axId val="314515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0923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900" b="1" i="0" baseline="0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Impuesto Selectivo al Consumo 2018 - 2022</a:t>
            </a:r>
            <a:endParaRPr lang="es-PE" sz="900"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l">
              <a:defRPr/>
            </a:pPr>
            <a:r>
              <a:rPr lang="es-PE" sz="9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En millones de soles y Var. % real anual</a:t>
            </a:r>
            <a:endParaRPr lang="es-PE" sz="9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9.3333333333333324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20-26'!$D$105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A9A-4DBB-8669-ABD0915C91B5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A9A-4DBB-8669-ABD0915C91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20-26'!$E$104:$I$104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20-26'!$E$105:$I$105</c:f>
              <c:numCache>
                <c:formatCode>#,##0\ ;\(#,##0\);"-.-"\ </c:formatCode>
                <c:ptCount val="5"/>
                <c:pt idx="0">
                  <c:v>6860</c:v>
                </c:pt>
                <c:pt idx="1">
                  <c:v>8216.4571137588537</c:v>
                </c:pt>
                <c:pt idx="2">
                  <c:v>6920.4863218624778</c:v>
                </c:pt>
                <c:pt idx="3">
                  <c:v>9138.4006699108104</c:v>
                </c:pt>
                <c:pt idx="4">
                  <c:v>9026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9A-4DBB-8669-ABD0915C9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672912"/>
        <c:axId val="2140907024"/>
      </c:barChart>
      <c:lineChart>
        <c:grouping val="standard"/>
        <c:varyColors val="0"/>
        <c:ser>
          <c:idx val="1"/>
          <c:order val="1"/>
          <c:tx>
            <c:strRef>
              <c:f>'Proyección_Total Sunat 20-26'!$D$106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2114183764495985E-2"/>
                  <c:y val="2.2222222222222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8D-47ED-A782-F809517B9F3C}"/>
                </c:ext>
              </c:extLst>
            </c:dLbl>
            <c:dLbl>
              <c:idx val="1"/>
              <c:layout>
                <c:manualLayout>
                  <c:x val="-4.9955396966993755E-2"/>
                  <c:y val="4.444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8D-47ED-A782-F809517B9F3C}"/>
                </c:ext>
              </c:extLst>
            </c:dLbl>
            <c:dLbl>
              <c:idx val="2"/>
              <c:layout>
                <c:manualLayout>
                  <c:x val="-6.4228367528992109E-2"/>
                  <c:y val="-6.111111111111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8D-47ED-A782-F809517B9F3C}"/>
                </c:ext>
              </c:extLst>
            </c:dLbl>
            <c:dLbl>
              <c:idx val="3"/>
              <c:layout>
                <c:manualLayout>
                  <c:x val="-4.9955396966993887E-2"/>
                  <c:y val="7.222222222222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8D-47ED-A782-F809517B9F3C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A9A-4DBB-8669-ABD0915C91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20-26'!$E$104:$I$104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20-26'!$E$106:$I$106</c:f>
              <c:numCache>
                <c:formatCode>_ * #,##0.0_ ;_ * \-#,##0.0_ ;_ * "-"??_ ;_ @_ </c:formatCode>
                <c:ptCount val="5"/>
                <c:pt idx="0">
                  <c:v>7.2</c:v>
                </c:pt>
                <c:pt idx="1">
                  <c:v>17.321162692286919</c:v>
                </c:pt>
                <c:pt idx="2">
                  <c:v>-17.273255776189245</c:v>
                </c:pt>
                <c:pt idx="3">
                  <c:v>26.8872490995528</c:v>
                </c:pt>
                <c:pt idx="4" formatCode="#,##0.0">
                  <c:v>-8.3000000000000007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2A9A-4DBB-8669-ABD0915C91B5}"/>
            </c:ext>
          </c:extLst>
        </c:ser>
        <c:ser>
          <c:idx val="2"/>
          <c:order val="2"/>
          <c:tx>
            <c:strRef>
              <c:f>'Proyección_Total Sunat 20-26'!$D$107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20-26'!$E$104:$I$104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20-26'!$E$107:$I$107</c:f>
              <c:numCache>
                <c:formatCode>#,##0.0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A9A-4DBB-8669-ABD0915C9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674512"/>
        <c:axId val="2140902864"/>
      </c:lineChart>
      <c:catAx>
        <c:axId val="17067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140907024"/>
        <c:crosses val="autoZero"/>
        <c:auto val="1"/>
        <c:lblAlgn val="ctr"/>
        <c:lblOffset val="100"/>
        <c:noMultiLvlLbl val="0"/>
      </c:catAx>
      <c:valAx>
        <c:axId val="2140907024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70672912"/>
        <c:crosses val="autoZero"/>
        <c:crossBetween val="between"/>
      </c:valAx>
      <c:valAx>
        <c:axId val="214090286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70674512"/>
        <c:crosses val="max"/>
        <c:crossBetween val="between"/>
      </c:valAx>
      <c:catAx>
        <c:axId val="170674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0902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900" b="1" i="0" baseline="0">
                <a:solidFill>
                  <a:schemeClr val="tx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Devoluciones 2018 - 2022</a:t>
            </a:r>
            <a:endParaRPr lang="es-PE" sz="900"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l">
              <a:defRPr/>
            </a:pPr>
            <a:r>
              <a:rPr lang="es-PE" sz="9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En millones de soles y Var. % real anual</a:t>
            </a:r>
            <a:endParaRPr lang="es-PE" sz="9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1.62567804024497E-2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'Proyección_Total Sunat 20-26'!$D$115</c:f>
              <c:strCache>
                <c:ptCount val="1"/>
                <c:pt idx="0">
                  <c:v>Recaudación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ysClr val="window" lastClr="FFFFFF">
                  <a:lumMod val="75000"/>
                </a:sysClr>
              </a:solidFill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B6-46B1-92E3-EB4DA8714413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DB6-46B1-92E3-EB4DA87144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'Proyección_Total Sunat 20-26'!$E$114:$I$114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20-26'!$E$115:$I$115</c:f>
              <c:numCache>
                <c:formatCode>#,##0\ ;\(#,##0\);"-.-"\ </c:formatCode>
                <c:ptCount val="5"/>
                <c:pt idx="0">
                  <c:v>16583</c:v>
                </c:pt>
                <c:pt idx="1">
                  <c:v>18051.055293130001</c:v>
                </c:pt>
                <c:pt idx="2">
                  <c:v>17182.284139035601</c:v>
                </c:pt>
                <c:pt idx="3">
                  <c:v>19823.505528810001</c:v>
                </c:pt>
                <c:pt idx="4">
                  <c:v>25631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B6-46B1-92E3-EB4DA87144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217136"/>
        <c:axId val="2140885808"/>
      </c:barChart>
      <c:lineChart>
        <c:grouping val="standard"/>
        <c:varyColors val="0"/>
        <c:ser>
          <c:idx val="1"/>
          <c:order val="1"/>
          <c:tx>
            <c:strRef>
              <c:f>'Proyección_Total Sunat 20-26'!$D$116</c:f>
              <c:strCache>
                <c:ptCount val="1"/>
                <c:pt idx="0">
                  <c:v>Var % real</c:v>
                </c:pt>
              </c:strCache>
            </c:strRef>
          </c:tx>
          <c:spPr>
            <a:ln w="25400" cap="rnd">
              <a:solidFill>
                <a:schemeClr val="accent1">
                  <a:lumMod val="60000"/>
                  <a:lumOff val="4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186317321688501E-2"/>
                  <c:y val="3.3688938798427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A6-40E5-9A58-530A93E49CBB}"/>
                </c:ext>
              </c:extLst>
            </c:dLbl>
            <c:dLbl>
              <c:idx val="1"/>
              <c:layout>
                <c:manualLayout>
                  <c:x val="-5.458515283842795E-2"/>
                  <c:y val="5.6148231330713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A6-40E5-9A58-530A93E49CBB}"/>
                </c:ext>
              </c:extLst>
            </c:dLbl>
            <c:dLbl>
              <c:idx val="2"/>
              <c:layout>
                <c:manualLayout>
                  <c:x val="-5.4585152838428012E-2"/>
                  <c:y val="2.8074115665356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A6-40E5-9A58-530A93E49CBB}"/>
                </c:ext>
              </c:extLst>
            </c:dLbl>
            <c:dLbl>
              <c:idx val="3"/>
              <c:layout>
                <c:manualLayout>
                  <c:x val="-5.458515283842795E-2"/>
                  <c:y val="6.1763054463784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A6-40E5-9A58-530A93E49CBB}"/>
                </c:ext>
              </c:extLst>
            </c:dLbl>
            <c:dLbl>
              <c:idx val="4"/>
              <c:layout>
                <c:manualLayout>
                  <c:x val="-1.8195050946142783E-2"/>
                  <c:y val="1.12296462661426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P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B6-46B1-92E3-EB4DA87144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'Proyección_Total Sunat 20-26'!$E$114:$I$114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20-26'!$E$116:$I$116</c:f>
              <c:numCache>
                <c:formatCode>_ * #,##0.0_ ;_ * \-#,##0.0_ ;_ * "-"??_ ;_ @_ </c:formatCode>
                <c:ptCount val="5"/>
                <c:pt idx="0">
                  <c:v>-4.9000000000000004</c:v>
                </c:pt>
                <c:pt idx="1">
                  <c:v>6.5612765814058172</c:v>
                </c:pt>
                <c:pt idx="2">
                  <c:v>-6.5280847992605251</c:v>
                </c:pt>
                <c:pt idx="3">
                  <c:v>10.893192814704268</c:v>
                </c:pt>
                <c:pt idx="4" formatCode="#,##0.0">
                  <c:v>20.100000000000001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5DB6-46B1-92E3-EB4DA8714413}"/>
            </c:ext>
          </c:extLst>
        </c:ser>
        <c:ser>
          <c:idx val="2"/>
          <c:order val="2"/>
          <c:tx>
            <c:strRef>
              <c:f>'Proyección_Total Sunat 20-26'!$D$117</c:f>
              <c:strCache>
                <c:ptCount val="1"/>
              </c:strCache>
            </c:strRef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'Proyección_Total Sunat 20-26'!$E$114:$I$114</c:f>
              <c:numCache>
                <c:formatCode>0</c:formatCode>
                <c:ptCount val="5"/>
                <c:pt idx="0" formatCode="General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'Proyección_Total Sunat 20-26'!$E$117:$I$117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DB6-46B1-92E3-EB4DA87144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195472"/>
        <c:axId val="2140868752"/>
      </c:lineChart>
      <c:catAx>
        <c:axId val="17621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140885808"/>
        <c:crosses val="autoZero"/>
        <c:auto val="1"/>
        <c:lblAlgn val="ctr"/>
        <c:lblOffset val="100"/>
        <c:noMultiLvlLbl val="0"/>
      </c:catAx>
      <c:valAx>
        <c:axId val="214088580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s-PE"/>
          </a:p>
        </c:txPr>
        <c:crossAx val="176217136"/>
        <c:crosses val="autoZero"/>
        <c:crossBetween val="between"/>
      </c:valAx>
      <c:valAx>
        <c:axId val="2140868752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/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213195472"/>
        <c:crosses val="max"/>
        <c:crossBetween val="between"/>
      </c:valAx>
      <c:catAx>
        <c:axId val="21319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0868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3D58B-8FE9-4FF7-965C-2045DBB2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1265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 Ocampo Reynaldo Jose Carlos</dc:creator>
  <cp:keywords/>
  <dc:description/>
  <cp:lastModifiedBy>Sanchez Lizarbe Carlos Gary</cp:lastModifiedBy>
  <cp:revision>10</cp:revision>
  <cp:lastPrinted>2023-01-03T20:48:00Z</cp:lastPrinted>
  <dcterms:created xsi:type="dcterms:W3CDTF">2023-01-03T20:48:00Z</dcterms:created>
  <dcterms:modified xsi:type="dcterms:W3CDTF">2023-01-04T14:15:00Z</dcterms:modified>
</cp:coreProperties>
</file>