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E98" w14:textId="06B468DF" w:rsidR="000712E8" w:rsidRPr="000712E8" w:rsidRDefault="000712E8" w:rsidP="00071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/>
        <w:contextualSpacing/>
        <w:jc w:val="right"/>
        <w:rPr>
          <w:rFonts w:ascii="Arial" w:eastAsia="Arial" w:hAnsi="Arial" w:cs="Arial"/>
          <w:b/>
          <w:iCs/>
          <w:caps/>
          <w:sz w:val="24"/>
          <w:szCs w:val="24"/>
        </w:rPr>
      </w:pPr>
      <w:r w:rsidRPr="000712E8">
        <w:rPr>
          <w:rFonts w:ascii="Arial" w:eastAsia="Arial" w:hAnsi="Arial" w:cs="Arial"/>
          <w:b/>
          <w:iCs/>
          <w:caps/>
          <w:sz w:val="24"/>
          <w:szCs w:val="24"/>
        </w:rPr>
        <w:t>Nota de Prensa N° 03</w:t>
      </w:r>
      <w:r w:rsidRPr="000712E8">
        <w:rPr>
          <w:rFonts w:ascii="Arial" w:eastAsia="Arial" w:hAnsi="Arial" w:cs="Arial"/>
          <w:b/>
          <w:iCs/>
          <w:caps/>
          <w:sz w:val="24"/>
          <w:szCs w:val="24"/>
        </w:rPr>
        <w:t>4</w:t>
      </w:r>
    </w:p>
    <w:p w14:paraId="79E67442" w14:textId="77777777" w:rsidR="000712E8" w:rsidRDefault="000712E8" w:rsidP="000712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/>
        <w:contextualSpacing/>
        <w:jc w:val="right"/>
        <w:rPr>
          <w:rFonts w:ascii="Arial" w:eastAsia="Arial" w:hAnsi="Arial" w:cs="Arial"/>
          <w:b/>
          <w:iCs/>
          <w:caps/>
          <w:sz w:val="32"/>
          <w:szCs w:val="32"/>
        </w:rPr>
      </w:pPr>
    </w:p>
    <w:p w14:paraId="32C6453D" w14:textId="2B37BB0A" w:rsidR="009162C5" w:rsidRDefault="00027050" w:rsidP="00B60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/>
        <w:contextualSpacing/>
        <w:jc w:val="center"/>
        <w:rPr>
          <w:rFonts w:ascii="Arial" w:eastAsia="Arial" w:hAnsi="Arial" w:cs="Arial"/>
          <w:b/>
          <w:iCs/>
          <w:caps/>
          <w:sz w:val="32"/>
          <w:szCs w:val="32"/>
        </w:rPr>
      </w:pPr>
      <w:r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 </w:t>
      </w:r>
      <w:r w:rsidR="0021750A"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INGRESOS </w:t>
      </w:r>
      <w:r w:rsidR="00754A2C"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TRIBUTARIOS </w:t>
      </w:r>
      <w:r w:rsidR="003D5D5B" w:rsidRPr="00DC0E52">
        <w:rPr>
          <w:rFonts w:ascii="Arial" w:eastAsia="Arial" w:hAnsi="Arial" w:cs="Arial"/>
          <w:b/>
          <w:iCs/>
          <w:caps/>
          <w:sz w:val="32"/>
          <w:szCs w:val="32"/>
        </w:rPr>
        <w:t>E</w:t>
      </w:r>
      <w:r w:rsidR="00DC0E52">
        <w:rPr>
          <w:rFonts w:ascii="Arial" w:eastAsia="Arial" w:hAnsi="Arial" w:cs="Arial"/>
          <w:b/>
          <w:iCs/>
          <w:caps/>
          <w:sz w:val="32"/>
          <w:szCs w:val="32"/>
        </w:rPr>
        <w:t>N</w:t>
      </w:r>
      <w:r w:rsidR="003D5D5B"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 </w:t>
      </w:r>
      <w:r w:rsidR="00214D0B" w:rsidRPr="00DC0E52">
        <w:rPr>
          <w:rFonts w:ascii="Arial" w:eastAsia="Arial" w:hAnsi="Arial" w:cs="Arial"/>
          <w:b/>
          <w:iCs/>
          <w:caps/>
          <w:sz w:val="32"/>
          <w:szCs w:val="32"/>
        </w:rPr>
        <w:t>ABRIL</w:t>
      </w:r>
      <w:r w:rsidR="003D5D5B"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 A</w:t>
      </w:r>
      <w:r w:rsid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SCENDIERON </w:t>
      </w:r>
      <w:r w:rsidR="000D69BD">
        <w:rPr>
          <w:rFonts w:ascii="Arial" w:eastAsia="Arial" w:hAnsi="Arial" w:cs="Arial"/>
          <w:b/>
          <w:iCs/>
          <w:caps/>
          <w:sz w:val="32"/>
          <w:szCs w:val="32"/>
        </w:rPr>
        <w:t>a</w:t>
      </w:r>
      <w:r w:rsid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 </w:t>
      </w:r>
      <w:r w:rsidR="00214D0B"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16 </w:t>
      </w:r>
      <w:r w:rsidR="00A27DBB" w:rsidRPr="00DC0E52">
        <w:rPr>
          <w:rFonts w:ascii="Arial" w:eastAsia="Arial" w:hAnsi="Arial" w:cs="Arial"/>
          <w:b/>
          <w:iCs/>
          <w:caps/>
          <w:sz w:val="32"/>
          <w:szCs w:val="32"/>
        </w:rPr>
        <w:t>532</w:t>
      </w:r>
      <w:r w:rsidR="003D5D5B" w:rsidRP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 MILLONES</w:t>
      </w:r>
      <w:r w:rsidR="00DC0E52">
        <w:rPr>
          <w:rFonts w:ascii="Arial" w:eastAsia="Arial" w:hAnsi="Arial" w:cs="Arial"/>
          <w:b/>
          <w:iCs/>
          <w:caps/>
          <w:sz w:val="32"/>
          <w:szCs w:val="32"/>
        </w:rPr>
        <w:t xml:space="preserve"> DE SOLES</w:t>
      </w:r>
    </w:p>
    <w:p w14:paraId="31031081" w14:textId="77777777" w:rsidR="00DC0E52" w:rsidRPr="00DC0E52" w:rsidRDefault="00DC0E52" w:rsidP="00B60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/>
        <w:contextualSpacing/>
        <w:jc w:val="center"/>
        <w:rPr>
          <w:rFonts w:ascii="Arial" w:eastAsia="Arial" w:hAnsi="Arial" w:cs="Arial"/>
          <w:b/>
          <w:iCs/>
          <w:caps/>
        </w:rPr>
      </w:pPr>
    </w:p>
    <w:p w14:paraId="4C8F0100" w14:textId="11722F60" w:rsidR="001F138A" w:rsidRDefault="008B05AC" w:rsidP="00DC0E52">
      <w:pPr>
        <w:pStyle w:val="Prrafodelista"/>
        <w:numPr>
          <w:ilvl w:val="0"/>
          <w:numId w:val="12"/>
        </w:numPr>
        <w:spacing w:after="0" w:line="240" w:lineRule="auto"/>
        <w:ind w:left="426"/>
        <w:contextualSpacing w:val="0"/>
        <w:jc w:val="both"/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</w:pPr>
      <w:r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Los ingresos por regularización</w:t>
      </w:r>
      <w:r w:rsidR="00B82FAC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 del Impuesto a la Renta</w:t>
      </w:r>
      <w:r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 </w:t>
      </w:r>
      <w:r w:rsidR="00D10DB5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ascendieron a S/ 4 2</w:t>
      </w:r>
      <w:r w:rsidR="00A27DBB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24</w:t>
      </w:r>
      <w:r w:rsidR="00D10DB5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 millones</w:t>
      </w:r>
      <w:r w:rsidR="00F753B7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.</w:t>
      </w:r>
    </w:p>
    <w:p w14:paraId="289701E6" w14:textId="77777777" w:rsidR="00DC0E52" w:rsidRPr="00DC0E52" w:rsidRDefault="00DC0E52" w:rsidP="00DC0E52">
      <w:pPr>
        <w:spacing w:after="0" w:line="240" w:lineRule="auto"/>
        <w:jc w:val="both"/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</w:pPr>
    </w:p>
    <w:p w14:paraId="6F456432" w14:textId="20AD4161" w:rsidR="00DE3664" w:rsidRDefault="00DE3664" w:rsidP="00DC0E52">
      <w:pPr>
        <w:pStyle w:val="Prrafodelista"/>
        <w:numPr>
          <w:ilvl w:val="0"/>
          <w:numId w:val="12"/>
        </w:numPr>
        <w:spacing w:after="0" w:line="240" w:lineRule="auto"/>
        <w:ind w:left="426"/>
        <w:contextualSpacing w:val="0"/>
        <w:jc w:val="both"/>
        <w:rPr>
          <w:rFonts w:ascii="Arial Nova" w:eastAsia="Arial" w:hAnsi="Arial Nova" w:cs="Arial"/>
          <w:b/>
          <w:color w:val="000000" w:themeColor="text1"/>
          <w:sz w:val="24"/>
          <w:szCs w:val="24"/>
        </w:rPr>
      </w:pPr>
      <w:r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Durante </w:t>
      </w:r>
      <w:r w:rsidR="00214D0B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abril</w:t>
      </w:r>
      <w:r w:rsidR="00D10DB5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 </w:t>
      </w:r>
      <w:r w:rsidR="00584F64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se dio </w:t>
      </w:r>
      <w:r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la postergación de los vencimientos de las </w:t>
      </w:r>
      <w:r w:rsidR="00584F64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o</w:t>
      </w:r>
      <w:r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bligaciones </w:t>
      </w:r>
      <w:r w:rsidR="00584F64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del </w:t>
      </w:r>
      <w:r w:rsidR="00D10DB5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período marzo </w:t>
      </w:r>
      <w:r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para las localidades en emergencia por desastres naturales</w:t>
      </w:r>
      <w:r w:rsidR="00584F64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. Estos </w:t>
      </w:r>
      <w:r w:rsidR="00D10DB5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pagos se efectuarán en </w:t>
      </w:r>
      <w:r w:rsidR="00584F64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 xml:space="preserve">el mes de </w:t>
      </w:r>
      <w:r w:rsidR="00D10DB5" w:rsidRPr="00DC0E52">
        <w:rPr>
          <w:rFonts w:ascii="Arial" w:eastAsia="Arial" w:hAnsi="Arial" w:cs="Arial"/>
          <w:b/>
          <w:i/>
          <w:iCs/>
          <w:color w:val="000000" w:themeColor="text1"/>
          <w:sz w:val="24"/>
          <w:szCs w:val="24"/>
        </w:rPr>
        <w:t>julio</w:t>
      </w:r>
      <w:r w:rsidR="00D10DB5">
        <w:rPr>
          <w:rFonts w:ascii="Arial Nova" w:eastAsia="Arial" w:hAnsi="Arial Nova" w:cs="Arial"/>
          <w:b/>
          <w:color w:val="000000" w:themeColor="text1"/>
          <w:sz w:val="24"/>
          <w:szCs w:val="24"/>
        </w:rPr>
        <w:t>.</w:t>
      </w:r>
    </w:p>
    <w:p w14:paraId="6D6E0E64" w14:textId="77777777" w:rsidR="00DC0E52" w:rsidRDefault="00DC0E52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C006928" w14:textId="1BD2C879" w:rsidR="00E70E7C" w:rsidRDefault="009162C5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La recaudación de </w:t>
      </w:r>
      <w:r w:rsidR="00214D0B" w:rsidRPr="00DC0E52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 del 2023 alcanzó los S/ </w:t>
      </w:r>
      <w:r w:rsidR="00214D0B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16 </w:t>
      </w:r>
      <w:r w:rsidR="00A27DBB" w:rsidRPr="00DC0E52">
        <w:rPr>
          <w:rFonts w:ascii="Arial" w:eastAsia="Arial" w:hAnsi="Arial" w:cs="Arial"/>
          <w:color w:val="000000" w:themeColor="text1"/>
          <w:sz w:val="24"/>
          <w:szCs w:val="24"/>
        </w:rPr>
        <w:t>532</w:t>
      </w:r>
      <w:r w:rsidR="00E4770A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millones de ingresos tributarios del Gobierno Central </w:t>
      </w:r>
      <w:r w:rsidR="00DC0E52" w:rsidRPr="00DC0E52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etos (descontando las devoluciones de impuestos). </w:t>
      </w:r>
      <w:r w:rsidR="000D69BD">
        <w:rPr>
          <w:rFonts w:ascii="Arial" w:eastAsia="Arial" w:hAnsi="Arial" w:cs="Arial"/>
          <w:color w:val="000000" w:themeColor="text1"/>
          <w:sz w:val="24"/>
          <w:szCs w:val="24"/>
        </w:rPr>
        <w:t>En tanto, l</w:t>
      </w:r>
      <w:r w:rsidR="000D69BD" w:rsidRPr="000D69BD">
        <w:rPr>
          <w:rFonts w:ascii="Arial" w:eastAsia="Arial" w:hAnsi="Arial" w:cs="Arial"/>
          <w:color w:val="000000" w:themeColor="text1"/>
          <w:sz w:val="24"/>
          <w:szCs w:val="24"/>
        </w:rPr>
        <w:t>os ingresos por regularización del Impuesto a la Renta ascendieron a S/ 4 224 millones y la campaña (enero-abril) totalizó S/ 8 254 millones.</w:t>
      </w:r>
    </w:p>
    <w:p w14:paraId="6C9345ED" w14:textId="77777777" w:rsidR="00E70E7C" w:rsidRDefault="00E70E7C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BA428BE" w14:textId="36282A49" w:rsidR="009162C5" w:rsidRPr="00DC0E52" w:rsidRDefault="00F753B7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0D69BD">
        <w:rPr>
          <w:rFonts w:ascii="Arial" w:eastAsia="Arial" w:hAnsi="Arial" w:cs="Arial"/>
          <w:color w:val="000000" w:themeColor="text1"/>
          <w:sz w:val="24"/>
          <w:szCs w:val="24"/>
        </w:rPr>
        <w:t>ste r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esultado </w:t>
      </w:r>
      <w:r w:rsidR="007D5629" w:rsidRPr="00DC0E52">
        <w:rPr>
          <w:rFonts w:ascii="Arial" w:eastAsia="Arial" w:hAnsi="Arial" w:cs="Arial"/>
          <w:color w:val="000000" w:themeColor="text1"/>
          <w:sz w:val="24"/>
          <w:szCs w:val="24"/>
        </w:rPr>
        <w:t>representa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B0B75">
        <w:rPr>
          <w:rFonts w:ascii="Arial" w:eastAsia="Arial" w:hAnsi="Arial" w:cs="Arial"/>
          <w:color w:val="000000" w:themeColor="text1"/>
          <w:sz w:val="24"/>
          <w:szCs w:val="24"/>
        </w:rPr>
        <w:t xml:space="preserve">una disminución 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respecto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B0B75">
        <w:rPr>
          <w:rFonts w:ascii="Arial" w:eastAsia="Arial" w:hAnsi="Arial" w:cs="Arial"/>
          <w:color w:val="000000" w:themeColor="text1"/>
          <w:sz w:val="24"/>
          <w:szCs w:val="24"/>
        </w:rPr>
        <w:t xml:space="preserve">lo obtenido en 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similar período del </w:t>
      </w:r>
      <w:r w:rsidR="003D5D5B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año 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>2022</w:t>
      </w:r>
      <w:r w:rsidR="00E70E7C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debido a</w:t>
      </w:r>
      <w:r w:rsidR="00E70E7C">
        <w:rPr>
          <w:rFonts w:ascii="Arial" w:eastAsia="Arial" w:hAnsi="Arial" w:cs="Arial"/>
          <w:color w:val="000000" w:themeColor="text1"/>
          <w:sz w:val="24"/>
          <w:szCs w:val="24"/>
        </w:rPr>
        <w:t xml:space="preserve"> los menores pagos por Regularización del Impuesto a la Renta, los menores pagos a cuenta en abril, la disminución de la actividad económica</w:t>
      </w:r>
      <w:r w:rsidR="00ED6992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E70E7C">
        <w:rPr>
          <w:rFonts w:ascii="Arial" w:eastAsia="Arial" w:hAnsi="Arial" w:cs="Arial"/>
          <w:color w:val="000000" w:themeColor="text1"/>
          <w:sz w:val="24"/>
          <w:szCs w:val="24"/>
        </w:rPr>
        <w:t xml:space="preserve"> la </w:t>
      </w:r>
      <w:r w:rsidR="000201BD">
        <w:rPr>
          <w:rFonts w:ascii="Arial" w:eastAsia="Arial" w:hAnsi="Arial" w:cs="Arial"/>
          <w:color w:val="000000" w:themeColor="text1"/>
          <w:sz w:val="24"/>
          <w:szCs w:val="24"/>
        </w:rPr>
        <w:t xml:space="preserve">menor recaudación por la </w:t>
      </w:r>
      <w:r w:rsidR="00E70E7C">
        <w:rPr>
          <w:rFonts w:ascii="Arial" w:eastAsia="Arial" w:hAnsi="Arial" w:cs="Arial"/>
          <w:color w:val="000000" w:themeColor="text1"/>
          <w:sz w:val="24"/>
          <w:szCs w:val="24"/>
        </w:rPr>
        <w:t xml:space="preserve">postergación de las declaraciones mensuales por </w:t>
      </w:r>
      <w:r w:rsidR="000201BD">
        <w:rPr>
          <w:rFonts w:ascii="Arial" w:eastAsia="Arial" w:hAnsi="Arial" w:cs="Arial"/>
          <w:color w:val="000000" w:themeColor="text1"/>
          <w:sz w:val="24"/>
          <w:szCs w:val="24"/>
        </w:rPr>
        <w:t xml:space="preserve">el estado de </w:t>
      </w:r>
      <w:r w:rsidR="00E70E7C">
        <w:rPr>
          <w:rFonts w:ascii="Arial" w:eastAsia="Arial" w:hAnsi="Arial" w:cs="Arial"/>
          <w:color w:val="000000" w:themeColor="text1"/>
          <w:sz w:val="24"/>
          <w:szCs w:val="24"/>
        </w:rPr>
        <w:t xml:space="preserve">emergencia </w:t>
      </w:r>
      <w:r w:rsidR="000201BD">
        <w:rPr>
          <w:rFonts w:ascii="Arial" w:eastAsia="Arial" w:hAnsi="Arial" w:cs="Arial"/>
          <w:color w:val="000000" w:themeColor="text1"/>
          <w:sz w:val="24"/>
          <w:szCs w:val="24"/>
        </w:rPr>
        <w:t>en diversas localidades del país por desastres naturales</w:t>
      </w:r>
      <w:r w:rsidR="00ED6992">
        <w:rPr>
          <w:rFonts w:ascii="Arial" w:eastAsia="Arial" w:hAnsi="Arial" w:cs="Arial"/>
          <w:color w:val="000000" w:themeColor="text1"/>
          <w:sz w:val="24"/>
          <w:szCs w:val="24"/>
        </w:rPr>
        <w:t>, y el impacto adverso de la tasa reducida del IGV para restaurantes y hoteles MYPE</w:t>
      </w:r>
      <w:r w:rsidR="009162C5" w:rsidRPr="00DC0E5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DB0F57C" w14:textId="77777777" w:rsidR="006B0B75" w:rsidRDefault="006B0B75" w:rsidP="00DC0E52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1A716A7C" w14:textId="00335E30" w:rsidR="009162C5" w:rsidRPr="00DC0E52" w:rsidRDefault="009162C5" w:rsidP="00DC0E52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>Factores determinantes de</w:t>
      </w:r>
      <w:r w:rsidR="004A32EF"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>l</w:t>
      </w:r>
      <w:r w:rsidR="004A32EF"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>a</w:t>
      </w:r>
      <w:r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recaudación de</w:t>
      </w:r>
      <w:r w:rsidR="00211D90"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214D0B" w:rsidRPr="00DC0E52">
        <w:rPr>
          <w:rFonts w:ascii="Arial" w:eastAsia="Arial" w:hAnsi="Arial" w:cs="Arial"/>
          <w:b/>
          <w:color w:val="000000" w:themeColor="text1"/>
          <w:sz w:val="24"/>
          <w:szCs w:val="24"/>
        </w:rPr>
        <w:t>abril</w:t>
      </w:r>
    </w:p>
    <w:p w14:paraId="0C0EDFBB" w14:textId="7D830867" w:rsidR="009162C5" w:rsidRDefault="00CD306E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La contracción del mes de </w:t>
      </w:r>
      <w:r w:rsidR="00214D0B" w:rsidRPr="00DC0E52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 se explica por diversos factores, entre los que se puede mencionar a los siguientes:</w:t>
      </w:r>
    </w:p>
    <w:p w14:paraId="26E646B0" w14:textId="77777777" w:rsidR="00DC0E52" w:rsidRPr="00DC0E52" w:rsidRDefault="00DC0E52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C3B3304" w14:textId="3B056AF8" w:rsidR="00307DA5" w:rsidRDefault="00C35CA4" w:rsidP="00DC0E52">
      <w:pPr>
        <w:pStyle w:val="Prrafodelista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Los menores pagos por concepto de Regularización </w:t>
      </w:r>
      <w:r w:rsidR="00DC0CAB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del Impuesto a la Renta </w:t>
      </w: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>con una reducción de 4</w:t>
      </w:r>
      <w:r w:rsidR="00735326" w:rsidRPr="00DC0E52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Pr="00DC0E52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E77BC" w:rsidRPr="00DC0E52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="00DC0CAB" w:rsidRPr="00DC0E52">
        <w:rPr>
          <w:rFonts w:ascii="Arial" w:eastAsia="Arial" w:hAnsi="Arial" w:cs="Arial"/>
          <w:color w:val="000000" w:themeColor="text1"/>
          <w:sz w:val="24"/>
          <w:szCs w:val="24"/>
        </w:rPr>
        <w:t>%</w:t>
      </w:r>
      <w:r w:rsidR="00C33EC7" w:rsidRPr="00DC0E52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59E58375" w14:textId="77777777" w:rsidR="00DC0E52" w:rsidRPr="00DC0E52" w:rsidRDefault="00DC0E52" w:rsidP="00DC0E5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6797B82" w14:textId="5FF67033" w:rsidR="00EE070D" w:rsidRPr="00DC0E52" w:rsidRDefault="008F3C51" w:rsidP="00DC0E52">
      <w:pP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DC0E52">
        <w:rPr>
          <w:rFonts w:ascii="Arial" w:eastAsia="Arial" w:hAnsi="Arial" w:cs="Arial"/>
          <w:sz w:val="24"/>
          <w:szCs w:val="24"/>
        </w:rPr>
        <w:t>L</w:t>
      </w:r>
      <w:r w:rsidR="00D613DD" w:rsidRPr="00DC0E52">
        <w:rPr>
          <w:rFonts w:ascii="Arial" w:eastAsia="Arial" w:hAnsi="Arial" w:cs="Arial"/>
          <w:sz w:val="24"/>
          <w:szCs w:val="24"/>
        </w:rPr>
        <w:t>a mecánica de</w:t>
      </w:r>
      <w:r w:rsidR="00CD306E" w:rsidRPr="00DC0E52">
        <w:rPr>
          <w:rFonts w:ascii="Arial" w:eastAsia="Arial" w:hAnsi="Arial" w:cs="Arial"/>
          <w:sz w:val="24"/>
          <w:szCs w:val="24"/>
        </w:rPr>
        <w:t xml:space="preserve"> determinación de</w:t>
      </w:r>
      <w:r w:rsidR="00D613DD" w:rsidRPr="00DC0E52">
        <w:rPr>
          <w:rFonts w:ascii="Arial" w:eastAsia="Arial" w:hAnsi="Arial" w:cs="Arial"/>
          <w:sz w:val="24"/>
          <w:szCs w:val="24"/>
        </w:rPr>
        <w:t>l Impuesto a la Renta</w:t>
      </w:r>
      <w:r w:rsidR="00EE070D" w:rsidRPr="00DC0E52">
        <w:rPr>
          <w:rFonts w:ascii="Arial" w:eastAsia="Arial" w:hAnsi="Arial" w:cs="Arial"/>
          <w:sz w:val="24"/>
          <w:szCs w:val="24"/>
        </w:rPr>
        <w:t xml:space="preserve"> establece que </w:t>
      </w:r>
      <w:r w:rsidR="008F5FEA" w:rsidRPr="00DC0E52">
        <w:rPr>
          <w:rFonts w:ascii="Arial" w:eastAsia="Arial" w:hAnsi="Arial" w:cs="Arial"/>
          <w:sz w:val="24"/>
          <w:szCs w:val="24"/>
        </w:rPr>
        <w:t>di</w:t>
      </w:r>
      <w:r w:rsidR="00EE070D" w:rsidRPr="00DC0E52">
        <w:rPr>
          <w:rFonts w:ascii="Arial" w:eastAsia="Arial" w:hAnsi="Arial" w:cs="Arial"/>
          <w:sz w:val="24"/>
          <w:szCs w:val="24"/>
        </w:rPr>
        <w:t>cho impuesto</w:t>
      </w:r>
      <w:r w:rsidR="0090056A" w:rsidRPr="00DC0E52">
        <w:rPr>
          <w:rFonts w:ascii="Arial" w:eastAsia="Arial" w:hAnsi="Arial" w:cs="Arial"/>
          <w:sz w:val="24"/>
          <w:szCs w:val="24"/>
        </w:rPr>
        <w:t>,</w:t>
      </w:r>
      <w:r w:rsidR="00D613DD" w:rsidRPr="00DC0E52">
        <w:rPr>
          <w:rFonts w:ascii="Arial" w:eastAsia="Arial" w:hAnsi="Arial" w:cs="Arial"/>
          <w:sz w:val="24"/>
          <w:szCs w:val="24"/>
        </w:rPr>
        <w:t xml:space="preserve"> de carácter anual</w:t>
      </w:r>
      <w:r w:rsidR="0090056A" w:rsidRPr="00DC0E52">
        <w:rPr>
          <w:rFonts w:ascii="Arial" w:eastAsia="Arial" w:hAnsi="Arial" w:cs="Arial"/>
          <w:sz w:val="24"/>
          <w:szCs w:val="24"/>
        </w:rPr>
        <w:t>,</w:t>
      </w:r>
      <w:r w:rsidR="008F5FEA" w:rsidRPr="00DC0E52">
        <w:rPr>
          <w:rFonts w:ascii="Arial" w:eastAsia="Arial" w:hAnsi="Arial" w:cs="Arial"/>
          <w:sz w:val="24"/>
          <w:szCs w:val="24"/>
        </w:rPr>
        <w:t xml:space="preserve"> se cancela mediante pagos</w:t>
      </w:r>
      <w:r w:rsidR="00EE070D" w:rsidRPr="00DC0E52">
        <w:rPr>
          <w:rFonts w:ascii="Arial" w:eastAsia="Arial" w:hAnsi="Arial" w:cs="Arial"/>
          <w:sz w:val="24"/>
          <w:szCs w:val="24"/>
        </w:rPr>
        <w:t xml:space="preserve"> a cuenta </w:t>
      </w:r>
      <w:r w:rsidR="0090056A" w:rsidRPr="00DC0E52">
        <w:rPr>
          <w:rFonts w:ascii="Arial" w:eastAsia="Arial" w:hAnsi="Arial" w:cs="Arial"/>
          <w:sz w:val="24"/>
          <w:szCs w:val="24"/>
        </w:rPr>
        <w:t xml:space="preserve">(anticipos) </w:t>
      </w:r>
      <w:r w:rsidR="00EE070D" w:rsidRPr="00DC0E52">
        <w:rPr>
          <w:rFonts w:ascii="Arial" w:eastAsia="Arial" w:hAnsi="Arial" w:cs="Arial"/>
          <w:sz w:val="24"/>
          <w:szCs w:val="24"/>
        </w:rPr>
        <w:t xml:space="preserve">mensuales </w:t>
      </w:r>
      <w:r w:rsidR="0090056A" w:rsidRPr="00DC0E52">
        <w:rPr>
          <w:rFonts w:ascii="Arial" w:eastAsia="Arial" w:hAnsi="Arial" w:cs="Arial"/>
          <w:sz w:val="24"/>
          <w:szCs w:val="24"/>
        </w:rPr>
        <w:t xml:space="preserve">realizados </w:t>
      </w:r>
      <w:r w:rsidR="008F5FEA" w:rsidRPr="00DC0E52">
        <w:rPr>
          <w:rFonts w:ascii="Arial" w:eastAsia="Arial" w:hAnsi="Arial" w:cs="Arial"/>
          <w:sz w:val="24"/>
          <w:szCs w:val="24"/>
        </w:rPr>
        <w:t>entre enero y diciembre de cada año</w:t>
      </w:r>
      <w:r w:rsidR="00EE070D" w:rsidRPr="00DC0E52">
        <w:rPr>
          <w:rFonts w:ascii="Arial" w:eastAsia="Arial" w:hAnsi="Arial" w:cs="Arial"/>
          <w:sz w:val="24"/>
          <w:szCs w:val="24"/>
        </w:rPr>
        <w:t xml:space="preserve">, </w:t>
      </w:r>
      <w:r w:rsidR="008F5FEA" w:rsidRPr="00DC0E52">
        <w:rPr>
          <w:rFonts w:ascii="Arial" w:eastAsia="Arial" w:hAnsi="Arial" w:cs="Arial"/>
          <w:sz w:val="24"/>
          <w:szCs w:val="24"/>
        </w:rPr>
        <w:t>y un pago final de regularización.</w:t>
      </w:r>
    </w:p>
    <w:p w14:paraId="1F93A08D" w14:textId="77777777" w:rsidR="00DC0E52" w:rsidRDefault="00DC0E52" w:rsidP="00DC0E52">
      <w:pPr>
        <w:spacing w:after="0" w:line="240" w:lineRule="auto"/>
        <w:ind w:left="426"/>
        <w:jc w:val="both"/>
        <w:rPr>
          <w:rFonts w:ascii="Arial" w:eastAsia="Arial" w:hAnsi="Arial" w:cs="Arial"/>
          <w:color w:val="0070C0"/>
          <w:sz w:val="24"/>
          <w:szCs w:val="24"/>
        </w:rPr>
      </w:pPr>
    </w:p>
    <w:p w14:paraId="78F45177" w14:textId="748AD88D" w:rsidR="00D613DD" w:rsidRDefault="008F5FEA" w:rsidP="00DC0E52">
      <w:pPr>
        <w:spacing w:after="0" w:line="240" w:lineRule="auto"/>
        <w:ind w:left="426"/>
        <w:jc w:val="both"/>
        <w:rPr>
          <w:rFonts w:ascii="Arial Nova" w:eastAsia="Arial" w:hAnsi="Arial Nova" w:cs="Arial"/>
          <w:sz w:val="24"/>
          <w:szCs w:val="24"/>
        </w:rPr>
      </w:pPr>
      <w:r w:rsidRPr="00DC0E52">
        <w:rPr>
          <w:rFonts w:ascii="Arial" w:eastAsia="Arial" w:hAnsi="Arial" w:cs="Arial"/>
          <w:sz w:val="24"/>
          <w:szCs w:val="24"/>
        </w:rPr>
        <w:t>Los pagos a cuenta mensuales son</w:t>
      </w:r>
      <w:r w:rsidR="00B73985" w:rsidRPr="00DC0E52">
        <w:rPr>
          <w:rFonts w:ascii="Arial" w:eastAsia="Arial" w:hAnsi="Arial" w:cs="Arial"/>
          <w:sz w:val="24"/>
          <w:szCs w:val="24"/>
        </w:rPr>
        <w:t xml:space="preserve"> </w:t>
      </w:r>
      <w:r w:rsidR="007A02F2" w:rsidRPr="00DC0E52">
        <w:rPr>
          <w:rFonts w:ascii="Arial" w:eastAsia="Arial" w:hAnsi="Arial" w:cs="Arial"/>
          <w:sz w:val="24"/>
          <w:szCs w:val="24"/>
        </w:rPr>
        <w:t>calculados en función de los ingresos</w:t>
      </w:r>
      <w:r w:rsidR="00EE070D" w:rsidRPr="00DC0E52">
        <w:rPr>
          <w:rFonts w:ascii="Arial" w:eastAsia="Arial" w:hAnsi="Arial" w:cs="Arial"/>
          <w:sz w:val="24"/>
          <w:szCs w:val="24"/>
        </w:rPr>
        <w:t xml:space="preserve"> </w:t>
      </w:r>
      <w:r w:rsidR="007A02F2" w:rsidRPr="00DC0E52">
        <w:rPr>
          <w:rFonts w:ascii="Arial" w:eastAsia="Arial" w:hAnsi="Arial" w:cs="Arial"/>
          <w:sz w:val="24"/>
          <w:szCs w:val="24"/>
        </w:rPr>
        <w:t>y</w:t>
      </w:r>
      <w:r w:rsidR="00232671" w:rsidRPr="00DC0E52">
        <w:rPr>
          <w:rFonts w:ascii="Arial" w:eastAsia="Arial" w:hAnsi="Arial" w:cs="Arial"/>
          <w:sz w:val="24"/>
          <w:szCs w:val="24"/>
        </w:rPr>
        <w:t xml:space="preserve"> de los coeficientes de pago obtenido de los resultados anteriores </w:t>
      </w:r>
      <w:r w:rsidR="00DC0E52">
        <w:rPr>
          <w:rFonts w:ascii="Arial" w:eastAsia="Arial" w:hAnsi="Arial" w:cs="Arial"/>
          <w:sz w:val="24"/>
          <w:szCs w:val="24"/>
        </w:rPr>
        <w:t xml:space="preserve">de </w:t>
      </w:r>
      <w:r w:rsidR="00232671" w:rsidRPr="00DC0E52">
        <w:rPr>
          <w:rFonts w:ascii="Arial" w:eastAsia="Arial" w:hAnsi="Arial" w:cs="Arial"/>
          <w:sz w:val="24"/>
          <w:szCs w:val="24"/>
        </w:rPr>
        <w:t>cada contribuyente y</w:t>
      </w:r>
      <w:r w:rsidR="000D69BD">
        <w:rPr>
          <w:rFonts w:ascii="Arial" w:eastAsia="Arial" w:hAnsi="Arial" w:cs="Arial"/>
          <w:sz w:val="24"/>
          <w:szCs w:val="24"/>
        </w:rPr>
        <w:t>,</w:t>
      </w:r>
      <w:r w:rsidR="00232671" w:rsidRPr="00DC0E52">
        <w:rPr>
          <w:rFonts w:ascii="Arial" w:eastAsia="Arial" w:hAnsi="Arial" w:cs="Arial"/>
          <w:sz w:val="24"/>
          <w:szCs w:val="24"/>
        </w:rPr>
        <w:t xml:space="preserve"> </w:t>
      </w:r>
      <w:r w:rsidR="00DC0E52">
        <w:rPr>
          <w:rFonts w:ascii="Arial" w:eastAsia="Arial" w:hAnsi="Arial" w:cs="Arial"/>
          <w:sz w:val="24"/>
          <w:szCs w:val="24"/>
        </w:rPr>
        <w:t>posteriormente</w:t>
      </w:r>
      <w:r w:rsidR="000D69BD">
        <w:rPr>
          <w:rFonts w:ascii="Arial" w:eastAsia="Arial" w:hAnsi="Arial" w:cs="Arial"/>
          <w:sz w:val="24"/>
          <w:szCs w:val="24"/>
        </w:rPr>
        <w:t>,</w:t>
      </w:r>
      <w:r w:rsidR="00DC0E52">
        <w:rPr>
          <w:rFonts w:ascii="Arial" w:eastAsia="Arial" w:hAnsi="Arial" w:cs="Arial"/>
          <w:sz w:val="24"/>
          <w:szCs w:val="24"/>
        </w:rPr>
        <w:t xml:space="preserve"> </w:t>
      </w:r>
      <w:r w:rsidR="00232671" w:rsidRPr="00DC0E52">
        <w:rPr>
          <w:rFonts w:ascii="Arial" w:eastAsia="Arial" w:hAnsi="Arial" w:cs="Arial"/>
          <w:sz w:val="24"/>
          <w:szCs w:val="24"/>
        </w:rPr>
        <w:t xml:space="preserve">son </w:t>
      </w:r>
      <w:r w:rsidR="00D613DD" w:rsidRPr="00DC0E52">
        <w:rPr>
          <w:rFonts w:ascii="Arial" w:eastAsia="Arial" w:hAnsi="Arial" w:cs="Arial"/>
          <w:sz w:val="24"/>
          <w:szCs w:val="24"/>
        </w:rPr>
        <w:t>desconta</w:t>
      </w:r>
      <w:r w:rsidR="00232671" w:rsidRPr="00DC0E52">
        <w:rPr>
          <w:rFonts w:ascii="Arial" w:eastAsia="Arial" w:hAnsi="Arial" w:cs="Arial"/>
          <w:sz w:val="24"/>
          <w:szCs w:val="24"/>
        </w:rPr>
        <w:t>dos</w:t>
      </w:r>
      <w:r w:rsidR="00D613DD" w:rsidRPr="00DC0E52">
        <w:rPr>
          <w:rFonts w:ascii="Arial" w:eastAsia="Arial" w:hAnsi="Arial" w:cs="Arial"/>
          <w:sz w:val="24"/>
          <w:szCs w:val="24"/>
        </w:rPr>
        <w:t xml:space="preserve"> de la obligación anual del ejer</w:t>
      </w:r>
      <w:r w:rsidR="007A02F2" w:rsidRPr="00DC0E52">
        <w:rPr>
          <w:rFonts w:ascii="Arial" w:eastAsia="Arial" w:hAnsi="Arial" w:cs="Arial"/>
          <w:sz w:val="24"/>
          <w:szCs w:val="24"/>
        </w:rPr>
        <w:t>cicio</w:t>
      </w:r>
      <w:r w:rsidR="00201A88" w:rsidRPr="00DC0E52">
        <w:rPr>
          <w:rFonts w:ascii="Arial" w:eastAsia="Arial" w:hAnsi="Arial" w:cs="Arial"/>
          <w:sz w:val="24"/>
          <w:szCs w:val="24"/>
        </w:rPr>
        <w:t>.</w:t>
      </w:r>
      <w:r w:rsidR="00B73985" w:rsidRPr="00DC0E52">
        <w:rPr>
          <w:rFonts w:ascii="Arial" w:eastAsia="Arial" w:hAnsi="Arial" w:cs="Arial"/>
          <w:sz w:val="24"/>
          <w:szCs w:val="24"/>
        </w:rPr>
        <w:t xml:space="preserve"> </w:t>
      </w:r>
      <w:r w:rsidR="00B73985" w:rsidRPr="00F753B7">
        <w:rPr>
          <w:rFonts w:ascii="Arial" w:eastAsia="Arial" w:hAnsi="Arial" w:cs="Arial"/>
          <w:sz w:val="24"/>
          <w:szCs w:val="24"/>
        </w:rPr>
        <w:t xml:space="preserve">Si existe un saldo, </w:t>
      </w:r>
      <w:r w:rsidR="000D69BD" w:rsidRPr="00F753B7">
        <w:rPr>
          <w:rFonts w:ascii="Arial" w:eastAsia="Arial" w:hAnsi="Arial" w:cs="Arial"/>
          <w:sz w:val="24"/>
          <w:szCs w:val="24"/>
        </w:rPr>
        <w:t>e</w:t>
      </w:r>
      <w:r w:rsidR="00B73985" w:rsidRPr="00F753B7">
        <w:rPr>
          <w:rFonts w:ascii="Arial" w:eastAsia="Arial" w:hAnsi="Arial" w:cs="Arial"/>
          <w:sz w:val="24"/>
          <w:szCs w:val="24"/>
        </w:rPr>
        <w:t>ste se paga, en caso inverso, el exceso se aplica a los pagos de los meses siguientes o se devuelve</w:t>
      </w:r>
      <w:r w:rsidR="00B73985" w:rsidRPr="00F753B7">
        <w:rPr>
          <w:rFonts w:ascii="Arial Nova" w:eastAsia="Arial" w:hAnsi="Arial Nova" w:cs="Arial"/>
          <w:sz w:val="24"/>
          <w:szCs w:val="24"/>
        </w:rPr>
        <w:t>.</w:t>
      </w:r>
    </w:p>
    <w:p w14:paraId="0FDA204C" w14:textId="77777777" w:rsidR="00DC0E52" w:rsidRPr="00DC0E52" w:rsidRDefault="00DC0E52" w:rsidP="00DC0E52">
      <w:pPr>
        <w:spacing w:after="0" w:line="240" w:lineRule="auto"/>
        <w:ind w:left="426"/>
        <w:jc w:val="both"/>
        <w:rPr>
          <w:rFonts w:ascii="Arial Nova" w:eastAsia="Arial" w:hAnsi="Arial Nova" w:cs="Arial"/>
          <w:sz w:val="24"/>
          <w:szCs w:val="24"/>
        </w:rPr>
      </w:pPr>
    </w:p>
    <w:p w14:paraId="09F043E8" w14:textId="5FC78E05" w:rsidR="00EC7CD4" w:rsidRPr="006B0B75" w:rsidRDefault="007A02F2" w:rsidP="00DC0E52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6B0B75">
        <w:rPr>
          <w:rFonts w:ascii="Arial" w:eastAsia="Arial" w:hAnsi="Arial" w:cs="Arial"/>
          <w:sz w:val="24"/>
          <w:szCs w:val="24"/>
        </w:rPr>
        <w:t>En el caso de la regularización del ejercicio 2022 (</w:t>
      </w:r>
      <w:r w:rsidR="00EC7CD4" w:rsidRPr="006B0B75">
        <w:rPr>
          <w:rFonts w:ascii="Arial" w:eastAsia="Arial" w:hAnsi="Arial" w:cs="Arial"/>
          <w:sz w:val="24"/>
          <w:szCs w:val="24"/>
        </w:rPr>
        <w:t>cuyo calendario de vencimiento se dio entre marzo y abril del presente año)</w:t>
      </w:r>
      <w:r w:rsidRPr="006B0B75">
        <w:rPr>
          <w:rFonts w:ascii="Arial" w:eastAsia="Arial" w:hAnsi="Arial" w:cs="Arial"/>
          <w:sz w:val="24"/>
          <w:szCs w:val="24"/>
        </w:rPr>
        <w:t xml:space="preserve">, los pagos a cuenta recibidos </w:t>
      </w:r>
      <w:r w:rsidR="00201A88" w:rsidRPr="006B0B75">
        <w:rPr>
          <w:rFonts w:ascii="Arial" w:eastAsia="Arial" w:hAnsi="Arial" w:cs="Arial"/>
          <w:sz w:val="24"/>
          <w:szCs w:val="24"/>
        </w:rPr>
        <w:t>entre enero y diciembre d</w:t>
      </w:r>
      <w:r w:rsidRPr="006B0B75">
        <w:rPr>
          <w:rFonts w:ascii="Arial" w:eastAsia="Arial" w:hAnsi="Arial" w:cs="Arial"/>
          <w:sz w:val="24"/>
          <w:szCs w:val="24"/>
        </w:rPr>
        <w:t>el 202</w:t>
      </w:r>
      <w:r w:rsidR="00201A88" w:rsidRPr="006B0B75">
        <w:rPr>
          <w:rFonts w:ascii="Arial" w:eastAsia="Arial" w:hAnsi="Arial" w:cs="Arial"/>
          <w:sz w:val="24"/>
          <w:szCs w:val="24"/>
        </w:rPr>
        <w:t>2</w:t>
      </w:r>
      <w:r w:rsidRPr="006B0B75">
        <w:rPr>
          <w:rFonts w:ascii="Arial" w:eastAsia="Arial" w:hAnsi="Arial" w:cs="Arial"/>
          <w:sz w:val="24"/>
          <w:szCs w:val="24"/>
        </w:rPr>
        <w:t xml:space="preserve"> </w:t>
      </w:r>
      <w:r w:rsidR="00EC7CD4" w:rsidRPr="006B0B75">
        <w:rPr>
          <w:rFonts w:ascii="Arial" w:hAnsi="Arial" w:cs="Arial"/>
          <w:sz w:val="24"/>
          <w:szCs w:val="24"/>
        </w:rPr>
        <w:t xml:space="preserve">han cubierto una proporción mayor del total del impuesto anual en comparación con lo ocurrido el año </w:t>
      </w:r>
      <w:r w:rsidR="00EC7CD4" w:rsidRPr="006B0B75">
        <w:rPr>
          <w:rFonts w:ascii="Arial" w:hAnsi="Arial" w:cs="Arial"/>
          <w:sz w:val="24"/>
          <w:szCs w:val="24"/>
        </w:rPr>
        <w:lastRenderedPageBreak/>
        <w:t xml:space="preserve">previo y por ello, el saldo </w:t>
      </w:r>
      <w:r w:rsidR="00201A88" w:rsidRPr="006B0B75">
        <w:rPr>
          <w:rFonts w:ascii="Arial" w:eastAsia="Arial" w:hAnsi="Arial" w:cs="Arial"/>
          <w:sz w:val="24"/>
          <w:szCs w:val="24"/>
        </w:rPr>
        <w:t xml:space="preserve">pendiente de regularizar </w:t>
      </w:r>
      <w:r w:rsidR="003379F7" w:rsidRPr="006B0B75">
        <w:rPr>
          <w:rFonts w:ascii="Arial" w:eastAsia="Arial" w:hAnsi="Arial" w:cs="Arial"/>
          <w:sz w:val="24"/>
          <w:szCs w:val="24"/>
        </w:rPr>
        <w:t xml:space="preserve">durante marzo y abril </w:t>
      </w:r>
      <w:r w:rsidR="00DC0E52" w:rsidRPr="006B0B75">
        <w:rPr>
          <w:rFonts w:ascii="Arial" w:eastAsia="Arial" w:hAnsi="Arial" w:cs="Arial"/>
          <w:sz w:val="24"/>
          <w:szCs w:val="24"/>
        </w:rPr>
        <w:t xml:space="preserve"> últimos</w:t>
      </w:r>
      <w:r w:rsidR="003379F7" w:rsidRPr="006B0B75">
        <w:rPr>
          <w:rFonts w:ascii="Arial" w:eastAsia="Arial" w:hAnsi="Arial" w:cs="Arial"/>
          <w:sz w:val="24"/>
          <w:szCs w:val="24"/>
        </w:rPr>
        <w:t xml:space="preserve"> </w:t>
      </w:r>
      <w:r w:rsidR="00201A88" w:rsidRPr="006B0B75">
        <w:rPr>
          <w:rFonts w:ascii="Arial" w:eastAsia="Arial" w:hAnsi="Arial" w:cs="Arial"/>
          <w:sz w:val="24"/>
          <w:szCs w:val="24"/>
        </w:rPr>
        <w:t>se redu</w:t>
      </w:r>
      <w:r w:rsidR="00904B0B" w:rsidRPr="006B0B75">
        <w:rPr>
          <w:rFonts w:ascii="Arial" w:eastAsia="Arial" w:hAnsi="Arial" w:cs="Arial"/>
          <w:sz w:val="24"/>
          <w:szCs w:val="24"/>
        </w:rPr>
        <w:t>jo</w:t>
      </w:r>
      <w:r w:rsidR="00FD0C8A" w:rsidRPr="006B0B75">
        <w:rPr>
          <w:rFonts w:ascii="Arial" w:eastAsia="Arial" w:hAnsi="Arial" w:cs="Arial"/>
          <w:sz w:val="24"/>
          <w:szCs w:val="24"/>
        </w:rPr>
        <w:t xml:space="preserve"> e incluso se han generado mayores saldos a favor, que deberán aplicarse contra los pagos a cuenta de los meses siguientes o solicitarse en devolución.</w:t>
      </w:r>
    </w:p>
    <w:p w14:paraId="753A414A" w14:textId="013F30CA" w:rsidR="00307DA5" w:rsidRDefault="00232671" w:rsidP="00EC7CD4">
      <w:pPr>
        <w:pStyle w:val="Prrafodelista"/>
        <w:numPr>
          <w:ilvl w:val="0"/>
          <w:numId w:val="4"/>
        </w:numPr>
        <w:spacing w:before="240" w:line="240" w:lineRule="auto"/>
        <w:ind w:left="426"/>
        <w:contextualSpacing w:val="0"/>
        <w:jc w:val="both"/>
        <w:rPr>
          <w:rFonts w:ascii="Arial Nova" w:eastAsia="Arial" w:hAnsi="Arial Nova" w:cs="Arial"/>
          <w:color w:val="000000" w:themeColor="text1"/>
          <w:sz w:val="24"/>
          <w:szCs w:val="24"/>
        </w:rPr>
      </w:pPr>
      <w:r>
        <w:rPr>
          <w:rFonts w:ascii="Arial Nova" w:eastAsia="Arial" w:hAnsi="Arial Nova" w:cs="Arial"/>
          <w:color w:val="000000" w:themeColor="text1"/>
          <w:sz w:val="24"/>
          <w:szCs w:val="24"/>
        </w:rPr>
        <w:t xml:space="preserve">Los menores pagos a cuenta mensuales recibidos durante el mes de </w:t>
      </w:r>
      <w:r w:rsidR="00FD0C8A">
        <w:rPr>
          <w:rFonts w:ascii="Arial Nova" w:eastAsia="Arial" w:hAnsi="Arial Nova" w:cs="Arial"/>
          <w:color w:val="000000" w:themeColor="text1"/>
          <w:sz w:val="24"/>
          <w:szCs w:val="24"/>
        </w:rPr>
        <w:t>abril</w:t>
      </w:r>
    </w:p>
    <w:p w14:paraId="2D7FA2F7" w14:textId="7CC2BA05" w:rsidR="004A7A5F" w:rsidRDefault="00FD0C8A" w:rsidP="00DC0E52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8518F5">
        <w:rPr>
          <w:rFonts w:ascii="Arial" w:hAnsi="Arial" w:cs="Arial"/>
          <w:sz w:val="24"/>
          <w:szCs w:val="24"/>
        </w:rPr>
        <w:t>Como ya se indicó, los pagos a cuenta mensuales dependen de los ingresos</w:t>
      </w:r>
      <w:r w:rsidR="00D4120B" w:rsidRPr="008518F5">
        <w:rPr>
          <w:rFonts w:ascii="Arial" w:hAnsi="Arial" w:cs="Arial"/>
          <w:sz w:val="24"/>
          <w:szCs w:val="24"/>
        </w:rPr>
        <w:t>,</w:t>
      </w:r>
      <w:r w:rsidRPr="008518F5">
        <w:rPr>
          <w:rFonts w:ascii="Arial" w:hAnsi="Arial" w:cs="Arial"/>
          <w:sz w:val="24"/>
          <w:szCs w:val="24"/>
        </w:rPr>
        <w:t xml:space="preserve"> de los coeficientes de pago</w:t>
      </w:r>
      <w:r w:rsidR="00D4120B" w:rsidRPr="008518F5">
        <w:rPr>
          <w:rFonts w:ascii="Arial" w:hAnsi="Arial" w:cs="Arial"/>
          <w:sz w:val="24"/>
          <w:szCs w:val="24"/>
        </w:rPr>
        <w:t xml:space="preserve"> y de la existencia de saldos a favor.</w:t>
      </w:r>
    </w:p>
    <w:p w14:paraId="5567558A" w14:textId="77777777" w:rsidR="008518F5" w:rsidRPr="008518F5" w:rsidRDefault="008518F5" w:rsidP="00DC0E52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A3685F6" w14:textId="07A5A207" w:rsidR="00D4120B" w:rsidRPr="008518F5" w:rsidRDefault="00D4120B" w:rsidP="00DC0E52">
      <w:pPr>
        <w:pStyle w:val="Prrafodelista"/>
        <w:numPr>
          <w:ilvl w:val="0"/>
          <w:numId w:val="14"/>
        </w:numPr>
        <w:spacing w:after="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8518F5">
        <w:rPr>
          <w:rFonts w:ascii="Arial" w:hAnsi="Arial" w:cs="Arial"/>
          <w:sz w:val="24"/>
          <w:szCs w:val="24"/>
        </w:rPr>
        <w:t xml:space="preserve">Con respecto a los ingresos, se debe mencionar </w:t>
      </w:r>
      <w:r w:rsidR="00CE6869" w:rsidRPr="008518F5">
        <w:rPr>
          <w:rFonts w:ascii="Arial" w:hAnsi="Arial" w:cs="Arial"/>
          <w:sz w:val="24"/>
          <w:szCs w:val="24"/>
        </w:rPr>
        <w:t xml:space="preserve">que </w:t>
      </w:r>
      <w:r w:rsidRPr="008518F5">
        <w:rPr>
          <w:rFonts w:ascii="Arial" w:hAnsi="Arial" w:cs="Arial"/>
          <w:sz w:val="24"/>
          <w:szCs w:val="24"/>
        </w:rPr>
        <w:t xml:space="preserve">las </w:t>
      </w:r>
      <w:r w:rsidRPr="008518F5">
        <w:rPr>
          <w:rFonts w:ascii="Arial" w:eastAsia="Arial" w:hAnsi="Arial" w:cs="Arial"/>
          <w:sz w:val="24"/>
          <w:szCs w:val="24"/>
        </w:rPr>
        <w:t>menores cotizaciones</w:t>
      </w:r>
      <w:r w:rsidR="00DA73EF">
        <w:rPr>
          <w:rFonts w:ascii="Arial" w:eastAsia="Arial" w:hAnsi="Arial" w:cs="Arial"/>
          <w:sz w:val="24"/>
          <w:szCs w:val="24"/>
        </w:rPr>
        <w:t xml:space="preserve"> internacionales </w:t>
      </w:r>
      <w:r w:rsidRPr="008518F5">
        <w:rPr>
          <w:rFonts w:ascii="Arial" w:eastAsia="Arial" w:hAnsi="Arial" w:cs="Arial"/>
          <w:sz w:val="24"/>
          <w:szCs w:val="24"/>
        </w:rPr>
        <w:t xml:space="preserve">de algunos productos </w:t>
      </w:r>
      <w:r w:rsidR="00CE6869" w:rsidRPr="008518F5">
        <w:rPr>
          <w:rFonts w:ascii="Arial" w:eastAsia="Arial" w:hAnsi="Arial" w:cs="Arial"/>
          <w:sz w:val="24"/>
          <w:szCs w:val="24"/>
        </w:rPr>
        <w:t xml:space="preserve">como el </w:t>
      </w:r>
      <w:r w:rsidR="008518F5">
        <w:rPr>
          <w:rFonts w:ascii="Arial" w:eastAsia="Arial" w:hAnsi="Arial" w:cs="Arial"/>
          <w:sz w:val="24"/>
          <w:szCs w:val="24"/>
        </w:rPr>
        <w:t>g</w:t>
      </w:r>
      <w:r w:rsidR="00CE6869" w:rsidRPr="008518F5">
        <w:rPr>
          <w:rFonts w:ascii="Arial" w:eastAsia="Arial" w:hAnsi="Arial" w:cs="Arial"/>
          <w:sz w:val="24"/>
          <w:szCs w:val="24"/>
        </w:rPr>
        <w:t xml:space="preserve">as </w:t>
      </w:r>
      <w:r w:rsidR="008518F5">
        <w:rPr>
          <w:rFonts w:ascii="Arial" w:eastAsia="Arial" w:hAnsi="Arial" w:cs="Arial"/>
          <w:sz w:val="24"/>
          <w:szCs w:val="24"/>
        </w:rPr>
        <w:t>n</w:t>
      </w:r>
      <w:r w:rsidR="00CE6869" w:rsidRPr="008518F5">
        <w:rPr>
          <w:rFonts w:ascii="Arial" w:eastAsia="Arial" w:hAnsi="Arial" w:cs="Arial"/>
          <w:sz w:val="24"/>
          <w:szCs w:val="24"/>
        </w:rPr>
        <w:t xml:space="preserve">atural, </w:t>
      </w:r>
      <w:r w:rsidR="008518F5">
        <w:rPr>
          <w:rFonts w:ascii="Arial" w:eastAsia="Arial" w:hAnsi="Arial" w:cs="Arial"/>
          <w:sz w:val="24"/>
          <w:szCs w:val="24"/>
        </w:rPr>
        <w:t>p</w:t>
      </w:r>
      <w:r w:rsidR="00CE6869" w:rsidRPr="008518F5">
        <w:rPr>
          <w:rFonts w:ascii="Arial" w:eastAsia="Arial" w:hAnsi="Arial" w:cs="Arial"/>
          <w:sz w:val="24"/>
          <w:szCs w:val="24"/>
        </w:rPr>
        <w:t xml:space="preserve">etróleo y </w:t>
      </w:r>
      <w:r w:rsidR="008518F5">
        <w:rPr>
          <w:rFonts w:ascii="Arial" w:eastAsia="Arial" w:hAnsi="Arial" w:cs="Arial"/>
          <w:sz w:val="24"/>
          <w:szCs w:val="24"/>
        </w:rPr>
        <w:t>c</w:t>
      </w:r>
      <w:r w:rsidR="00CE6869" w:rsidRPr="008518F5">
        <w:rPr>
          <w:rFonts w:ascii="Arial" w:eastAsia="Arial" w:hAnsi="Arial" w:cs="Arial"/>
          <w:sz w:val="24"/>
          <w:szCs w:val="24"/>
        </w:rPr>
        <w:t>obre los han afectado, reduciendo la base</w:t>
      </w:r>
      <w:r w:rsidRPr="008518F5">
        <w:rPr>
          <w:rFonts w:ascii="Arial" w:eastAsia="Arial" w:hAnsi="Arial" w:cs="Arial"/>
          <w:sz w:val="24"/>
          <w:szCs w:val="24"/>
        </w:rPr>
        <w:t xml:space="preserve"> para la determinación de los pagos a cuenta.</w:t>
      </w:r>
    </w:p>
    <w:p w14:paraId="77858EE6" w14:textId="1D9FF5DF" w:rsidR="00D4120B" w:rsidRPr="008518F5" w:rsidRDefault="00CE6869" w:rsidP="00DC0E52">
      <w:pPr>
        <w:pStyle w:val="Prrafodelista"/>
        <w:numPr>
          <w:ilvl w:val="0"/>
          <w:numId w:val="14"/>
        </w:numPr>
        <w:spacing w:after="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8518F5">
        <w:rPr>
          <w:rFonts w:ascii="Arial" w:hAnsi="Arial" w:cs="Arial"/>
          <w:sz w:val="24"/>
          <w:szCs w:val="24"/>
        </w:rPr>
        <w:t>Los</w:t>
      </w:r>
      <w:r w:rsidR="00FD0C8A" w:rsidRPr="008518F5">
        <w:rPr>
          <w:rFonts w:ascii="Arial" w:hAnsi="Arial" w:cs="Arial"/>
          <w:sz w:val="24"/>
          <w:szCs w:val="24"/>
        </w:rPr>
        <w:t xml:space="preserve"> pagos a cuenta recibidos durante abril ya </w:t>
      </w:r>
      <w:r w:rsidRPr="008518F5">
        <w:rPr>
          <w:rFonts w:ascii="Arial" w:hAnsi="Arial" w:cs="Arial"/>
          <w:sz w:val="24"/>
          <w:szCs w:val="24"/>
        </w:rPr>
        <w:t xml:space="preserve">incorporan parcialmente </w:t>
      </w:r>
      <w:r w:rsidR="00FD0C8A" w:rsidRPr="008518F5">
        <w:rPr>
          <w:rFonts w:ascii="Arial" w:hAnsi="Arial" w:cs="Arial"/>
          <w:sz w:val="24"/>
          <w:szCs w:val="24"/>
        </w:rPr>
        <w:t>los resultados informados por los contribuyentes en las declaraciones anuales presentadas</w:t>
      </w:r>
      <w:r w:rsidR="00FA1E43" w:rsidRPr="008518F5">
        <w:rPr>
          <w:rFonts w:ascii="Arial" w:hAnsi="Arial" w:cs="Arial"/>
          <w:sz w:val="24"/>
          <w:szCs w:val="24"/>
        </w:rPr>
        <w:t>, los que</w:t>
      </w:r>
      <w:r w:rsidR="00FD0C8A" w:rsidRPr="008518F5">
        <w:rPr>
          <w:rFonts w:ascii="Arial" w:hAnsi="Arial" w:cs="Arial"/>
          <w:sz w:val="24"/>
          <w:szCs w:val="24"/>
        </w:rPr>
        <w:t xml:space="preserve"> han determ</w:t>
      </w:r>
      <w:r w:rsidR="00D4120B" w:rsidRPr="008518F5">
        <w:rPr>
          <w:rFonts w:ascii="Arial" w:hAnsi="Arial" w:cs="Arial"/>
          <w:sz w:val="24"/>
          <w:szCs w:val="24"/>
        </w:rPr>
        <w:t xml:space="preserve">inado </w:t>
      </w:r>
      <w:r w:rsidRPr="008518F5">
        <w:rPr>
          <w:rFonts w:ascii="Arial" w:hAnsi="Arial" w:cs="Arial"/>
          <w:sz w:val="24"/>
          <w:szCs w:val="24"/>
        </w:rPr>
        <w:t xml:space="preserve">la aplicación de </w:t>
      </w:r>
      <w:r w:rsidR="00FD0C8A" w:rsidRPr="008518F5">
        <w:rPr>
          <w:rFonts w:ascii="Arial" w:hAnsi="Arial" w:cs="Arial"/>
          <w:sz w:val="24"/>
          <w:szCs w:val="24"/>
        </w:rPr>
        <w:t xml:space="preserve">menores coeficientes de pago a </w:t>
      </w:r>
      <w:r w:rsidR="00FA1E43" w:rsidRPr="008518F5">
        <w:rPr>
          <w:rFonts w:ascii="Arial" w:hAnsi="Arial" w:cs="Arial"/>
          <w:sz w:val="24"/>
          <w:szCs w:val="24"/>
        </w:rPr>
        <w:t>emplearse</w:t>
      </w:r>
      <w:r w:rsidR="00FD0C8A" w:rsidRPr="008518F5">
        <w:rPr>
          <w:rFonts w:ascii="Arial" w:hAnsi="Arial" w:cs="Arial"/>
          <w:sz w:val="24"/>
          <w:szCs w:val="24"/>
        </w:rPr>
        <w:t xml:space="preserve"> tanto en abril como en el resto del año </w:t>
      </w:r>
      <w:r w:rsidR="004A7A5F" w:rsidRPr="008518F5">
        <w:rPr>
          <w:rFonts w:ascii="Arial" w:hAnsi="Arial" w:cs="Arial"/>
          <w:sz w:val="24"/>
          <w:szCs w:val="24"/>
        </w:rPr>
        <w:t>(</w:t>
      </w:r>
      <w:r w:rsidR="004A7A5F" w:rsidRPr="008518F5">
        <w:rPr>
          <w:rFonts w:ascii="Arial" w:eastAsia="Arial" w:hAnsi="Arial" w:cs="Arial"/>
          <w:sz w:val="24"/>
          <w:szCs w:val="24"/>
        </w:rPr>
        <w:t>principalmente en minería, hidrocarburos, manufactura y comercio)</w:t>
      </w:r>
      <w:r w:rsidR="00D4120B" w:rsidRPr="008518F5">
        <w:rPr>
          <w:rFonts w:ascii="Arial" w:eastAsia="Arial" w:hAnsi="Arial" w:cs="Arial"/>
          <w:sz w:val="24"/>
          <w:szCs w:val="24"/>
        </w:rPr>
        <w:t>.</w:t>
      </w:r>
      <w:r w:rsidRPr="008518F5">
        <w:rPr>
          <w:rFonts w:ascii="Arial" w:eastAsia="Arial" w:hAnsi="Arial" w:cs="Arial"/>
          <w:sz w:val="24"/>
          <w:szCs w:val="24"/>
        </w:rPr>
        <w:t xml:space="preserve"> Dicha contracción es de 24</w:t>
      </w:r>
      <w:r w:rsidRPr="008518F5">
        <w:rPr>
          <w:rFonts w:ascii="Arial" w:hAnsi="Arial" w:cs="Arial"/>
          <w:sz w:val="24"/>
          <w:szCs w:val="24"/>
        </w:rPr>
        <w:t>,9% en términos agregados.</w:t>
      </w:r>
    </w:p>
    <w:p w14:paraId="45A03F72" w14:textId="649C1FBE" w:rsidR="00FD0C8A" w:rsidRDefault="00FA1E43" w:rsidP="00DC0E52">
      <w:pPr>
        <w:pStyle w:val="Prrafodelista"/>
        <w:numPr>
          <w:ilvl w:val="0"/>
          <w:numId w:val="14"/>
        </w:numPr>
        <w:spacing w:after="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8518F5">
        <w:rPr>
          <w:rFonts w:ascii="Arial" w:hAnsi="Arial" w:cs="Arial"/>
          <w:sz w:val="24"/>
          <w:szCs w:val="24"/>
        </w:rPr>
        <w:t xml:space="preserve">Asimismo, los saldos a favor anuales declarados </w:t>
      </w:r>
      <w:r w:rsidR="00555FD7" w:rsidRPr="008518F5">
        <w:rPr>
          <w:rFonts w:ascii="Arial" w:hAnsi="Arial" w:cs="Arial"/>
          <w:sz w:val="24"/>
          <w:szCs w:val="24"/>
        </w:rPr>
        <w:t xml:space="preserve">sujetos a compensación </w:t>
      </w:r>
      <w:r w:rsidRPr="008518F5">
        <w:rPr>
          <w:rFonts w:ascii="Arial" w:hAnsi="Arial" w:cs="Arial"/>
          <w:sz w:val="24"/>
          <w:szCs w:val="24"/>
        </w:rPr>
        <w:t>se han incrementado con respecto a los del ejercicio fiscal 2021</w:t>
      </w:r>
      <w:r w:rsidR="00555FD7" w:rsidRPr="008518F5">
        <w:rPr>
          <w:rFonts w:ascii="Arial" w:hAnsi="Arial" w:cs="Arial"/>
          <w:sz w:val="24"/>
          <w:szCs w:val="24"/>
        </w:rPr>
        <w:t>. E</w:t>
      </w:r>
      <w:r w:rsidRPr="008518F5">
        <w:rPr>
          <w:rFonts w:ascii="Arial" w:hAnsi="Arial" w:cs="Arial"/>
          <w:sz w:val="24"/>
          <w:szCs w:val="24"/>
        </w:rPr>
        <w:t>stos saldos, al ser descontados, reducen los pagos efectivos</w:t>
      </w:r>
      <w:r w:rsidR="00A63603" w:rsidRPr="008518F5">
        <w:rPr>
          <w:rFonts w:ascii="Arial" w:hAnsi="Arial" w:cs="Arial"/>
          <w:sz w:val="24"/>
          <w:szCs w:val="24"/>
        </w:rPr>
        <w:t xml:space="preserve"> tanto en abril como en los meses siguientes.</w:t>
      </w:r>
    </w:p>
    <w:p w14:paraId="547AAB97" w14:textId="77777777" w:rsidR="008518F5" w:rsidRPr="008518F5" w:rsidRDefault="008518F5" w:rsidP="00851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7979F7" w14:textId="16D7B1BA" w:rsidR="008F3C51" w:rsidRDefault="009622A8" w:rsidP="008518F5">
      <w:pPr>
        <w:pStyle w:val="Prrafodelista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8518F5">
        <w:rPr>
          <w:rFonts w:ascii="Arial" w:eastAsia="Arial" w:hAnsi="Arial" w:cs="Arial"/>
          <w:color w:val="000000" w:themeColor="text1"/>
          <w:sz w:val="24"/>
          <w:szCs w:val="24"/>
        </w:rPr>
        <w:t>El desempeño de</w:t>
      </w:r>
      <w:r w:rsidR="00B467EE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 la actividad económica</w:t>
      </w:r>
      <w:r w:rsidRPr="008518F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B467EE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 con un crecimiento del PBI de </w:t>
      </w:r>
      <w:r w:rsidR="003E77BC" w:rsidRPr="008518F5">
        <w:rPr>
          <w:rFonts w:ascii="Arial" w:eastAsia="Arial" w:hAnsi="Arial" w:cs="Arial"/>
          <w:color w:val="000000" w:themeColor="text1"/>
          <w:sz w:val="24"/>
          <w:szCs w:val="24"/>
        </w:rPr>
        <w:t>marzo</w:t>
      </w:r>
      <w:r w:rsidR="00B467EE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 que habría sido nulo y una </w:t>
      </w:r>
      <w:r w:rsidR="008518F5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B467EE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emanda </w:t>
      </w:r>
      <w:r w:rsidR="008518F5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B467EE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nterna que habría disminuido </w:t>
      </w:r>
      <w:r w:rsidR="003E77BC" w:rsidRPr="008518F5">
        <w:rPr>
          <w:rFonts w:ascii="Arial" w:eastAsia="Arial" w:hAnsi="Arial" w:cs="Arial"/>
          <w:color w:val="000000" w:themeColor="text1"/>
          <w:sz w:val="24"/>
          <w:szCs w:val="24"/>
        </w:rPr>
        <w:t>2,7</w:t>
      </w:r>
      <w:r w:rsidR="00B467EE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%. </w:t>
      </w:r>
      <w:r w:rsidR="00201A88" w:rsidRPr="008518F5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F3C51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 ello se une </w:t>
      </w:r>
      <w:r w:rsidR="00735326" w:rsidRPr="008518F5">
        <w:rPr>
          <w:rFonts w:ascii="Arial" w:eastAsia="Arial" w:hAnsi="Arial" w:cs="Arial"/>
          <w:color w:val="000000" w:themeColor="text1"/>
          <w:sz w:val="24"/>
          <w:szCs w:val="24"/>
        </w:rPr>
        <w:t>la</w:t>
      </w:r>
      <w:r w:rsidR="00B467EE" w:rsidRPr="008518F5">
        <w:rPr>
          <w:rFonts w:ascii="Arial" w:eastAsia="Arial" w:hAnsi="Arial" w:cs="Arial"/>
          <w:sz w:val="24"/>
          <w:szCs w:val="24"/>
        </w:rPr>
        <w:t xml:space="preserve"> reducción de </w:t>
      </w:r>
      <w:r w:rsidR="00EF2AD8" w:rsidRPr="008518F5">
        <w:rPr>
          <w:rFonts w:ascii="Arial" w:eastAsia="Arial" w:hAnsi="Arial" w:cs="Arial"/>
          <w:sz w:val="24"/>
          <w:szCs w:val="24"/>
        </w:rPr>
        <w:t>24</w:t>
      </w:r>
      <w:r w:rsidR="00B467EE" w:rsidRPr="008518F5">
        <w:rPr>
          <w:rFonts w:ascii="Arial" w:eastAsia="Arial" w:hAnsi="Arial" w:cs="Arial"/>
          <w:sz w:val="24"/>
          <w:szCs w:val="24"/>
        </w:rPr>
        <w:t xml:space="preserve">% </w:t>
      </w:r>
      <w:r w:rsidR="003379F7" w:rsidRPr="008518F5">
        <w:rPr>
          <w:rFonts w:ascii="Arial" w:eastAsia="Arial" w:hAnsi="Arial" w:cs="Arial"/>
          <w:sz w:val="24"/>
          <w:szCs w:val="24"/>
        </w:rPr>
        <w:t xml:space="preserve">que </w:t>
      </w:r>
      <w:r w:rsidR="008F3C51" w:rsidRPr="008518F5">
        <w:rPr>
          <w:rFonts w:ascii="Arial" w:eastAsia="Arial" w:hAnsi="Arial" w:cs="Arial"/>
          <w:sz w:val="24"/>
          <w:szCs w:val="24"/>
        </w:rPr>
        <w:t>habrían registrado</w:t>
      </w:r>
      <w:r w:rsidR="003379F7" w:rsidRPr="008518F5">
        <w:rPr>
          <w:rFonts w:ascii="Arial" w:eastAsia="Arial" w:hAnsi="Arial" w:cs="Arial"/>
          <w:sz w:val="24"/>
          <w:szCs w:val="24"/>
        </w:rPr>
        <w:t xml:space="preserve"> las </w:t>
      </w:r>
      <w:r w:rsidR="00B467EE" w:rsidRPr="008518F5">
        <w:rPr>
          <w:rFonts w:ascii="Arial" w:eastAsia="Arial" w:hAnsi="Arial" w:cs="Arial"/>
          <w:sz w:val="24"/>
          <w:szCs w:val="24"/>
        </w:rPr>
        <w:t>importaciones e</w:t>
      </w:r>
      <w:r w:rsidR="008518F5">
        <w:rPr>
          <w:rFonts w:ascii="Arial" w:eastAsia="Arial" w:hAnsi="Arial" w:cs="Arial"/>
          <w:sz w:val="24"/>
          <w:szCs w:val="24"/>
        </w:rPr>
        <w:t>n</w:t>
      </w:r>
      <w:r w:rsidR="00B467EE" w:rsidRPr="008518F5">
        <w:rPr>
          <w:rFonts w:ascii="Arial" w:eastAsia="Arial" w:hAnsi="Arial" w:cs="Arial"/>
          <w:sz w:val="24"/>
          <w:szCs w:val="24"/>
        </w:rPr>
        <w:t xml:space="preserve"> </w:t>
      </w:r>
      <w:r w:rsidR="00214D0B" w:rsidRPr="008518F5">
        <w:rPr>
          <w:rFonts w:ascii="Arial" w:eastAsia="Arial" w:hAnsi="Arial" w:cs="Arial"/>
          <w:sz w:val="24"/>
          <w:szCs w:val="24"/>
        </w:rPr>
        <w:t>abril</w:t>
      </w:r>
      <w:r w:rsidR="00180724" w:rsidRPr="008518F5">
        <w:rPr>
          <w:rFonts w:ascii="Arial" w:eastAsia="Arial" w:hAnsi="Arial" w:cs="Arial"/>
          <w:sz w:val="24"/>
          <w:szCs w:val="24"/>
        </w:rPr>
        <w:t>.</w:t>
      </w:r>
      <w:r w:rsidR="000D56F1" w:rsidRPr="008518F5">
        <w:rPr>
          <w:rFonts w:ascii="Arial" w:eastAsia="Arial" w:hAnsi="Arial" w:cs="Arial"/>
          <w:sz w:val="24"/>
          <w:szCs w:val="24"/>
        </w:rPr>
        <w:t xml:space="preserve"> </w:t>
      </w:r>
    </w:p>
    <w:p w14:paraId="6BC9DCE6" w14:textId="77777777" w:rsidR="008518F5" w:rsidRPr="008518F5" w:rsidRDefault="008518F5" w:rsidP="008518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E758B7" w14:textId="0951A653" w:rsidR="009622A8" w:rsidRDefault="009622A8" w:rsidP="008518F5">
      <w:pPr>
        <w:pStyle w:val="Prrafodelista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8518F5">
        <w:rPr>
          <w:rFonts w:ascii="Arial" w:eastAsia="Arial" w:hAnsi="Arial" w:cs="Arial"/>
          <w:sz w:val="24"/>
          <w:szCs w:val="24"/>
        </w:rPr>
        <w:t xml:space="preserve">El impacto de menor recaudación producto de la postergación de los vencimientos de obligaciones </w:t>
      </w:r>
      <w:r w:rsidR="003379F7" w:rsidRPr="008518F5">
        <w:rPr>
          <w:rFonts w:ascii="Arial" w:eastAsia="Arial" w:hAnsi="Arial" w:cs="Arial"/>
          <w:sz w:val="24"/>
          <w:szCs w:val="24"/>
        </w:rPr>
        <w:t>del periodo tributario marzo 2023</w:t>
      </w:r>
      <w:r w:rsidR="004721C3" w:rsidRPr="008518F5">
        <w:rPr>
          <w:rFonts w:ascii="Arial" w:eastAsia="Arial" w:hAnsi="Arial" w:cs="Arial"/>
          <w:sz w:val="24"/>
          <w:szCs w:val="24"/>
        </w:rPr>
        <w:t>,</w:t>
      </w:r>
      <w:r w:rsidR="003379F7" w:rsidRPr="008518F5">
        <w:rPr>
          <w:rFonts w:ascii="Arial" w:eastAsia="Arial" w:hAnsi="Arial" w:cs="Arial"/>
          <w:sz w:val="24"/>
          <w:szCs w:val="24"/>
        </w:rPr>
        <w:t xml:space="preserve"> </w:t>
      </w:r>
      <w:r w:rsidRPr="008518F5">
        <w:rPr>
          <w:rFonts w:ascii="Arial" w:eastAsia="Arial" w:hAnsi="Arial" w:cs="Arial"/>
          <w:sz w:val="24"/>
          <w:szCs w:val="24"/>
        </w:rPr>
        <w:t>en</w:t>
      </w:r>
      <w:r w:rsidR="00E61E21" w:rsidRPr="008518F5">
        <w:rPr>
          <w:rFonts w:ascii="Arial" w:eastAsia="Arial" w:hAnsi="Arial" w:cs="Arial"/>
          <w:sz w:val="24"/>
          <w:szCs w:val="24"/>
        </w:rPr>
        <w:t xml:space="preserve"> </w:t>
      </w:r>
      <w:r w:rsidR="004721C3" w:rsidRPr="008518F5">
        <w:rPr>
          <w:rFonts w:ascii="Arial" w:eastAsia="Arial" w:hAnsi="Arial" w:cs="Arial"/>
          <w:sz w:val="24"/>
          <w:szCs w:val="24"/>
        </w:rPr>
        <w:t>el marco de</w:t>
      </w:r>
      <w:r w:rsidR="00E61E21" w:rsidRPr="008518F5">
        <w:rPr>
          <w:rFonts w:ascii="Arial" w:eastAsia="Arial" w:hAnsi="Arial" w:cs="Arial"/>
          <w:sz w:val="24"/>
          <w:szCs w:val="24"/>
        </w:rPr>
        <w:t xml:space="preserve"> la</w:t>
      </w:r>
      <w:r w:rsidRPr="008518F5">
        <w:rPr>
          <w:rFonts w:ascii="Arial" w:eastAsia="Arial" w:hAnsi="Arial" w:cs="Arial"/>
          <w:sz w:val="24"/>
          <w:szCs w:val="24"/>
        </w:rPr>
        <w:t xml:space="preserve"> </w:t>
      </w:r>
      <w:r w:rsidR="00E61E21" w:rsidRPr="008518F5">
        <w:rPr>
          <w:rFonts w:ascii="Arial" w:eastAsia="Arial" w:hAnsi="Arial" w:cs="Arial"/>
          <w:sz w:val="24"/>
          <w:szCs w:val="24"/>
        </w:rPr>
        <w:t xml:space="preserve">RS N° 059-2019-SUNAT y de los </w:t>
      </w:r>
      <w:r w:rsidRPr="008518F5">
        <w:rPr>
          <w:rFonts w:ascii="Arial" w:eastAsia="Arial" w:hAnsi="Arial" w:cs="Arial"/>
          <w:sz w:val="24"/>
          <w:szCs w:val="24"/>
        </w:rPr>
        <w:t xml:space="preserve">Decretos Supremos </w:t>
      </w:r>
      <w:r w:rsidR="00E61E21" w:rsidRPr="008518F5">
        <w:rPr>
          <w:rFonts w:ascii="Arial" w:eastAsia="Arial" w:hAnsi="Arial" w:cs="Arial"/>
          <w:sz w:val="24"/>
          <w:szCs w:val="24"/>
        </w:rPr>
        <w:t>emitidos el presente año y que</w:t>
      </w:r>
      <w:r w:rsidRPr="008518F5">
        <w:rPr>
          <w:rFonts w:ascii="Arial" w:eastAsia="Arial" w:hAnsi="Arial" w:cs="Arial"/>
          <w:sz w:val="24"/>
          <w:szCs w:val="24"/>
        </w:rPr>
        <w:t xml:space="preserve"> declararon </w:t>
      </w:r>
      <w:r w:rsidR="004721C3" w:rsidRPr="008518F5">
        <w:rPr>
          <w:rFonts w:ascii="Arial" w:eastAsia="Arial" w:hAnsi="Arial" w:cs="Arial"/>
          <w:sz w:val="24"/>
          <w:szCs w:val="24"/>
        </w:rPr>
        <w:t xml:space="preserve">el estado </w:t>
      </w:r>
      <w:r w:rsidRPr="008518F5">
        <w:rPr>
          <w:rFonts w:ascii="Arial" w:eastAsia="Arial" w:hAnsi="Arial" w:cs="Arial"/>
          <w:sz w:val="24"/>
          <w:szCs w:val="24"/>
        </w:rPr>
        <w:t>emergencia</w:t>
      </w:r>
      <w:r w:rsidR="004721C3" w:rsidRPr="008518F5">
        <w:rPr>
          <w:rFonts w:ascii="Arial" w:eastAsia="Arial" w:hAnsi="Arial" w:cs="Arial"/>
          <w:sz w:val="24"/>
          <w:szCs w:val="24"/>
        </w:rPr>
        <w:t xml:space="preserve"> en diversas localidades del país</w:t>
      </w:r>
      <w:r w:rsidRPr="008518F5">
        <w:rPr>
          <w:rFonts w:ascii="Arial" w:eastAsia="Arial" w:hAnsi="Arial" w:cs="Arial"/>
          <w:sz w:val="24"/>
          <w:szCs w:val="24"/>
        </w:rPr>
        <w:t xml:space="preserve"> por</w:t>
      </w:r>
      <w:r w:rsidR="004721C3" w:rsidRPr="008518F5">
        <w:rPr>
          <w:rFonts w:ascii="Arial" w:eastAsia="Arial" w:hAnsi="Arial" w:cs="Arial"/>
          <w:sz w:val="24"/>
          <w:szCs w:val="24"/>
        </w:rPr>
        <w:t xml:space="preserve"> los</w:t>
      </w:r>
      <w:r w:rsidRPr="008518F5">
        <w:rPr>
          <w:rFonts w:ascii="Arial" w:eastAsia="Arial" w:hAnsi="Arial" w:cs="Arial"/>
          <w:sz w:val="24"/>
          <w:szCs w:val="24"/>
        </w:rPr>
        <w:t xml:space="preserve"> desastres naturales.</w:t>
      </w:r>
    </w:p>
    <w:p w14:paraId="20FCA0D8" w14:textId="77777777" w:rsidR="00E70E7C" w:rsidRPr="00E70E7C" w:rsidRDefault="00E70E7C" w:rsidP="00E70E7C">
      <w:pPr>
        <w:pStyle w:val="Prrafodelista"/>
        <w:rPr>
          <w:rFonts w:ascii="Arial" w:eastAsia="Arial" w:hAnsi="Arial" w:cs="Arial"/>
          <w:sz w:val="24"/>
          <w:szCs w:val="24"/>
        </w:rPr>
      </w:pPr>
    </w:p>
    <w:p w14:paraId="60036DEC" w14:textId="11E83634" w:rsidR="0021750A" w:rsidRDefault="00C35CA4" w:rsidP="00E70E7C">
      <w:pPr>
        <w:pStyle w:val="Prrafodelista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70E7C">
        <w:rPr>
          <w:rFonts w:ascii="Arial" w:eastAsia="Arial" w:hAnsi="Arial" w:cs="Arial"/>
          <w:color w:val="000000" w:themeColor="text1"/>
          <w:sz w:val="24"/>
          <w:szCs w:val="24"/>
        </w:rPr>
        <w:t xml:space="preserve">El impacto negativo generado por la aplicación de </w:t>
      </w:r>
      <w:r w:rsidR="006336AF" w:rsidRPr="00E70E7C">
        <w:rPr>
          <w:rFonts w:ascii="Arial" w:eastAsia="Arial" w:hAnsi="Arial" w:cs="Arial"/>
          <w:color w:val="000000" w:themeColor="text1"/>
          <w:sz w:val="24"/>
          <w:szCs w:val="24"/>
        </w:rPr>
        <w:t>la</w:t>
      </w:r>
      <w:r w:rsidRPr="00E70E7C">
        <w:rPr>
          <w:rFonts w:ascii="Arial" w:eastAsia="Arial" w:hAnsi="Arial" w:cs="Arial"/>
          <w:color w:val="000000" w:themeColor="text1"/>
          <w:sz w:val="24"/>
          <w:szCs w:val="24"/>
        </w:rPr>
        <w:t xml:space="preserve"> tasa reducida de IGV para los restaurantes y hoteles MYPES, aprobada por la Ley N° 31556.</w:t>
      </w:r>
    </w:p>
    <w:p w14:paraId="147418EC" w14:textId="77777777" w:rsidR="00E70E7C" w:rsidRPr="00E70E7C" w:rsidRDefault="00E70E7C" w:rsidP="00E70E7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22877F9" w14:textId="18C669AC" w:rsidR="00D50837" w:rsidRDefault="001E0753" w:rsidP="00E70E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70E7C">
        <w:rPr>
          <w:rFonts w:ascii="Arial" w:eastAsia="Arial" w:hAnsi="Arial" w:cs="Arial"/>
          <w:sz w:val="24"/>
          <w:szCs w:val="24"/>
        </w:rPr>
        <w:t xml:space="preserve">Lo </w:t>
      </w:r>
      <w:r w:rsidRPr="008518F5">
        <w:rPr>
          <w:rFonts w:ascii="Arial" w:eastAsia="Arial" w:hAnsi="Arial" w:cs="Arial"/>
          <w:sz w:val="24"/>
          <w:szCs w:val="24"/>
        </w:rPr>
        <w:t xml:space="preserve">anterior </w:t>
      </w:r>
      <w:r w:rsidR="008F3C51" w:rsidRPr="008518F5">
        <w:rPr>
          <w:rFonts w:ascii="Arial" w:eastAsia="Arial" w:hAnsi="Arial" w:cs="Arial"/>
          <w:sz w:val="24"/>
          <w:szCs w:val="24"/>
        </w:rPr>
        <w:t xml:space="preserve">fue 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parcialmente </w:t>
      </w:r>
      <w:r w:rsidRPr="008518F5">
        <w:rPr>
          <w:rFonts w:ascii="Arial" w:eastAsia="Arial" w:hAnsi="Arial" w:cs="Arial"/>
          <w:sz w:val="24"/>
          <w:szCs w:val="24"/>
        </w:rPr>
        <w:t xml:space="preserve">contrarrestado por los mayores pagos 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extraordinarios recibidos en abril </w:t>
      </w:r>
      <w:r w:rsidR="008518F5">
        <w:rPr>
          <w:rFonts w:ascii="Arial" w:eastAsia="Arial" w:hAnsi="Arial" w:cs="Arial"/>
          <w:sz w:val="24"/>
          <w:szCs w:val="24"/>
        </w:rPr>
        <w:t xml:space="preserve">del 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2023 </w:t>
      </w:r>
      <w:r w:rsidR="00E61E21" w:rsidRPr="008518F5">
        <w:rPr>
          <w:rFonts w:ascii="Arial" w:eastAsia="Arial" w:hAnsi="Arial" w:cs="Arial"/>
          <w:sz w:val="24"/>
          <w:szCs w:val="24"/>
        </w:rPr>
        <w:t xml:space="preserve">en comparación </w:t>
      </w:r>
      <w:r w:rsidR="008518F5">
        <w:rPr>
          <w:rFonts w:ascii="Arial" w:eastAsia="Arial" w:hAnsi="Arial" w:cs="Arial"/>
          <w:sz w:val="24"/>
          <w:szCs w:val="24"/>
        </w:rPr>
        <w:t>con similar mes del año pasado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, destacando </w:t>
      </w:r>
      <w:r w:rsidR="00E61E21" w:rsidRPr="008518F5">
        <w:rPr>
          <w:rFonts w:ascii="Arial" w:eastAsia="Arial" w:hAnsi="Arial" w:cs="Arial"/>
          <w:sz w:val="24"/>
          <w:szCs w:val="24"/>
        </w:rPr>
        <w:t>aquellos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 correspondiente</w:t>
      </w:r>
      <w:r w:rsidR="00E61E21" w:rsidRPr="008518F5">
        <w:rPr>
          <w:rFonts w:ascii="Arial" w:eastAsia="Arial" w:hAnsi="Arial" w:cs="Arial"/>
          <w:sz w:val="24"/>
          <w:szCs w:val="24"/>
        </w:rPr>
        <w:t>s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 a la venta de activos empresariales.</w:t>
      </w:r>
    </w:p>
    <w:p w14:paraId="0ED0A243" w14:textId="74ED8F59" w:rsidR="006B0B75" w:rsidRDefault="006B0B75" w:rsidP="008518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A12D36" w14:textId="2A49B086" w:rsidR="006B0B75" w:rsidRDefault="006B0B75" w:rsidP="008518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C0E52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6805C544" wp14:editId="305BB8AE">
            <wp:simplePos x="0" y="0"/>
            <wp:positionH relativeFrom="margin">
              <wp:posOffset>0</wp:posOffset>
            </wp:positionH>
            <wp:positionV relativeFrom="paragraph">
              <wp:posOffset>202565</wp:posOffset>
            </wp:positionV>
            <wp:extent cx="5156200" cy="2376170"/>
            <wp:effectExtent l="0" t="0" r="6350" b="5080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2F3A4" w14:textId="77777777" w:rsidR="006B0B75" w:rsidRPr="008518F5" w:rsidRDefault="006B0B75" w:rsidP="008518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2DCA88" w14:textId="77777777" w:rsidR="006B0B75" w:rsidRDefault="006B0B75" w:rsidP="008518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CC8DE3" w14:textId="77777777" w:rsidR="006B0B75" w:rsidRDefault="006B0B75" w:rsidP="008518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7EAAD7" w14:textId="72BF9BE5" w:rsidR="00FF3382" w:rsidRDefault="00021229" w:rsidP="008518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>Resultados por tributos</w:t>
      </w:r>
      <w:r w:rsidR="00FC3EF3"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29974C9" w14:textId="77777777" w:rsidR="008518F5" w:rsidRPr="008518F5" w:rsidRDefault="008518F5" w:rsidP="008518F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02B1DA" w14:textId="214E970B" w:rsidR="009162C5" w:rsidRPr="008518F5" w:rsidRDefault="009162C5" w:rsidP="008518F5">
      <w:pPr>
        <w:pStyle w:val="Prrafodelista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Impuesto a la Renta: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En </w:t>
      </w:r>
      <w:r w:rsidR="00214D0B" w:rsidRPr="008518F5">
        <w:rPr>
          <w:rFonts w:ascii="Arial" w:hAnsi="Arial" w:cs="Arial"/>
          <w:bCs/>
          <w:color w:val="000000" w:themeColor="text1"/>
          <w:sz w:val="24"/>
          <w:szCs w:val="24"/>
        </w:rPr>
        <w:t>abril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se recaudaron S/ </w:t>
      </w:r>
      <w:r w:rsidR="007144D6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9 </w:t>
      </w:r>
      <w:r w:rsidR="006F2DA6" w:rsidRPr="008518F5">
        <w:rPr>
          <w:rFonts w:ascii="Arial" w:hAnsi="Arial" w:cs="Arial"/>
          <w:bCs/>
          <w:color w:val="000000" w:themeColor="text1"/>
          <w:sz w:val="24"/>
          <w:szCs w:val="24"/>
        </w:rPr>
        <w:t>694</w:t>
      </w:r>
      <w:r w:rsidR="007D4398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>millones por este impuesto, cifra que representa un</w:t>
      </w:r>
      <w:r w:rsidR="007D4398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9622A8" w:rsidRPr="008518F5">
        <w:rPr>
          <w:rFonts w:ascii="Arial" w:hAnsi="Arial" w:cs="Arial"/>
          <w:bCs/>
          <w:color w:val="000000" w:themeColor="text1"/>
          <w:sz w:val="24"/>
          <w:szCs w:val="24"/>
        </w:rPr>
        <w:t>contracción</w:t>
      </w:r>
      <w:r w:rsidR="007D4398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de </w:t>
      </w:r>
      <w:r w:rsidR="007144D6" w:rsidRPr="008518F5">
        <w:rPr>
          <w:rFonts w:ascii="Arial" w:hAnsi="Arial" w:cs="Arial"/>
          <w:bCs/>
          <w:color w:val="000000" w:themeColor="text1"/>
          <w:sz w:val="24"/>
          <w:szCs w:val="24"/>
        </w:rPr>
        <w:t>34,</w:t>
      </w:r>
      <w:r w:rsidR="006F2DA6" w:rsidRPr="008518F5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% </w:t>
      </w:r>
      <w:r w:rsidR="002C55B5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con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respecto </w:t>
      </w:r>
      <w:r w:rsidR="008F6952" w:rsidRPr="008518F5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1D90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lo obtenido en </w:t>
      </w:r>
      <w:r w:rsidR="005C64AF" w:rsidRPr="008518F5">
        <w:rPr>
          <w:rFonts w:ascii="Arial" w:hAnsi="Arial" w:cs="Arial"/>
          <w:bCs/>
          <w:color w:val="000000" w:themeColor="text1"/>
          <w:sz w:val="24"/>
          <w:szCs w:val="24"/>
        </w:rPr>
        <w:t>similar mes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del año 2022. </w:t>
      </w:r>
    </w:p>
    <w:p w14:paraId="3362EDA7" w14:textId="77777777" w:rsidR="008518F5" w:rsidRDefault="008518F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CD337" w14:textId="7AFF4460" w:rsidR="00211D90" w:rsidRPr="008518F5" w:rsidRDefault="009162C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El resultado de </w:t>
      </w:r>
      <w:r w:rsidR="00214D0B" w:rsidRPr="008518F5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refleja 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 xml:space="preserve">principalmente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>menores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pagos </w:t>
      </w:r>
      <w:r w:rsidR="00E61E21" w:rsidRPr="008518F5">
        <w:rPr>
          <w:rFonts w:ascii="Arial" w:hAnsi="Arial" w:cs="Arial"/>
          <w:color w:val="000000" w:themeColor="text1"/>
          <w:sz w:val="24"/>
          <w:szCs w:val="24"/>
        </w:rPr>
        <w:t>de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Regularización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2AD8" w:rsidRPr="008518F5">
        <w:rPr>
          <w:rFonts w:ascii="Arial" w:hAnsi="Arial" w:cs="Arial"/>
          <w:color w:val="000000" w:themeColor="text1"/>
          <w:sz w:val="24"/>
          <w:szCs w:val="24"/>
        </w:rPr>
        <w:t xml:space="preserve">segunda, 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>c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uarta 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>y q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uinta 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>c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>ategoría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>s</w:t>
      </w:r>
      <w:r w:rsidR="00EF2AD8" w:rsidRPr="008518F5">
        <w:rPr>
          <w:rFonts w:ascii="Arial" w:hAnsi="Arial" w:cs="Arial"/>
          <w:color w:val="000000" w:themeColor="text1"/>
          <w:sz w:val="24"/>
          <w:szCs w:val="24"/>
        </w:rPr>
        <w:t>, No Domiciliados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 xml:space="preserve"> y el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 Régimen Especial de Renta</w:t>
      </w:r>
      <w:r w:rsidR="00E61E21" w:rsidRPr="008518F5">
        <w:rPr>
          <w:rFonts w:ascii="Arial" w:hAnsi="Arial" w:cs="Arial"/>
          <w:color w:val="000000" w:themeColor="text1"/>
          <w:sz w:val="24"/>
          <w:szCs w:val="24"/>
        </w:rPr>
        <w:t>,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 xml:space="preserve"> que retrocedieron </w:t>
      </w:r>
      <w:r w:rsidR="006F2DA6" w:rsidRPr="008518F5">
        <w:rPr>
          <w:rFonts w:ascii="Arial" w:hAnsi="Arial" w:cs="Arial"/>
          <w:color w:val="000000" w:themeColor="text1"/>
          <w:sz w:val="24"/>
          <w:szCs w:val="24"/>
        </w:rPr>
        <w:t>46,8</w:t>
      </w:r>
      <w:r w:rsidR="00F00994" w:rsidRPr="008518F5">
        <w:rPr>
          <w:rFonts w:ascii="Arial" w:hAnsi="Arial" w:cs="Arial"/>
          <w:color w:val="000000" w:themeColor="text1"/>
          <w:sz w:val="24"/>
          <w:szCs w:val="24"/>
        </w:rPr>
        <w:t>%</w:t>
      </w:r>
      <w:r w:rsidR="006F2DA6" w:rsidRPr="008518F5">
        <w:rPr>
          <w:rFonts w:ascii="Arial" w:hAnsi="Arial" w:cs="Arial"/>
          <w:color w:val="000000" w:themeColor="text1"/>
          <w:sz w:val="24"/>
          <w:szCs w:val="24"/>
        </w:rPr>
        <w:t>, 1</w:t>
      </w:r>
      <w:r w:rsidR="00EF2AD8" w:rsidRPr="008518F5">
        <w:rPr>
          <w:rFonts w:ascii="Arial" w:hAnsi="Arial" w:cs="Arial"/>
          <w:color w:val="000000" w:themeColor="text1"/>
          <w:sz w:val="24"/>
          <w:szCs w:val="24"/>
        </w:rPr>
        <w:t xml:space="preserve">41,3%, </w:t>
      </w:r>
      <w:r w:rsidR="006F2DA6" w:rsidRPr="008518F5">
        <w:rPr>
          <w:rFonts w:ascii="Arial" w:hAnsi="Arial" w:cs="Arial"/>
          <w:color w:val="000000" w:themeColor="text1"/>
          <w:sz w:val="24"/>
          <w:szCs w:val="24"/>
        </w:rPr>
        <w:t>4,2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>%,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2DA6" w:rsidRPr="008518F5">
        <w:rPr>
          <w:rFonts w:ascii="Arial" w:hAnsi="Arial" w:cs="Arial"/>
          <w:color w:val="000000" w:themeColor="text1"/>
          <w:sz w:val="24"/>
          <w:szCs w:val="24"/>
        </w:rPr>
        <w:t>10,3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%, </w:t>
      </w:r>
      <w:r w:rsidR="00EF2AD8" w:rsidRPr="008518F5">
        <w:rPr>
          <w:rFonts w:ascii="Arial" w:hAnsi="Arial" w:cs="Arial"/>
          <w:color w:val="000000" w:themeColor="text1"/>
          <w:sz w:val="24"/>
          <w:szCs w:val="24"/>
        </w:rPr>
        <w:t xml:space="preserve">15,5% y </w:t>
      </w:r>
      <w:r w:rsidR="007144D6" w:rsidRPr="008518F5">
        <w:rPr>
          <w:rFonts w:ascii="Arial" w:hAnsi="Arial" w:cs="Arial"/>
          <w:color w:val="000000" w:themeColor="text1"/>
          <w:sz w:val="24"/>
          <w:szCs w:val="24"/>
        </w:rPr>
        <w:t>12,</w:t>
      </w:r>
      <w:r w:rsidR="006F2DA6" w:rsidRPr="008518F5">
        <w:rPr>
          <w:rFonts w:ascii="Arial" w:hAnsi="Arial" w:cs="Arial"/>
          <w:color w:val="000000" w:themeColor="text1"/>
          <w:sz w:val="24"/>
          <w:szCs w:val="24"/>
        </w:rPr>
        <w:t>0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>%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7050" w:rsidRPr="008518F5">
        <w:rPr>
          <w:rFonts w:ascii="Arial" w:hAnsi="Arial" w:cs="Arial"/>
          <w:color w:val="000000" w:themeColor="text1"/>
          <w:sz w:val="24"/>
          <w:szCs w:val="24"/>
        </w:rPr>
        <w:t>respectivamente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>.</w:t>
      </w:r>
      <w:r w:rsidR="00211D90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1500" w:rsidRPr="008518F5">
        <w:rPr>
          <w:rFonts w:ascii="Arial" w:hAnsi="Arial" w:cs="Arial"/>
          <w:color w:val="000000" w:themeColor="text1"/>
          <w:sz w:val="24"/>
          <w:szCs w:val="24"/>
        </w:rPr>
        <w:t xml:space="preserve"> En contraste, se </w:t>
      </w:r>
      <w:r w:rsidR="00211D90" w:rsidRPr="008518F5">
        <w:rPr>
          <w:rFonts w:ascii="Arial" w:hAnsi="Arial" w:cs="Arial"/>
          <w:color w:val="000000" w:themeColor="text1"/>
          <w:sz w:val="24"/>
          <w:szCs w:val="24"/>
        </w:rPr>
        <w:t xml:space="preserve">registraron </w:t>
      </w:r>
      <w:r w:rsidR="00282574" w:rsidRPr="008518F5">
        <w:rPr>
          <w:rFonts w:ascii="Arial" w:hAnsi="Arial" w:cs="Arial"/>
          <w:color w:val="000000" w:themeColor="text1"/>
          <w:sz w:val="24"/>
          <w:szCs w:val="24"/>
        </w:rPr>
        <w:t xml:space="preserve">incrementos </w:t>
      </w:r>
      <w:r w:rsidR="00211D90" w:rsidRPr="008518F5">
        <w:rPr>
          <w:rFonts w:ascii="Arial" w:hAnsi="Arial" w:cs="Arial"/>
          <w:color w:val="000000" w:themeColor="text1"/>
          <w:sz w:val="24"/>
          <w:szCs w:val="24"/>
        </w:rPr>
        <w:t xml:space="preserve">en los pagos </w:t>
      </w:r>
      <w:r w:rsidR="002C55B5" w:rsidRPr="008518F5">
        <w:rPr>
          <w:rFonts w:ascii="Arial" w:hAnsi="Arial" w:cs="Arial"/>
          <w:color w:val="000000" w:themeColor="text1"/>
          <w:sz w:val="24"/>
          <w:szCs w:val="24"/>
        </w:rPr>
        <w:t>asociados a las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D90" w:rsidRPr="008518F5">
        <w:rPr>
          <w:rFonts w:ascii="Arial" w:hAnsi="Arial" w:cs="Arial"/>
          <w:color w:val="000000" w:themeColor="text1"/>
          <w:sz w:val="24"/>
          <w:szCs w:val="24"/>
        </w:rPr>
        <w:t xml:space="preserve">rentas provenientes de </w:t>
      </w:r>
      <w:r w:rsidR="007144D6" w:rsidRPr="008518F5">
        <w:rPr>
          <w:rFonts w:ascii="Arial" w:hAnsi="Arial" w:cs="Arial"/>
          <w:color w:val="000000" w:themeColor="text1"/>
          <w:sz w:val="24"/>
          <w:szCs w:val="24"/>
        </w:rPr>
        <w:t>primera</w:t>
      </w:r>
      <w:r w:rsidR="008E2136" w:rsidRPr="008518F5">
        <w:rPr>
          <w:rFonts w:ascii="Arial" w:hAnsi="Arial" w:cs="Arial"/>
          <w:color w:val="000000" w:themeColor="text1"/>
          <w:sz w:val="24"/>
          <w:szCs w:val="24"/>
        </w:rPr>
        <w:t xml:space="preserve"> categoría </w:t>
      </w:r>
      <w:r w:rsidR="008518F5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A47CE1" w:rsidRPr="008518F5">
        <w:rPr>
          <w:rFonts w:ascii="Arial" w:hAnsi="Arial" w:cs="Arial"/>
          <w:color w:val="000000" w:themeColor="text1"/>
          <w:sz w:val="24"/>
          <w:szCs w:val="24"/>
        </w:rPr>
        <w:t>aumentó en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1,3</w:t>
      </w:r>
      <w:r w:rsidR="007144D6" w:rsidRPr="008518F5">
        <w:rPr>
          <w:rFonts w:ascii="Arial" w:hAnsi="Arial" w:cs="Arial"/>
          <w:color w:val="000000" w:themeColor="text1"/>
          <w:sz w:val="24"/>
          <w:szCs w:val="24"/>
        </w:rPr>
        <w:t>%</w:t>
      </w:r>
      <w:r w:rsidR="00A47CE1" w:rsidRPr="008518F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7FB99F" w14:textId="77777777" w:rsidR="008518F5" w:rsidRDefault="008518F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70C0"/>
          <w:sz w:val="24"/>
          <w:szCs w:val="24"/>
        </w:rPr>
      </w:pPr>
    </w:p>
    <w:p w14:paraId="7CE78531" w14:textId="49B6BC2E" w:rsidR="005E0F61" w:rsidRPr="008518F5" w:rsidRDefault="008F3C51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8518F5">
        <w:rPr>
          <w:rFonts w:ascii="Arial" w:hAnsi="Arial" w:cs="Arial"/>
          <w:sz w:val="24"/>
          <w:szCs w:val="24"/>
        </w:rPr>
        <w:t xml:space="preserve">Tal como se </w:t>
      </w:r>
      <w:r w:rsidR="00E61E21" w:rsidRPr="008518F5">
        <w:rPr>
          <w:rFonts w:ascii="Arial" w:hAnsi="Arial" w:cs="Arial"/>
          <w:sz w:val="24"/>
          <w:szCs w:val="24"/>
        </w:rPr>
        <w:t>mencionó</w:t>
      </w:r>
      <w:r w:rsidR="00327F78" w:rsidRPr="008518F5">
        <w:rPr>
          <w:rFonts w:ascii="Arial" w:hAnsi="Arial" w:cs="Arial"/>
          <w:sz w:val="24"/>
          <w:szCs w:val="24"/>
        </w:rPr>
        <w:t xml:space="preserve">, la </w:t>
      </w:r>
      <w:r w:rsidR="00282574" w:rsidRPr="008518F5">
        <w:rPr>
          <w:rFonts w:ascii="Arial" w:hAnsi="Arial" w:cs="Arial"/>
          <w:sz w:val="24"/>
          <w:szCs w:val="24"/>
        </w:rPr>
        <w:t>caída</w:t>
      </w:r>
      <w:r w:rsidR="0014799B" w:rsidRPr="008518F5">
        <w:rPr>
          <w:rFonts w:ascii="Arial" w:hAnsi="Arial" w:cs="Arial"/>
          <w:sz w:val="24"/>
          <w:szCs w:val="24"/>
        </w:rPr>
        <w:t xml:space="preserve"> en la </w:t>
      </w:r>
      <w:r w:rsidR="00B24801" w:rsidRPr="008518F5">
        <w:rPr>
          <w:rFonts w:ascii="Arial" w:hAnsi="Arial" w:cs="Arial"/>
          <w:sz w:val="24"/>
          <w:szCs w:val="24"/>
        </w:rPr>
        <w:t>regularización de</w:t>
      </w:r>
      <w:r w:rsidR="00327F78" w:rsidRPr="008518F5">
        <w:rPr>
          <w:rFonts w:ascii="Arial" w:hAnsi="Arial" w:cs="Arial"/>
          <w:sz w:val="24"/>
          <w:szCs w:val="24"/>
        </w:rPr>
        <w:t xml:space="preserve"> </w:t>
      </w:r>
      <w:r w:rsidR="00214D0B" w:rsidRPr="008518F5">
        <w:rPr>
          <w:rFonts w:ascii="Arial" w:hAnsi="Arial" w:cs="Arial"/>
          <w:sz w:val="24"/>
          <w:szCs w:val="24"/>
        </w:rPr>
        <w:t>abril</w:t>
      </w:r>
      <w:r w:rsidR="00327F78" w:rsidRPr="008518F5">
        <w:rPr>
          <w:rFonts w:ascii="Arial" w:hAnsi="Arial" w:cs="Arial"/>
          <w:sz w:val="24"/>
          <w:szCs w:val="24"/>
        </w:rPr>
        <w:t xml:space="preserve"> </w:t>
      </w:r>
      <w:r w:rsidR="0014799B" w:rsidRPr="008518F5">
        <w:rPr>
          <w:rFonts w:ascii="Arial" w:hAnsi="Arial" w:cs="Arial"/>
          <w:sz w:val="24"/>
          <w:szCs w:val="24"/>
        </w:rPr>
        <w:t>reflej</w:t>
      </w:r>
      <w:r w:rsidR="002C55B5" w:rsidRPr="008518F5">
        <w:rPr>
          <w:rFonts w:ascii="Arial" w:hAnsi="Arial" w:cs="Arial"/>
          <w:sz w:val="24"/>
          <w:szCs w:val="24"/>
        </w:rPr>
        <w:t>a</w:t>
      </w:r>
      <w:r w:rsidR="005C6052" w:rsidRPr="008518F5">
        <w:rPr>
          <w:rFonts w:ascii="Arial" w:hAnsi="Arial" w:cs="Arial"/>
          <w:sz w:val="24"/>
          <w:szCs w:val="24"/>
        </w:rPr>
        <w:t xml:space="preserve"> la </w:t>
      </w:r>
      <w:r w:rsidR="00327F78" w:rsidRPr="008518F5">
        <w:rPr>
          <w:rFonts w:ascii="Arial" w:hAnsi="Arial" w:cs="Arial"/>
          <w:sz w:val="24"/>
          <w:szCs w:val="24"/>
        </w:rPr>
        <w:t xml:space="preserve">forma en que se </w:t>
      </w:r>
      <w:r w:rsidR="002C55B5" w:rsidRPr="008518F5">
        <w:rPr>
          <w:rFonts w:ascii="Arial" w:hAnsi="Arial" w:cs="Arial"/>
          <w:sz w:val="24"/>
          <w:szCs w:val="24"/>
        </w:rPr>
        <w:t>liquida</w:t>
      </w:r>
      <w:r w:rsidR="00327F78" w:rsidRPr="008518F5">
        <w:rPr>
          <w:rFonts w:ascii="Arial" w:hAnsi="Arial" w:cs="Arial"/>
          <w:sz w:val="24"/>
          <w:szCs w:val="24"/>
        </w:rPr>
        <w:t xml:space="preserve"> el impuesto</w:t>
      </w:r>
      <w:r w:rsidR="00904B0B" w:rsidRPr="008518F5">
        <w:rPr>
          <w:rFonts w:ascii="Arial" w:hAnsi="Arial" w:cs="Arial"/>
          <w:sz w:val="24"/>
          <w:szCs w:val="24"/>
        </w:rPr>
        <w:t xml:space="preserve"> y</w:t>
      </w:r>
      <w:r w:rsidR="002C55B5" w:rsidRPr="008518F5">
        <w:rPr>
          <w:rFonts w:ascii="Arial" w:hAnsi="Arial" w:cs="Arial"/>
          <w:sz w:val="24"/>
          <w:szCs w:val="24"/>
        </w:rPr>
        <w:t xml:space="preserve"> el</w:t>
      </w:r>
      <w:r w:rsidR="00904B0B" w:rsidRPr="008518F5">
        <w:rPr>
          <w:rFonts w:ascii="Arial" w:hAnsi="Arial" w:cs="Arial"/>
          <w:sz w:val="24"/>
          <w:szCs w:val="24"/>
        </w:rPr>
        <w:t xml:space="preserve"> meno</w:t>
      </w:r>
      <w:r w:rsidR="008518F5">
        <w:rPr>
          <w:rFonts w:ascii="Arial" w:hAnsi="Arial" w:cs="Arial"/>
          <w:sz w:val="24"/>
          <w:szCs w:val="24"/>
        </w:rPr>
        <w:t>r</w:t>
      </w:r>
      <w:r w:rsidR="00904B0B" w:rsidRPr="008518F5">
        <w:rPr>
          <w:rFonts w:ascii="Arial" w:hAnsi="Arial" w:cs="Arial"/>
          <w:sz w:val="24"/>
          <w:szCs w:val="24"/>
        </w:rPr>
        <w:t xml:space="preserve"> sal</w:t>
      </w:r>
      <w:r w:rsidR="002C55B5" w:rsidRPr="008518F5">
        <w:rPr>
          <w:rFonts w:ascii="Arial" w:hAnsi="Arial" w:cs="Arial"/>
          <w:sz w:val="24"/>
          <w:szCs w:val="24"/>
        </w:rPr>
        <w:t>do por regularizar</w:t>
      </w:r>
      <w:r w:rsidR="00904B0B" w:rsidRPr="008518F5">
        <w:rPr>
          <w:rFonts w:ascii="Arial" w:hAnsi="Arial" w:cs="Arial"/>
          <w:sz w:val="24"/>
          <w:szCs w:val="24"/>
        </w:rPr>
        <w:t>, dado el nivel de pagos a cuenta recibidos durante el año 2022</w:t>
      </w:r>
      <w:r w:rsidR="002C55B5" w:rsidRPr="008518F5">
        <w:rPr>
          <w:rFonts w:ascii="Arial" w:hAnsi="Arial" w:cs="Arial"/>
          <w:sz w:val="24"/>
          <w:szCs w:val="24"/>
        </w:rPr>
        <w:t>.</w:t>
      </w:r>
    </w:p>
    <w:p w14:paraId="4CAE77DB" w14:textId="77777777" w:rsidR="008518F5" w:rsidRDefault="008518F5" w:rsidP="008518F5">
      <w:pPr>
        <w:spacing w:after="0" w:line="240" w:lineRule="auto"/>
        <w:ind w:left="426"/>
        <w:jc w:val="both"/>
        <w:rPr>
          <w:rFonts w:ascii="Arial" w:hAnsi="Arial" w:cs="Arial"/>
          <w:color w:val="0070C0"/>
          <w:sz w:val="24"/>
          <w:szCs w:val="24"/>
        </w:rPr>
      </w:pPr>
      <w:bookmarkStart w:id="0" w:name="_Hlk131425485"/>
    </w:p>
    <w:p w14:paraId="5969A8D8" w14:textId="366CB170" w:rsidR="008F5FEA" w:rsidRDefault="00211D90" w:rsidP="008518F5">
      <w:pP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8518F5">
        <w:rPr>
          <w:rFonts w:ascii="Arial" w:hAnsi="Arial" w:cs="Arial"/>
          <w:sz w:val="24"/>
          <w:szCs w:val="24"/>
        </w:rPr>
        <w:t xml:space="preserve">Por su parte, </w:t>
      </w:r>
      <w:bookmarkEnd w:id="0"/>
      <w:r w:rsidR="00B3551F" w:rsidRPr="008518F5">
        <w:rPr>
          <w:rFonts w:ascii="Arial" w:hAnsi="Arial" w:cs="Arial"/>
          <w:sz w:val="24"/>
          <w:szCs w:val="24"/>
        </w:rPr>
        <w:t>l</w:t>
      </w:r>
      <w:r w:rsidR="00B3551F" w:rsidRPr="008518F5">
        <w:rPr>
          <w:rFonts w:ascii="Arial" w:eastAsia="Arial" w:hAnsi="Arial" w:cs="Arial"/>
          <w:sz w:val="24"/>
          <w:szCs w:val="24"/>
        </w:rPr>
        <w:t xml:space="preserve">os menores pagos a cuenta mensuales reflejaron los mayores saldos a favor declarados con motivo de la regularización; así como los menores coeficientes </w:t>
      </w:r>
      <w:r w:rsidR="00C33EC7" w:rsidRPr="008518F5">
        <w:rPr>
          <w:rFonts w:ascii="Arial" w:eastAsia="Arial" w:hAnsi="Arial" w:cs="Arial"/>
          <w:sz w:val="24"/>
          <w:szCs w:val="24"/>
        </w:rPr>
        <w:t xml:space="preserve">empleados en la determinación de los pagos, principalmente en </w:t>
      </w:r>
      <w:r w:rsidR="00B3551F" w:rsidRPr="008518F5">
        <w:rPr>
          <w:rFonts w:ascii="Arial" w:eastAsia="Arial" w:hAnsi="Arial" w:cs="Arial"/>
          <w:sz w:val="24"/>
          <w:szCs w:val="24"/>
        </w:rPr>
        <w:t>sectores como minería, hidrocarburos, manufactura y comercio</w:t>
      </w:r>
      <w:r w:rsidR="004C536B" w:rsidRPr="008518F5">
        <w:rPr>
          <w:rFonts w:ascii="Arial" w:eastAsia="Arial" w:hAnsi="Arial" w:cs="Arial"/>
          <w:sz w:val="24"/>
          <w:szCs w:val="24"/>
        </w:rPr>
        <w:t>, así como la baja de cotizaciones</w:t>
      </w:r>
      <w:r w:rsidR="00C33EC7" w:rsidRPr="008518F5">
        <w:rPr>
          <w:rFonts w:ascii="Arial" w:eastAsia="Arial" w:hAnsi="Arial" w:cs="Arial"/>
          <w:sz w:val="24"/>
          <w:szCs w:val="24"/>
        </w:rPr>
        <w:t>.</w:t>
      </w:r>
      <w:r w:rsidR="008F5FEA" w:rsidRPr="008518F5">
        <w:rPr>
          <w:rFonts w:ascii="Arial" w:eastAsia="Arial" w:hAnsi="Arial" w:cs="Arial"/>
          <w:sz w:val="24"/>
          <w:szCs w:val="24"/>
        </w:rPr>
        <w:t xml:space="preserve"> Al respecto, es oportuno mencionar que los menores coeficientes determinados también serán de aplicación durante los siguientes meses del presente año.</w:t>
      </w:r>
      <w:r w:rsidR="00C33EC7" w:rsidRPr="008518F5">
        <w:rPr>
          <w:rFonts w:ascii="Arial" w:eastAsia="Arial" w:hAnsi="Arial" w:cs="Arial"/>
          <w:sz w:val="24"/>
          <w:szCs w:val="24"/>
        </w:rPr>
        <w:t xml:space="preserve"> </w:t>
      </w:r>
    </w:p>
    <w:p w14:paraId="02DFD994" w14:textId="77777777" w:rsidR="008518F5" w:rsidRPr="008518F5" w:rsidRDefault="008518F5" w:rsidP="008518F5">
      <w:pP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3039D439" w14:textId="1139CFE8" w:rsidR="00B3551F" w:rsidRDefault="00C33EC7" w:rsidP="008518F5">
      <w:pPr>
        <w:spacing w:after="0" w:line="240" w:lineRule="auto"/>
        <w:ind w:left="42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518F5">
        <w:rPr>
          <w:rFonts w:ascii="Arial" w:eastAsia="Arial" w:hAnsi="Arial" w:cs="Arial"/>
          <w:color w:val="000000" w:themeColor="text1"/>
          <w:sz w:val="24"/>
          <w:szCs w:val="24"/>
        </w:rPr>
        <w:t>A lo anterior se añade el efecto de la</w:t>
      </w:r>
      <w:r w:rsidR="00C1763B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 postergación de </w:t>
      </w:r>
      <w:r w:rsidR="004C536B" w:rsidRPr="008518F5">
        <w:rPr>
          <w:rFonts w:ascii="Arial" w:eastAsia="Arial" w:hAnsi="Arial" w:cs="Arial"/>
          <w:color w:val="000000" w:themeColor="text1"/>
          <w:sz w:val="24"/>
          <w:szCs w:val="24"/>
        </w:rPr>
        <w:t xml:space="preserve">las </w:t>
      </w:r>
      <w:r w:rsidR="00C1763B" w:rsidRPr="008518F5">
        <w:rPr>
          <w:rFonts w:ascii="Arial" w:eastAsia="Arial" w:hAnsi="Arial" w:cs="Arial"/>
          <w:color w:val="000000" w:themeColor="text1"/>
          <w:sz w:val="24"/>
          <w:szCs w:val="24"/>
        </w:rPr>
        <w:t>obligaciones mensuales para las zonas en emergencia.</w:t>
      </w:r>
    </w:p>
    <w:p w14:paraId="71E9C188" w14:textId="77777777" w:rsidR="008518F5" w:rsidRPr="008518F5" w:rsidRDefault="008518F5" w:rsidP="008518F5">
      <w:pP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2AEDA6D6" w14:textId="0A442FAE" w:rsidR="009162C5" w:rsidRPr="008518F5" w:rsidRDefault="009162C5" w:rsidP="008518F5">
      <w:pPr>
        <w:pStyle w:val="Prrafodelista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>Impuesto General a las Ventas</w:t>
      </w:r>
      <w:r w:rsidR="00ED28EA"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 (IGV)</w:t>
      </w: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6D40B4" w:rsidRPr="008518F5">
        <w:rPr>
          <w:rFonts w:ascii="Arial" w:hAnsi="Arial" w:cs="Arial"/>
          <w:bCs/>
          <w:color w:val="000000" w:themeColor="text1"/>
          <w:sz w:val="24"/>
          <w:szCs w:val="24"/>
        </w:rPr>
        <w:t>La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recaudación del IGV alcanzó los S/ 6 </w:t>
      </w:r>
      <w:r w:rsidR="00621E43" w:rsidRPr="008518F5">
        <w:rPr>
          <w:rFonts w:ascii="Arial" w:hAnsi="Arial" w:cs="Arial"/>
          <w:color w:val="000000" w:themeColor="text1"/>
          <w:sz w:val="24"/>
          <w:szCs w:val="24"/>
        </w:rPr>
        <w:t>27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6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millones, monto </w:t>
      </w:r>
      <w:r w:rsidR="00D04CD0" w:rsidRPr="008518F5">
        <w:rPr>
          <w:rFonts w:ascii="Arial" w:hAnsi="Arial" w:cs="Arial"/>
          <w:color w:val="000000" w:themeColor="text1"/>
          <w:sz w:val="24"/>
          <w:szCs w:val="24"/>
        </w:rPr>
        <w:t xml:space="preserve">que representó una </w:t>
      </w:r>
      <w:r w:rsidR="008518F5">
        <w:rPr>
          <w:rFonts w:ascii="Arial" w:hAnsi="Arial" w:cs="Arial"/>
          <w:color w:val="000000" w:themeColor="text1"/>
          <w:sz w:val="24"/>
          <w:szCs w:val="24"/>
        </w:rPr>
        <w:t>menor</w:t>
      </w:r>
      <w:r w:rsidR="00ED28EA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4CD0" w:rsidRPr="008518F5">
        <w:rPr>
          <w:rFonts w:ascii="Arial" w:hAnsi="Arial" w:cs="Arial"/>
          <w:bCs/>
          <w:color w:val="000000" w:themeColor="text1"/>
          <w:sz w:val="24"/>
          <w:szCs w:val="24"/>
        </w:rPr>
        <w:t>recaudación</w:t>
      </w:r>
      <w:r w:rsidR="00D04CD0" w:rsidRPr="008518F5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ED28EA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S/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698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millones</w:t>
      </w:r>
      <w:r w:rsidR="00D04CD0" w:rsidRPr="008518F5">
        <w:rPr>
          <w:rFonts w:ascii="Arial" w:hAnsi="Arial" w:cs="Arial"/>
          <w:color w:val="000000" w:themeColor="text1"/>
          <w:sz w:val="24"/>
          <w:szCs w:val="24"/>
        </w:rPr>
        <w:t xml:space="preserve"> y una disminución de </w:t>
      </w:r>
      <w:r w:rsidR="00621E43" w:rsidRPr="008518F5">
        <w:rPr>
          <w:rFonts w:ascii="Arial" w:hAnsi="Arial" w:cs="Arial"/>
          <w:color w:val="000000" w:themeColor="text1"/>
          <w:sz w:val="24"/>
          <w:szCs w:val="24"/>
        </w:rPr>
        <w:t>16,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6</w:t>
      </w:r>
      <w:r w:rsidR="00D04CD0" w:rsidRPr="008518F5">
        <w:rPr>
          <w:rFonts w:ascii="Arial" w:hAnsi="Arial" w:cs="Arial"/>
          <w:color w:val="000000" w:themeColor="text1"/>
          <w:sz w:val="24"/>
          <w:szCs w:val="24"/>
        </w:rPr>
        <w:t>% con respecto a lo recaudado en el mismo mes del año 2022.</w:t>
      </w:r>
    </w:p>
    <w:p w14:paraId="6DB8981A" w14:textId="77777777" w:rsidR="008518F5" w:rsidRDefault="008518F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E02AEB" w14:textId="016E7E66" w:rsidR="00327F78" w:rsidRPr="008518F5" w:rsidRDefault="009162C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El IGV Interno disminuyó en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7,5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% y recaudó S/ 3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756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millones. 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 xml:space="preserve">Este resultado reflejó principalmente la menor </w:t>
      </w:r>
      <w:r w:rsidR="008518F5">
        <w:rPr>
          <w:rFonts w:ascii="Arial" w:hAnsi="Arial" w:cs="Arial"/>
          <w:color w:val="000000" w:themeColor="text1"/>
          <w:sz w:val="24"/>
          <w:szCs w:val="24"/>
        </w:rPr>
        <w:t>d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 xml:space="preserve">emanda </w:t>
      </w:r>
      <w:r w:rsidR="008518F5">
        <w:rPr>
          <w:rFonts w:ascii="Arial" w:hAnsi="Arial" w:cs="Arial"/>
          <w:color w:val="000000" w:themeColor="text1"/>
          <w:sz w:val="24"/>
          <w:szCs w:val="24"/>
        </w:rPr>
        <w:t>i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>nterna</w:t>
      </w:r>
      <w:r w:rsidR="009B1CF5" w:rsidRPr="008518F5">
        <w:rPr>
          <w:rFonts w:ascii="Arial" w:hAnsi="Arial" w:cs="Arial"/>
          <w:color w:val="000000" w:themeColor="text1"/>
          <w:sz w:val="24"/>
          <w:szCs w:val="24"/>
        </w:rPr>
        <w:t>, los menores precios de</w:t>
      </w:r>
      <w:r w:rsidR="008518F5">
        <w:rPr>
          <w:rFonts w:ascii="Arial" w:hAnsi="Arial" w:cs="Arial"/>
          <w:color w:val="000000" w:themeColor="text1"/>
          <w:sz w:val="24"/>
          <w:szCs w:val="24"/>
        </w:rPr>
        <w:t>l</w:t>
      </w:r>
      <w:r w:rsidR="009B1CF5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18F5">
        <w:rPr>
          <w:rFonts w:ascii="Arial" w:hAnsi="Arial" w:cs="Arial"/>
          <w:color w:val="000000" w:themeColor="text1"/>
          <w:sz w:val="24"/>
          <w:szCs w:val="24"/>
        </w:rPr>
        <w:t>g</w:t>
      </w:r>
      <w:r w:rsidR="009B1CF5" w:rsidRPr="008518F5">
        <w:rPr>
          <w:rFonts w:ascii="Arial" w:hAnsi="Arial" w:cs="Arial"/>
          <w:color w:val="000000" w:themeColor="text1"/>
          <w:sz w:val="24"/>
          <w:szCs w:val="24"/>
        </w:rPr>
        <w:t xml:space="preserve">as, las postergaciones de obligaciones, </w:t>
      </w:r>
      <w:r w:rsidR="00DC30FF" w:rsidRPr="008518F5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 xml:space="preserve">la tasa reducida otorgada a los Restaurantes y Hoteles </w:t>
      </w:r>
      <w:r w:rsidR="009B1CF5" w:rsidRPr="008518F5">
        <w:rPr>
          <w:rFonts w:ascii="Arial" w:hAnsi="Arial" w:cs="Arial"/>
          <w:color w:val="000000" w:themeColor="text1"/>
          <w:sz w:val="24"/>
          <w:szCs w:val="24"/>
        </w:rPr>
        <w:t>en aplicación de la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 xml:space="preserve"> Ley </w:t>
      </w:r>
      <w:r w:rsidR="00327F78" w:rsidRPr="008518F5">
        <w:rPr>
          <w:rFonts w:ascii="Arial" w:eastAsia="Arial" w:hAnsi="Arial" w:cs="Arial"/>
          <w:color w:val="000000" w:themeColor="text1"/>
          <w:sz w:val="24"/>
          <w:szCs w:val="24"/>
        </w:rPr>
        <w:t>N° 31556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F5F07F" w14:textId="77777777" w:rsidR="008518F5" w:rsidRDefault="008518F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A1391F" w14:textId="6E1989D3" w:rsidR="009162C5" w:rsidRDefault="009162C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color w:val="000000" w:themeColor="text1"/>
          <w:sz w:val="24"/>
          <w:szCs w:val="24"/>
        </w:rPr>
        <w:t>Por su parte el IGV</w:t>
      </w:r>
      <w:r w:rsidR="00ED28EA" w:rsidRPr="008518F5">
        <w:rPr>
          <w:rFonts w:ascii="Arial" w:hAnsi="Arial" w:cs="Arial"/>
          <w:color w:val="000000" w:themeColor="text1"/>
          <w:sz w:val="24"/>
          <w:szCs w:val="24"/>
        </w:rPr>
        <w:t xml:space="preserve"> Externo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40B4" w:rsidRPr="008518F5">
        <w:rPr>
          <w:rFonts w:ascii="Arial" w:hAnsi="Arial" w:cs="Arial"/>
          <w:color w:val="000000" w:themeColor="text1"/>
          <w:sz w:val="24"/>
          <w:szCs w:val="24"/>
        </w:rPr>
        <w:t>alcanzó los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S/</w:t>
      </w:r>
      <w:r w:rsidR="00D04CD0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1E43" w:rsidRPr="008518F5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520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millones,</w:t>
      </w:r>
      <w:r w:rsidR="00ED28EA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40B4" w:rsidRPr="008518F5">
        <w:rPr>
          <w:rFonts w:ascii="Arial" w:hAnsi="Arial" w:cs="Arial"/>
          <w:color w:val="000000" w:themeColor="text1"/>
          <w:sz w:val="24"/>
          <w:szCs w:val="24"/>
        </w:rPr>
        <w:t>importe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que represent</w:t>
      </w:r>
      <w:r w:rsidR="005E0F61" w:rsidRPr="008518F5">
        <w:rPr>
          <w:rFonts w:ascii="Arial" w:hAnsi="Arial" w:cs="Arial"/>
          <w:color w:val="000000" w:themeColor="text1"/>
          <w:sz w:val="24"/>
          <w:szCs w:val="24"/>
        </w:rPr>
        <w:t>ó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una disminución de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27,4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% respecto </w:t>
      </w:r>
      <w:r w:rsidR="007156B9" w:rsidRPr="008518F5">
        <w:rPr>
          <w:rFonts w:ascii="Arial" w:hAnsi="Arial" w:cs="Arial"/>
          <w:color w:val="000000" w:themeColor="text1"/>
          <w:sz w:val="24"/>
          <w:szCs w:val="24"/>
        </w:rPr>
        <w:t>de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3B6" w:rsidRPr="008518F5">
        <w:rPr>
          <w:rFonts w:ascii="Arial" w:hAnsi="Arial" w:cs="Arial"/>
          <w:color w:val="000000" w:themeColor="text1"/>
          <w:sz w:val="24"/>
          <w:szCs w:val="24"/>
        </w:rPr>
        <w:t xml:space="preserve">lo recaudado en </w:t>
      </w:r>
      <w:r w:rsidR="00214D0B" w:rsidRPr="008518F5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7156B9" w:rsidRPr="008518F5">
        <w:rPr>
          <w:rFonts w:ascii="Arial" w:hAnsi="Arial" w:cs="Arial"/>
          <w:color w:val="000000" w:themeColor="text1"/>
          <w:sz w:val="24"/>
          <w:szCs w:val="24"/>
        </w:rPr>
        <w:t>l año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2022</w:t>
      </w:r>
      <w:r w:rsidR="00327F78" w:rsidRPr="008518F5">
        <w:rPr>
          <w:rFonts w:ascii="Arial" w:hAnsi="Arial" w:cs="Arial"/>
          <w:color w:val="000000" w:themeColor="text1"/>
          <w:sz w:val="24"/>
          <w:szCs w:val="24"/>
        </w:rPr>
        <w:t>, en un contexto de contracción de las importaciones</w:t>
      </w:r>
      <w:r w:rsidR="006D40B4" w:rsidRPr="008518F5">
        <w:rPr>
          <w:rFonts w:ascii="Arial" w:hAnsi="Arial" w:cs="Arial"/>
          <w:color w:val="000000" w:themeColor="text1"/>
          <w:sz w:val="24"/>
          <w:szCs w:val="24"/>
        </w:rPr>
        <w:t>.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C95099" w14:textId="77777777" w:rsidR="008518F5" w:rsidRPr="008518F5" w:rsidRDefault="008518F5" w:rsidP="008518F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D225AD" w14:textId="3FEC5C11" w:rsidR="009162C5" w:rsidRPr="008518F5" w:rsidRDefault="009162C5" w:rsidP="008518F5">
      <w:pPr>
        <w:pStyle w:val="Prrafodelista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>Impuesto Selectivo al Consumo</w:t>
      </w:r>
      <w:r w:rsidR="00ED28EA"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 (ISC)</w:t>
      </w: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La recaudación </w:t>
      </w:r>
      <w:r w:rsidR="000F6C3A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de este impuesto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>ascendió a S/ 7</w:t>
      </w:r>
      <w:r w:rsidR="00621E43" w:rsidRPr="008518F5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E56EAC" w:rsidRPr="008518F5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millones y </w:t>
      </w:r>
      <w:r w:rsidR="00621E43" w:rsidRPr="008518F5">
        <w:rPr>
          <w:rFonts w:ascii="Arial" w:hAnsi="Arial" w:cs="Arial"/>
          <w:bCs/>
          <w:color w:val="000000" w:themeColor="text1"/>
          <w:sz w:val="24"/>
          <w:szCs w:val="24"/>
        </w:rPr>
        <w:t>se contrajo en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21E43" w:rsidRPr="008518F5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4C536B" w:rsidRPr="008518F5">
        <w:rPr>
          <w:rFonts w:ascii="Arial" w:hAnsi="Arial" w:cs="Arial"/>
          <w:bCs/>
          <w:color w:val="000000" w:themeColor="text1"/>
          <w:sz w:val="24"/>
          <w:szCs w:val="24"/>
        </w:rPr>
        <w:t>2,0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%. </w:t>
      </w:r>
      <w:r w:rsidR="00553550" w:rsidRPr="008518F5">
        <w:rPr>
          <w:rFonts w:ascii="Arial" w:hAnsi="Arial" w:cs="Arial"/>
          <w:bCs/>
          <w:color w:val="000000" w:themeColor="text1"/>
          <w:sz w:val="24"/>
          <w:szCs w:val="24"/>
        </w:rPr>
        <w:t>El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ISC Interno </w:t>
      </w:r>
      <w:r w:rsidR="004A32EF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se </w:t>
      </w:r>
      <w:r w:rsidR="000F6C3A" w:rsidRPr="008518F5">
        <w:rPr>
          <w:rFonts w:ascii="Arial" w:hAnsi="Arial" w:cs="Arial"/>
          <w:bCs/>
          <w:color w:val="000000" w:themeColor="text1"/>
          <w:sz w:val="24"/>
          <w:szCs w:val="24"/>
        </w:rPr>
        <w:t>redujo en</w:t>
      </w:r>
      <w:r w:rsidR="004A32EF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F2E06" w:rsidRPr="008518F5">
        <w:rPr>
          <w:rFonts w:ascii="Arial" w:hAnsi="Arial" w:cs="Arial"/>
          <w:bCs/>
          <w:color w:val="000000" w:themeColor="text1"/>
          <w:sz w:val="24"/>
          <w:szCs w:val="24"/>
        </w:rPr>
        <w:t>4,7</w:t>
      </w:r>
      <w:r w:rsidR="00B24801" w:rsidRPr="008518F5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0F6C3A" w:rsidRPr="008518F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B24801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630E9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afectado por </w:t>
      </w:r>
      <w:r w:rsidR="00221957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el desempeño de la </w:t>
      </w:r>
      <w:r w:rsidR="008518F5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221957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emanda </w:t>
      </w:r>
      <w:r w:rsidR="008518F5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221957" w:rsidRPr="008518F5">
        <w:rPr>
          <w:rFonts w:ascii="Arial" w:hAnsi="Arial" w:cs="Arial"/>
          <w:bCs/>
          <w:color w:val="000000" w:themeColor="text1"/>
          <w:sz w:val="24"/>
          <w:szCs w:val="24"/>
        </w:rPr>
        <w:t>nterna</w:t>
      </w:r>
      <w:r w:rsidR="006D40B4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. Por su parte, el </w:t>
      </w:r>
      <w:r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ISC </w:t>
      </w:r>
      <w:r w:rsidR="004A32EF" w:rsidRPr="008518F5">
        <w:rPr>
          <w:rFonts w:ascii="Arial" w:hAnsi="Arial" w:cs="Arial"/>
          <w:bCs/>
          <w:color w:val="000000" w:themeColor="text1"/>
          <w:sz w:val="24"/>
          <w:szCs w:val="24"/>
        </w:rPr>
        <w:t>que grava a las importaciones</w:t>
      </w:r>
      <w:r w:rsidR="00D04CD0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se</w:t>
      </w:r>
      <w:r w:rsidR="00553550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contrajo</w:t>
      </w:r>
      <w:r w:rsidR="004A32EF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en </w:t>
      </w:r>
      <w:r w:rsidR="00553550" w:rsidRPr="008518F5">
        <w:rPr>
          <w:rFonts w:ascii="Arial" w:hAnsi="Arial" w:cs="Arial"/>
          <w:bCs/>
          <w:color w:val="000000" w:themeColor="text1"/>
          <w:sz w:val="24"/>
          <w:szCs w:val="24"/>
        </w:rPr>
        <w:t>45,</w:t>
      </w:r>
      <w:r w:rsidR="009F2E06" w:rsidRPr="008518F5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D04CD0" w:rsidRPr="008518F5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6D40B4" w:rsidRPr="008518F5">
        <w:rPr>
          <w:rFonts w:ascii="Arial" w:hAnsi="Arial" w:cs="Arial"/>
          <w:bCs/>
          <w:color w:val="000000" w:themeColor="text1"/>
          <w:sz w:val="24"/>
          <w:szCs w:val="24"/>
        </w:rPr>
        <w:t>, reflejando la</w:t>
      </w:r>
      <w:r w:rsidR="00553550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disminución de las</w:t>
      </w:r>
      <w:r w:rsidR="00D04CD0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F5B5D" w:rsidRPr="008518F5">
        <w:rPr>
          <w:rFonts w:ascii="Arial" w:hAnsi="Arial" w:cs="Arial"/>
          <w:bCs/>
          <w:color w:val="000000" w:themeColor="text1"/>
          <w:sz w:val="24"/>
          <w:szCs w:val="24"/>
        </w:rPr>
        <w:t>importaciones</w:t>
      </w:r>
      <w:r w:rsidR="006D40B4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corrientes y l</w:t>
      </w:r>
      <w:r w:rsidR="005E12F7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os menores pagos </w:t>
      </w:r>
      <w:r w:rsidR="006D40B4" w:rsidRPr="008518F5">
        <w:rPr>
          <w:rFonts w:ascii="Arial" w:hAnsi="Arial" w:cs="Arial"/>
          <w:bCs/>
          <w:color w:val="000000" w:themeColor="text1"/>
          <w:sz w:val="24"/>
          <w:szCs w:val="24"/>
        </w:rPr>
        <w:t>correspondientes a las</w:t>
      </w:r>
      <w:r w:rsidR="005E12F7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importaciones </w:t>
      </w:r>
      <w:r w:rsidR="002F5B5D" w:rsidRPr="008518F5">
        <w:rPr>
          <w:rFonts w:ascii="Arial" w:hAnsi="Arial" w:cs="Arial"/>
          <w:bCs/>
          <w:color w:val="000000" w:themeColor="text1"/>
          <w:sz w:val="24"/>
          <w:szCs w:val="24"/>
        </w:rPr>
        <w:t>garantizadas de combustibles</w:t>
      </w:r>
      <w:r w:rsidR="006D40B4" w:rsidRPr="008518F5">
        <w:rPr>
          <w:rFonts w:ascii="Arial" w:hAnsi="Arial" w:cs="Arial"/>
          <w:bCs/>
          <w:color w:val="000000" w:themeColor="text1"/>
          <w:sz w:val="24"/>
          <w:szCs w:val="24"/>
        </w:rPr>
        <w:t xml:space="preserve"> gravados</w:t>
      </w:r>
      <w:r w:rsidR="00B27433" w:rsidRPr="008518F5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1284CAE" w14:textId="2F687F62" w:rsidR="009162C5" w:rsidRDefault="009162C5" w:rsidP="008518F5">
      <w:pPr>
        <w:pStyle w:val="Prrafodelista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18F5">
        <w:rPr>
          <w:rFonts w:ascii="Arial" w:hAnsi="Arial" w:cs="Arial"/>
          <w:b/>
          <w:color w:val="000000" w:themeColor="text1"/>
          <w:sz w:val="24"/>
          <w:szCs w:val="24"/>
        </w:rPr>
        <w:t xml:space="preserve">Otros ingresos: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La recaudación asociada a este rubro ascendió a S/ </w:t>
      </w:r>
      <w:r w:rsidR="001F19EF" w:rsidRPr="008518F5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 xml:space="preserve">757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millones, monto que equivale </w:t>
      </w:r>
      <w:r w:rsidR="005E12F7" w:rsidRPr="008518F5">
        <w:rPr>
          <w:rFonts w:ascii="Arial" w:hAnsi="Arial" w:cs="Arial"/>
          <w:color w:val="000000" w:themeColor="text1"/>
          <w:sz w:val="24"/>
          <w:szCs w:val="24"/>
        </w:rPr>
        <w:t>a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1957" w:rsidRPr="008518F5">
        <w:rPr>
          <w:rFonts w:ascii="Arial" w:hAnsi="Arial" w:cs="Arial"/>
          <w:color w:val="000000" w:themeColor="text1"/>
          <w:sz w:val="24"/>
          <w:szCs w:val="24"/>
        </w:rPr>
        <w:t xml:space="preserve">una disminución de 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9,3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% con respecto de </w:t>
      </w:r>
      <w:r w:rsidR="00214D0B" w:rsidRPr="008518F5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="0055708F" w:rsidRPr="008518F5">
        <w:rPr>
          <w:rFonts w:ascii="Arial" w:hAnsi="Arial" w:cs="Arial"/>
          <w:color w:val="000000" w:themeColor="text1"/>
          <w:sz w:val="24"/>
          <w:szCs w:val="24"/>
        </w:rPr>
        <w:t xml:space="preserve">año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>2022. Dicho resultado se explic</w:t>
      </w:r>
      <w:r w:rsidR="005141F0" w:rsidRPr="008518F5">
        <w:rPr>
          <w:rFonts w:ascii="Arial" w:hAnsi="Arial" w:cs="Arial"/>
          <w:color w:val="000000" w:themeColor="text1"/>
          <w:sz w:val="24"/>
          <w:szCs w:val="24"/>
        </w:rPr>
        <w:t>ó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por los menores pagos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>, tanto del Impuesto Temporal a los Activos Netos -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9EF" w:rsidRPr="008518F5">
        <w:rPr>
          <w:rFonts w:ascii="Arial" w:hAnsi="Arial" w:cs="Arial"/>
          <w:color w:val="000000" w:themeColor="text1"/>
          <w:sz w:val="24"/>
          <w:szCs w:val="24"/>
        </w:rPr>
        <w:t>ITAN</w:t>
      </w:r>
      <w:r w:rsidR="0055708F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12F7" w:rsidRPr="008518F5">
        <w:rPr>
          <w:rFonts w:ascii="Arial" w:hAnsi="Arial" w:cs="Arial"/>
          <w:color w:val="000000" w:themeColor="text1"/>
          <w:sz w:val="24"/>
          <w:szCs w:val="24"/>
        </w:rPr>
        <w:t>(</w:t>
      </w:r>
      <w:r w:rsidR="00DC30FF" w:rsidRPr="008518F5">
        <w:rPr>
          <w:rFonts w:ascii="Arial" w:hAnsi="Arial" w:cs="Arial"/>
          <w:color w:val="000000" w:themeColor="text1"/>
          <w:sz w:val="24"/>
          <w:szCs w:val="24"/>
        </w:rPr>
        <w:t>-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5,1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>%</w:t>
      </w:r>
      <w:r w:rsidR="005E12F7" w:rsidRPr="008518F5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>como en los i</w:t>
      </w:r>
      <w:r w:rsidR="001630E9" w:rsidRPr="008518F5">
        <w:rPr>
          <w:rFonts w:ascii="Arial" w:hAnsi="Arial" w:cs="Arial"/>
          <w:color w:val="000000" w:themeColor="text1"/>
          <w:sz w:val="24"/>
          <w:szCs w:val="24"/>
        </w:rPr>
        <w:t xml:space="preserve">ngresos como 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>r</w:t>
      </w:r>
      <w:r w:rsidR="001630E9" w:rsidRPr="008518F5">
        <w:rPr>
          <w:rFonts w:ascii="Arial" w:hAnsi="Arial" w:cs="Arial"/>
          <w:color w:val="000000" w:themeColor="text1"/>
          <w:sz w:val="24"/>
          <w:szCs w:val="24"/>
        </w:rPr>
        <w:t>ecaudación</w:t>
      </w:r>
      <w:r w:rsidR="006E71B1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>realizados a partir de las cuentas correspondientes a las de</w:t>
      </w:r>
      <w:r w:rsidR="006E71B1" w:rsidRPr="008518F5">
        <w:rPr>
          <w:rFonts w:ascii="Arial" w:hAnsi="Arial" w:cs="Arial"/>
          <w:color w:val="000000" w:themeColor="text1"/>
          <w:sz w:val="24"/>
          <w:szCs w:val="24"/>
        </w:rPr>
        <w:t xml:space="preserve">tracciones 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(-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29,2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%),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 xml:space="preserve"> en</w:t>
      </w:r>
      <w:r w:rsidR="001F19EF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71B1" w:rsidRPr="008518F5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="001F19EF" w:rsidRPr="008518F5">
        <w:rPr>
          <w:rFonts w:ascii="Arial" w:hAnsi="Arial" w:cs="Arial"/>
          <w:color w:val="000000" w:themeColor="text1"/>
          <w:sz w:val="24"/>
          <w:szCs w:val="24"/>
        </w:rPr>
        <w:t xml:space="preserve">Multas 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(-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25,8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%),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 xml:space="preserve"> en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30E9" w:rsidRPr="008518F5">
        <w:rPr>
          <w:rFonts w:ascii="Arial" w:hAnsi="Arial" w:cs="Arial"/>
          <w:color w:val="000000" w:themeColor="text1"/>
          <w:sz w:val="24"/>
          <w:szCs w:val="24"/>
        </w:rPr>
        <w:t>los pagos por f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raccionamientos (-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9,9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%)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 xml:space="preserve"> y en el rubro Otros (-</w:t>
      </w:r>
      <w:r w:rsidR="00E56EAC" w:rsidRPr="008518F5">
        <w:rPr>
          <w:rFonts w:ascii="Arial" w:hAnsi="Arial" w:cs="Arial"/>
          <w:color w:val="000000" w:themeColor="text1"/>
          <w:sz w:val="24"/>
          <w:szCs w:val="24"/>
        </w:rPr>
        <w:t>39,6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 xml:space="preserve">%). </w:t>
      </w:r>
      <w:r w:rsidR="00221957" w:rsidRPr="008518F5">
        <w:rPr>
          <w:rFonts w:ascii="Arial" w:hAnsi="Arial" w:cs="Arial"/>
          <w:color w:val="000000" w:themeColor="text1"/>
          <w:sz w:val="24"/>
          <w:szCs w:val="24"/>
        </w:rPr>
        <w:t xml:space="preserve">Por su parte, </w:t>
      </w:r>
      <w:r w:rsidR="001630E9" w:rsidRPr="008518F5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>registraron</w:t>
      </w:r>
      <w:r w:rsidR="00221957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>incrementos</w:t>
      </w:r>
      <w:r w:rsidR="00221957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30E9" w:rsidRPr="008518F5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>l</w:t>
      </w:r>
      <w:r w:rsidR="00221957" w:rsidRPr="008518F5">
        <w:rPr>
          <w:rFonts w:ascii="Arial" w:hAnsi="Arial" w:cs="Arial"/>
          <w:color w:val="000000" w:themeColor="text1"/>
          <w:sz w:val="24"/>
          <w:szCs w:val="24"/>
        </w:rPr>
        <w:t xml:space="preserve">a recaudación 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 xml:space="preserve">correspondientes al </w:t>
      </w:r>
      <w:r w:rsidR="001630E9" w:rsidRPr="008518F5">
        <w:rPr>
          <w:rFonts w:ascii="Arial" w:hAnsi="Arial" w:cs="Arial"/>
          <w:color w:val="000000" w:themeColor="text1"/>
          <w:sz w:val="24"/>
          <w:szCs w:val="24"/>
        </w:rPr>
        <w:t xml:space="preserve">Impuesto a los 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>Casinos y Máquinas Tragamonedas (</w:t>
      </w:r>
      <w:r w:rsidR="003D1448" w:rsidRPr="008518F5">
        <w:rPr>
          <w:rFonts w:ascii="Arial" w:hAnsi="Arial" w:cs="Arial"/>
          <w:color w:val="000000" w:themeColor="text1"/>
          <w:sz w:val="24"/>
          <w:szCs w:val="24"/>
        </w:rPr>
        <w:t>0,4</w:t>
      </w:r>
      <w:r w:rsidRPr="008518F5">
        <w:rPr>
          <w:rFonts w:ascii="Arial" w:hAnsi="Arial" w:cs="Arial"/>
          <w:color w:val="000000" w:themeColor="text1"/>
          <w:sz w:val="24"/>
          <w:szCs w:val="24"/>
        </w:rPr>
        <w:t>%)</w:t>
      </w:r>
      <w:r w:rsidR="009F2E06" w:rsidRPr="008518F5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0F6C3A" w:rsidRPr="008518F5">
        <w:rPr>
          <w:rFonts w:ascii="Arial" w:hAnsi="Arial" w:cs="Arial"/>
          <w:color w:val="000000" w:themeColor="text1"/>
          <w:sz w:val="24"/>
          <w:szCs w:val="24"/>
        </w:rPr>
        <w:t xml:space="preserve"> al</w:t>
      </w:r>
      <w:r w:rsidR="005E12F7" w:rsidRPr="008518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71B1" w:rsidRPr="008518F5">
        <w:rPr>
          <w:rFonts w:ascii="Arial" w:hAnsi="Arial" w:cs="Arial"/>
          <w:color w:val="000000" w:themeColor="text1"/>
          <w:sz w:val="24"/>
          <w:szCs w:val="24"/>
        </w:rPr>
        <w:t>I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mpuesto a las Transacciones Financieras (</w:t>
      </w:r>
      <w:r w:rsidR="003D1448" w:rsidRPr="008518F5">
        <w:rPr>
          <w:rFonts w:ascii="Arial" w:hAnsi="Arial" w:cs="Arial"/>
          <w:color w:val="000000" w:themeColor="text1"/>
          <w:sz w:val="24"/>
          <w:szCs w:val="24"/>
        </w:rPr>
        <w:t>2,0</w:t>
      </w:r>
      <w:r w:rsidR="002F5B5D" w:rsidRPr="008518F5">
        <w:rPr>
          <w:rFonts w:ascii="Arial" w:hAnsi="Arial" w:cs="Arial"/>
          <w:color w:val="000000" w:themeColor="text1"/>
          <w:sz w:val="24"/>
          <w:szCs w:val="24"/>
        </w:rPr>
        <w:t>%)</w:t>
      </w:r>
      <w:r w:rsidR="003D1448" w:rsidRPr="008518F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EBA64C" w14:textId="77777777" w:rsidR="00F81C70" w:rsidRPr="00F81C70" w:rsidRDefault="00F81C70" w:rsidP="00F81C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C3DF92" w14:textId="467B1102" w:rsidR="009162C5" w:rsidRPr="00F81C70" w:rsidRDefault="009162C5" w:rsidP="00F81C70">
      <w:pPr>
        <w:pStyle w:val="Prrafodelista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1C70">
        <w:rPr>
          <w:rFonts w:ascii="Arial" w:hAnsi="Arial" w:cs="Arial"/>
          <w:b/>
          <w:color w:val="000000" w:themeColor="text1"/>
          <w:sz w:val="24"/>
          <w:szCs w:val="24"/>
        </w:rPr>
        <w:t>Devoluciones:</w:t>
      </w:r>
      <w:r w:rsidRPr="00F81C70">
        <w:rPr>
          <w:rFonts w:ascii="Arial" w:hAnsi="Arial" w:cs="Arial"/>
          <w:color w:val="000000" w:themeColor="text1"/>
          <w:sz w:val="24"/>
          <w:szCs w:val="24"/>
        </w:rPr>
        <w:t xml:space="preserve"> Las devoluciones de impuestos realizadas durante el mes de </w:t>
      </w:r>
      <w:r w:rsidR="00214D0B" w:rsidRPr="00F81C7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F81C70">
        <w:rPr>
          <w:rFonts w:ascii="Arial" w:hAnsi="Arial" w:cs="Arial"/>
          <w:color w:val="000000" w:themeColor="text1"/>
          <w:sz w:val="24"/>
          <w:szCs w:val="24"/>
        </w:rPr>
        <w:t xml:space="preserve"> ascendieron a S/ </w:t>
      </w:r>
      <w:r w:rsidR="00D60B25" w:rsidRPr="00F81C70">
        <w:rPr>
          <w:rFonts w:ascii="Arial" w:hAnsi="Arial" w:cs="Arial"/>
          <w:color w:val="000000" w:themeColor="text1"/>
          <w:sz w:val="24"/>
          <w:szCs w:val="24"/>
        </w:rPr>
        <w:t>2</w:t>
      </w:r>
      <w:r w:rsidR="00543C3C" w:rsidRPr="00F81C70">
        <w:rPr>
          <w:rFonts w:ascii="Arial" w:hAnsi="Arial" w:cs="Arial"/>
          <w:color w:val="000000" w:themeColor="text1"/>
          <w:sz w:val="24"/>
          <w:szCs w:val="24"/>
        </w:rPr>
        <w:t xml:space="preserve"> 021</w:t>
      </w:r>
      <w:r w:rsidR="00C958DD" w:rsidRPr="00F81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81C70">
        <w:rPr>
          <w:rFonts w:ascii="Arial" w:hAnsi="Arial" w:cs="Arial"/>
          <w:color w:val="000000" w:themeColor="text1"/>
          <w:sz w:val="24"/>
          <w:szCs w:val="24"/>
        </w:rPr>
        <w:t xml:space="preserve">millones, monto que representó una contracción de </w:t>
      </w:r>
      <w:r w:rsidR="00543C3C" w:rsidRPr="00F81C70">
        <w:rPr>
          <w:rFonts w:ascii="Arial" w:hAnsi="Arial" w:cs="Arial"/>
          <w:color w:val="000000" w:themeColor="text1"/>
          <w:sz w:val="24"/>
          <w:szCs w:val="24"/>
        </w:rPr>
        <w:t>23,3</w:t>
      </w:r>
      <w:r w:rsidRPr="00F81C70">
        <w:rPr>
          <w:rFonts w:ascii="Arial" w:hAnsi="Arial" w:cs="Arial"/>
          <w:color w:val="000000" w:themeColor="text1"/>
          <w:sz w:val="24"/>
          <w:szCs w:val="24"/>
        </w:rPr>
        <w:t xml:space="preserve">% con respecto </w:t>
      </w:r>
      <w:r w:rsidR="000F6C3A" w:rsidRPr="00F81C70">
        <w:rPr>
          <w:rFonts w:ascii="Arial" w:hAnsi="Arial" w:cs="Arial"/>
          <w:color w:val="000000" w:themeColor="text1"/>
          <w:sz w:val="24"/>
          <w:szCs w:val="24"/>
        </w:rPr>
        <w:t>a</w:t>
      </w:r>
      <w:r w:rsidRPr="00F81C70">
        <w:rPr>
          <w:rFonts w:ascii="Arial" w:hAnsi="Arial" w:cs="Arial"/>
          <w:color w:val="000000" w:themeColor="text1"/>
          <w:sz w:val="24"/>
          <w:szCs w:val="24"/>
        </w:rPr>
        <w:t xml:space="preserve"> similar mes del </w:t>
      </w:r>
      <w:r w:rsidR="007D5629" w:rsidRPr="00F81C70">
        <w:rPr>
          <w:rFonts w:ascii="Arial" w:hAnsi="Arial" w:cs="Arial"/>
          <w:color w:val="000000" w:themeColor="text1"/>
          <w:sz w:val="24"/>
          <w:szCs w:val="24"/>
        </w:rPr>
        <w:t xml:space="preserve">año </w:t>
      </w:r>
      <w:r w:rsidRPr="00F81C70">
        <w:rPr>
          <w:rFonts w:ascii="Arial" w:hAnsi="Arial" w:cs="Arial"/>
          <w:color w:val="000000" w:themeColor="text1"/>
          <w:sz w:val="24"/>
          <w:szCs w:val="24"/>
        </w:rPr>
        <w:t>2022.</w:t>
      </w:r>
      <w:r w:rsidR="006E71B1" w:rsidRPr="00F81C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1F15DE" w14:textId="6BD7779B" w:rsidR="00FB2A16" w:rsidRPr="00F81C70" w:rsidRDefault="00FB2A16" w:rsidP="00F81C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4545E4" w14:textId="77777777" w:rsidR="005D28BD" w:rsidRDefault="005D28BD">
      <w:pPr>
        <w:spacing w:after="0" w:line="240" w:lineRule="auto"/>
        <w:jc w:val="center"/>
        <w:rPr>
          <w:rFonts w:ascii="Arial Nova" w:hAnsi="Arial Nova" w:cs="Arial"/>
          <w:b/>
          <w:color w:val="0070C0"/>
          <w:sz w:val="24"/>
          <w:szCs w:val="24"/>
        </w:rPr>
      </w:pPr>
      <w:r>
        <w:rPr>
          <w:rFonts w:ascii="Arial Nova" w:hAnsi="Arial Nova" w:cs="Arial"/>
          <w:b/>
          <w:color w:val="0070C0"/>
          <w:sz w:val="24"/>
          <w:szCs w:val="24"/>
        </w:rPr>
        <w:br w:type="page"/>
      </w:r>
    </w:p>
    <w:p w14:paraId="35187264" w14:textId="21B8BD5C" w:rsidR="009162C5" w:rsidRPr="00ED248B" w:rsidRDefault="009162C5" w:rsidP="00ED248B">
      <w:pPr>
        <w:spacing w:before="240" w:line="240" w:lineRule="auto"/>
        <w:jc w:val="center"/>
        <w:rPr>
          <w:rFonts w:ascii="Arial Nova" w:hAnsi="Arial Nova" w:cs="Arial"/>
          <w:b/>
          <w:color w:val="0070C0"/>
          <w:sz w:val="24"/>
          <w:szCs w:val="24"/>
        </w:rPr>
      </w:pPr>
      <w:r w:rsidRPr="00ED248B">
        <w:rPr>
          <w:rFonts w:ascii="Arial Nova" w:hAnsi="Arial Nova" w:cs="Arial"/>
          <w:b/>
          <w:color w:val="0070C0"/>
          <w:sz w:val="24"/>
          <w:szCs w:val="24"/>
        </w:rPr>
        <w:lastRenderedPageBreak/>
        <w:t>ANEXOS</w:t>
      </w:r>
    </w:p>
    <w:p w14:paraId="6F4C7946" w14:textId="3DA0E375" w:rsidR="009162C5" w:rsidRPr="003D5D5B" w:rsidRDefault="00B60442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  <w:r w:rsidRPr="003D5D5B">
        <w:rPr>
          <w:rFonts w:ascii="Arial Nova" w:hAnsi="Arial Nova" w:cs="Arial"/>
          <w:bCs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FD70EBE" wp14:editId="098A44E2">
            <wp:simplePos x="0" y="0"/>
            <wp:positionH relativeFrom="margin">
              <wp:posOffset>145415</wp:posOffset>
            </wp:positionH>
            <wp:positionV relativeFrom="paragraph">
              <wp:posOffset>97155</wp:posOffset>
            </wp:positionV>
            <wp:extent cx="4864100" cy="2073275"/>
            <wp:effectExtent l="0" t="0" r="0" b="317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56166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0C066059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6BAAE516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16236405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color w:val="D9E2F3" w:themeColor="accent1" w:themeTint="33"/>
          <w:sz w:val="24"/>
          <w:szCs w:val="24"/>
        </w:rPr>
      </w:pPr>
    </w:p>
    <w:p w14:paraId="66C0E45D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3A1E46BD" w14:textId="23C2D123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  <w:r w:rsidRPr="003D5D5B">
        <w:rPr>
          <w:rFonts w:ascii="Arial Nova" w:hAnsi="Arial Nova" w:cs="Arial"/>
          <w:bCs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7230BC18" wp14:editId="01810D03">
            <wp:simplePos x="0" y="0"/>
            <wp:positionH relativeFrom="margin">
              <wp:posOffset>335915</wp:posOffset>
            </wp:positionH>
            <wp:positionV relativeFrom="paragraph">
              <wp:posOffset>274320</wp:posOffset>
            </wp:positionV>
            <wp:extent cx="4762500" cy="1955800"/>
            <wp:effectExtent l="0" t="0" r="0" b="6350"/>
            <wp:wrapNone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C9B19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4B26F123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2FFDAA80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3182C1B9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004EAC27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5A3C1FFB" w14:textId="03DDEC9B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  <w:r w:rsidRPr="003D5D5B">
        <w:rPr>
          <w:rFonts w:ascii="Arial Nova" w:hAnsi="Arial Nova" w:cs="Arial"/>
          <w:noProof/>
          <w:kern w:val="24"/>
          <w:sz w:val="24"/>
          <w:szCs w:val="24"/>
          <w:lang w:val="es-ES"/>
        </w:rPr>
        <w:drawing>
          <wp:anchor distT="0" distB="0" distL="114300" distR="114300" simplePos="0" relativeHeight="251684864" behindDoc="0" locked="0" layoutInCell="1" allowOverlap="1" wp14:anchorId="4A89E981" wp14:editId="756905F5">
            <wp:simplePos x="0" y="0"/>
            <wp:positionH relativeFrom="margin">
              <wp:posOffset>354966</wp:posOffset>
            </wp:positionH>
            <wp:positionV relativeFrom="paragraph">
              <wp:posOffset>260350</wp:posOffset>
            </wp:positionV>
            <wp:extent cx="4660900" cy="1905000"/>
            <wp:effectExtent l="0" t="0" r="6350" b="0"/>
            <wp:wrapNone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3CFAD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5A63047A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23AF93FD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21CD1852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542AB93C" w14:textId="77777777" w:rsidR="009162C5" w:rsidRPr="003D5D5B" w:rsidRDefault="009162C5" w:rsidP="003D5D5B">
      <w:pPr>
        <w:spacing w:before="240" w:line="240" w:lineRule="auto"/>
        <w:jc w:val="both"/>
        <w:rPr>
          <w:rFonts w:ascii="Arial Nova" w:hAnsi="Arial Nova" w:cs="Arial"/>
          <w:noProof/>
          <w:sz w:val="24"/>
          <w:szCs w:val="24"/>
        </w:rPr>
      </w:pPr>
    </w:p>
    <w:p w14:paraId="7710238D" w14:textId="58A9AACD" w:rsidR="001A1928" w:rsidRDefault="00ED248B" w:rsidP="009D51D1">
      <w:pPr>
        <w:spacing w:before="24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  <w:r w:rsidRPr="003D5D5B">
        <w:rPr>
          <w:rFonts w:ascii="Arial Nova" w:hAnsi="Arial Nova" w:cs="Arial"/>
          <w:noProof/>
          <w:kern w:val="24"/>
          <w:sz w:val="24"/>
          <w:szCs w:val="24"/>
          <w:lang w:val="es-ES"/>
        </w:rPr>
        <w:drawing>
          <wp:anchor distT="0" distB="0" distL="114300" distR="114300" simplePos="0" relativeHeight="251685888" behindDoc="0" locked="0" layoutInCell="1" allowOverlap="1" wp14:anchorId="698C627C" wp14:editId="2C1C1C68">
            <wp:simplePos x="0" y="0"/>
            <wp:positionH relativeFrom="margin">
              <wp:posOffset>291466</wp:posOffset>
            </wp:positionH>
            <wp:positionV relativeFrom="paragraph">
              <wp:posOffset>259715</wp:posOffset>
            </wp:positionV>
            <wp:extent cx="4527550" cy="2032000"/>
            <wp:effectExtent l="0" t="0" r="6350" b="6350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4D64C" w14:textId="568DC7AC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1831F5D1" w14:textId="4FB00EB8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303180BC" w14:textId="7624889B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72999A1E" w14:textId="09BA5BD3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4D6168EC" w14:textId="2D02F336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65393169" w14:textId="5E297E55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78E06003" w14:textId="52D04AD3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1BD364AF" w14:textId="097609D9" w:rsidR="001A1928" w:rsidRDefault="001A1928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106477B1" w14:textId="77777777" w:rsidR="008E1B89" w:rsidRDefault="008E1B89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27571DF1" w14:textId="77777777" w:rsidR="009D51D1" w:rsidRDefault="009D51D1" w:rsidP="003D5D5B">
      <w:pPr>
        <w:spacing w:after="0" w:line="240" w:lineRule="auto"/>
        <w:jc w:val="both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33E3BE97" w14:textId="77777777" w:rsidR="00B60442" w:rsidRDefault="00B60442" w:rsidP="00B60442">
      <w:pPr>
        <w:spacing w:after="0" w:line="240" w:lineRule="auto"/>
        <w:jc w:val="center"/>
        <w:rPr>
          <w:rFonts w:ascii="Arial Nova" w:hAnsi="Arial Nova" w:cs="Arial"/>
          <w:b/>
          <w:bCs/>
          <w:noProof/>
          <w:sz w:val="24"/>
          <w:szCs w:val="24"/>
        </w:rPr>
      </w:pPr>
    </w:p>
    <w:p w14:paraId="0A2BF97C" w14:textId="18814FEC" w:rsidR="00873D69" w:rsidRDefault="0097487C" w:rsidP="00B60442">
      <w:pPr>
        <w:spacing w:after="0" w:line="240" w:lineRule="auto"/>
        <w:jc w:val="center"/>
        <w:rPr>
          <w:rFonts w:ascii="Arial Nova" w:hAnsi="Arial Nova" w:cs="Arial"/>
          <w:b/>
          <w:bCs/>
          <w:noProof/>
          <w:sz w:val="24"/>
          <w:szCs w:val="24"/>
        </w:rPr>
      </w:pPr>
      <w:r w:rsidRPr="003D5D5B">
        <w:rPr>
          <w:rFonts w:ascii="Arial Nova" w:hAnsi="Arial Nova" w:cs="Arial"/>
          <w:b/>
          <w:bCs/>
          <w:noProof/>
          <w:sz w:val="24"/>
          <w:szCs w:val="24"/>
        </w:rPr>
        <w:lastRenderedPageBreak/>
        <w:t>Recaudación por tributo</w:t>
      </w:r>
      <w:r w:rsidR="00471EE2">
        <w:rPr>
          <w:rFonts w:ascii="Arial Nova" w:hAnsi="Arial Nova" w:cs="Arial"/>
          <w:b/>
          <w:bCs/>
          <w:noProof/>
          <w:sz w:val="24"/>
          <w:szCs w:val="24"/>
        </w:rPr>
        <w:t xml:space="preserve">: </w:t>
      </w:r>
      <w:r w:rsidR="00B60442">
        <w:rPr>
          <w:rFonts w:ascii="Arial Nova" w:hAnsi="Arial Nova" w:cs="Arial"/>
          <w:b/>
          <w:bCs/>
          <w:noProof/>
          <w:sz w:val="24"/>
          <w:szCs w:val="24"/>
        </w:rPr>
        <w:t>a</w:t>
      </w:r>
      <w:r w:rsidR="00471EE2">
        <w:rPr>
          <w:rFonts w:ascii="Arial Nova" w:hAnsi="Arial Nova" w:cs="Arial"/>
          <w:b/>
          <w:bCs/>
          <w:noProof/>
          <w:sz w:val="24"/>
          <w:szCs w:val="24"/>
        </w:rPr>
        <w:t>bril 2023</w:t>
      </w:r>
    </w:p>
    <w:p w14:paraId="7F9FD4E8" w14:textId="25739518" w:rsidR="009162C5" w:rsidRPr="003D5D5B" w:rsidRDefault="009162C5" w:rsidP="00B60442">
      <w:pPr>
        <w:spacing w:after="0" w:line="240" w:lineRule="auto"/>
        <w:jc w:val="center"/>
        <w:rPr>
          <w:rFonts w:ascii="Arial Nova" w:hAnsi="Arial Nova" w:cs="Arial"/>
          <w:b/>
          <w:bCs/>
          <w:noProof/>
          <w:sz w:val="24"/>
          <w:szCs w:val="24"/>
        </w:rPr>
      </w:pPr>
      <w:r w:rsidRPr="003D5D5B">
        <w:rPr>
          <w:rFonts w:ascii="Arial Nova" w:hAnsi="Arial Nova" w:cs="Arial"/>
          <w:b/>
          <w:bCs/>
          <w:noProof/>
          <w:sz w:val="24"/>
          <w:szCs w:val="24"/>
        </w:rPr>
        <w:t>(</w:t>
      </w:r>
      <w:r w:rsidR="00B60442">
        <w:rPr>
          <w:rFonts w:ascii="Arial Nova" w:hAnsi="Arial Nova" w:cs="Arial"/>
          <w:b/>
          <w:bCs/>
          <w:noProof/>
          <w:sz w:val="24"/>
          <w:szCs w:val="24"/>
        </w:rPr>
        <w:t>e</w:t>
      </w:r>
      <w:r w:rsidRPr="003D5D5B">
        <w:rPr>
          <w:rFonts w:ascii="Arial Nova" w:hAnsi="Arial Nova" w:cs="Arial"/>
          <w:b/>
          <w:bCs/>
          <w:noProof/>
          <w:sz w:val="24"/>
          <w:szCs w:val="24"/>
        </w:rPr>
        <w:t>n millones de soles y variación % real)</w:t>
      </w:r>
    </w:p>
    <w:p w14:paraId="7C5DA0DE" w14:textId="2014F50F" w:rsidR="000A5D19" w:rsidRPr="003D5D5B" w:rsidRDefault="00B41D48" w:rsidP="003D5D5B">
      <w:pPr>
        <w:spacing w:before="240" w:line="240" w:lineRule="auto"/>
        <w:jc w:val="both"/>
        <w:rPr>
          <w:rFonts w:ascii="Arial Nova" w:hAnsi="Arial Nova"/>
          <w:noProof/>
          <w:sz w:val="24"/>
          <w:szCs w:val="24"/>
        </w:rPr>
      </w:pPr>
      <w:r w:rsidRPr="00B41D48">
        <w:rPr>
          <w:noProof/>
        </w:rPr>
        <w:drawing>
          <wp:inline distT="0" distB="0" distL="0" distR="0" wp14:anchorId="1674144E" wp14:editId="3794A44C">
            <wp:extent cx="5875020" cy="472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39" cy="473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0D001" w14:textId="77777777" w:rsidR="00B60442" w:rsidRDefault="00B60442" w:rsidP="003D5D5B">
      <w:pPr>
        <w:spacing w:before="240" w:line="240" w:lineRule="auto"/>
        <w:contextualSpacing/>
        <w:jc w:val="both"/>
        <w:rPr>
          <w:rFonts w:ascii="Arial Nova" w:hAnsi="Arial Nova" w:cs="Arial"/>
          <w:b/>
          <w:sz w:val="24"/>
          <w:szCs w:val="24"/>
        </w:rPr>
      </w:pPr>
    </w:p>
    <w:p w14:paraId="70096C05" w14:textId="5E2B7B94" w:rsidR="009162C5" w:rsidRPr="003D5D5B" w:rsidRDefault="009162C5" w:rsidP="003D5D5B">
      <w:pPr>
        <w:spacing w:before="240" w:line="240" w:lineRule="auto"/>
        <w:contextualSpacing/>
        <w:jc w:val="both"/>
        <w:rPr>
          <w:rFonts w:ascii="Arial Nova" w:hAnsi="Arial Nova" w:cs="Arial"/>
          <w:b/>
          <w:sz w:val="24"/>
          <w:szCs w:val="24"/>
        </w:rPr>
      </w:pPr>
      <w:r w:rsidRPr="003D5D5B">
        <w:rPr>
          <w:rFonts w:ascii="Arial Nova" w:hAnsi="Arial Nova" w:cs="Arial"/>
          <w:b/>
          <w:sz w:val="24"/>
          <w:szCs w:val="24"/>
        </w:rPr>
        <w:t>Gerencia de Comunicaciones e Imagen Institucional</w:t>
      </w:r>
    </w:p>
    <w:p w14:paraId="3481E6D1" w14:textId="0FE6244F" w:rsidR="009162C5" w:rsidRPr="003D5D5B" w:rsidRDefault="009162C5" w:rsidP="003D5D5B">
      <w:pPr>
        <w:spacing w:before="240" w:line="240" w:lineRule="auto"/>
        <w:contextualSpacing/>
        <w:jc w:val="both"/>
        <w:rPr>
          <w:rFonts w:ascii="Arial Nova" w:hAnsi="Arial Nova" w:cs="Arial"/>
          <w:bCs/>
          <w:sz w:val="24"/>
          <w:szCs w:val="24"/>
        </w:rPr>
      </w:pPr>
      <w:r w:rsidRPr="003D5D5B">
        <w:rPr>
          <w:rFonts w:ascii="Arial Nova" w:hAnsi="Arial Nova" w:cs="Arial"/>
          <w:bCs/>
          <w:sz w:val="24"/>
          <w:szCs w:val="24"/>
        </w:rPr>
        <w:t xml:space="preserve">Lima, </w:t>
      </w:r>
      <w:r w:rsidR="00B60442">
        <w:rPr>
          <w:rFonts w:ascii="Arial Nova" w:hAnsi="Arial Nova" w:cs="Arial"/>
          <w:bCs/>
          <w:sz w:val="24"/>
          <w:szCs w:val="24"/>
        </w:rPr>
        <w:t>jueves 4</w:t>
      </w:r>
      <w:r w:rsidR="000855C4">
        <w:rPr>
          <w:rFonts w:ascii="Arial Nova" w:hAnsi="Arial Nova" w:cs="Arial"/>
          <w:bCs/>
          <w:sz w:val="24"/>
          <w:szCs w:val="24"/>
        </w:rPr>
        <w:t xml:space="preserve"> </w:t>
      </w:r>
      <w:r w:rsidR="009962E9">
        <w:rPr>
          <w:rFonts w:ascii="Arial Nova" w:hAnsi="Arial Nova" w:cs="Arial"/>
          <w:bCs/>
          <w:sz w:val="24"/>
          <w:szCs w:val="24"/>
        </w:rPr>
        <w:t xml:space="preserve">de </w:t>
      </w:r>
      <w:r w:rsidR="000855C4">
        <w:rPr>
          <w:rFonts w:ascii="Arial Nova" w:hAnsi="Arial Nova" w:cs="Arial"/>
          <w:bCs/>
          <w:sz w:val="24"/>
          <w:szCs w:val="24"/>
        </w:rPr>
        <w:t>mayo</w:t>
      </w:r>
      <w:r w:rsidRPr="003D5D5B">
        <w:rPr>
          <w:rFonts w:ascii="Arial Nova" w:hAnsi="Arial Nova" w:cs="Arial"/>
          <w:bCs/>
          <w:sz w:val="24"/>
          <w:szCs w:val="24"/>
        </w:rPr>
        <w:t xml:space="preserve"> de</w:t>
      </w:r>
      <w:r w:rsidR="0097487C" w:rsidRPr="003D5D5B">
        <w:rPr>
          <w:rFonts w:ascii="Arial Nova" w:hAnsi="Arial Nova" w:cs="Arial"/>
          <w:bCs/>
          <w:sz w:val="24"/>
          <w:szCs w:val="24"/>
        </w:rPr>
        <w:t>l</w:t>
      </w:r>
      <w:r w:rsidRPr="003D5D5B">
        <w:rPr>
          <w:rFonts w:ascii="Arial Nova" w:hAnsi="Arial Nova" w:cs="Arial"/>
          <w:bCs/>
          <w:sz w:val="24"/>
          <w:szCs w:val="24"/>
        </w:rPr>
        <w:t xml:space="preserve"> 2023</w:t>
      </w:r>
    </w:p>
    <w:p w14:paraId="78FF169C" w14:textId="77777777" w:rsidR="00C329CA" w:rsidRPr="003D5D5B" w:rsidRDefault="00C329CA" w:rsidP="003D5D5B">
      <w:pPr>
        <w:spacing w:before="240" w:line="240" w:lineRule="auto"/>
        <w:jc w:val="both"/>
        <w:rPr>
          <w:rFonts w:ascii="Arial Nova" w:hAnsi="Arial Nova" w:cs="Arial"/>
          <w:bCs/>
          <w:sz w:val="24"/>
          <w:szCs w:val="24"/>
        </w:rPr>
      </w:pPr>
    </w:p>
    <w:sectPr w:rsidR="00C329CA" w:rsidRPr="003D5D5B" w:rsidSect="00560B92">
      <w:headerReference w:type="default" r:id="rId14"/>
      <w:footerReference w:type="default" r:id="rId1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A9B9" w14:textId="77777777" w:rsidR="00961AA0" w:rsidRDefault="00961AA0" w:rsidP="0011247F">
      <w:pPr>
        <w:spacing w:after="0" w:line="240" w:lineRule="auto"/>
      </w:pPr>
      <w:r>
        <w:separator/>
      </w:r>
    </w:p>
  </w:endnote>
  <w:endnote w:type="continuationSeparator" w:id="0">
    <w:p w14:paraId="4F7A19A7" w14:textId="77777777" w:rsidR="00961AA0" w:rsidRDefault="00961AA0" w:rsidP="0011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726B" w14:textId="13455267" w:rsidR="00560B92" w:rsidRPr="00560B92" w:rsidRDefault="00560B92" w:rsidP="00560B92">
    <w:pPr>
      <w:tabs>
        <w:tab w:val="center" w:pos="4252"/>
        <w:tab w:val="right" w:pos="8504"/>
      </w:tabs>
      <w:spacing w:after="0" w:line="240" w:lineRule="auto"/>
      <w:rPr>
        <w:rFonts w:cs="Times New Roman"/>
        <w:lang w:eastAsia="en-US"/>
      </w:rPr>
    </w:pPr>
    <w:r w:rsidRPr="00560B92">
      <w:rPr>
        <w:rFonts w:cs="Times New Roman"/>
        <w:noProof/>
        <w:lang w:eastAsia="en-US"/>
      </w:rPr>
      <w:drawing>
        <wp:inline distT="0" distB="0" distL="0" distR="0" wp14:anchorId="1BCC8E2C" wp14:editId="50882D79">
          <wp:extent cx="285750" cy="2857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0B92">
      <w:rPr>
        <w:rFonts w:cs="Times New Roman"/>
        <w:lang w:eastAsia="en-US"/>
      </w:rPr>
      <w:t>@SUNATOficial</w:t>
    </w:r>
  </w:p>
  <w:p w14:paraId="4FFDEFBF" w14:textId="77777777" w:rsidR="00560B92" w:rsidRDefault="00560B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71E0" w14:textId="77777777" w:rsidR="00961AA0" w:rsidRDefault="00961AA0" w:rsidP="0011247F">
      <w:pPr>
        <w:spacing w:after="0" w:line="240" w:lineRule="auto"/>
      </w:pPr>
      <w:r>
        <w:separator/>
      </w:r>
    </w:p>
  </w:footnote>
  <w:footnote w:type="continuationSeparator" w:id="0">
    <w:p w14:paraId="4949E6C3" w14:textId="77777777" w:rsidR="00961AA0" w:rsidRDefault="00961AA0" w:rsidP="0011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88FF" w14:textId="1E95FECA" w:rsidR="00560B92" w:rsidRDefault="00560B92">
    <w:pPr>
      <w:pStyle w:val="Encabezado"/>
    </w:pPr>
    <w:r w:rsidRPr="000F63EA">
      <w:rPr>
        <w:noProof/>
      </w:rPr>
      <w:drawing>
        <wp:inline distT="0" distB="0" distL="0" distR="0" wp14:anchorId="6B8B9CE5" wp14:editId="7D5770F9">
          <wp:extent cx="2209800" cy="704850"/>
          <wp:effectExtent l="0" t="0" r="0" b="0"/>
          <wp:docPr id="5" name="Imagen 5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11E"/>
    <w:multiLevelType w:val="hybridMultilevel"/>
    <w:tmpl w:val="FDD80B9C"/>
    <w:lvl w:ilvl="0" w:tplc="DE2CDCB0">
      <w:start w:val="350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68040C"/>
    <w:multiLevelType w:val="hybridMultilevel"/>
    <w:tmpl w:val="4BB834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8BF"/>
    <w:multiLevelType w:val="hybridMultilevel"/>
    <w:tmpl w:val="69F65B50"/>
    <w:lvl w:ilvl="0" w:tplc="2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D6F6E61"/>
    <w:multiLevelType w:val="hybridMultilevel"/>
    <w:tmpl w:val="815C43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47DD1"/>
    <w:multiLevelType w:val="hybridMultilevel"/>
    <w:tmpl w:val="26A4D57E"/>
    <w:lvl w:ilvl="0" w:tplc="280A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331A1708"/>
    <w:multiLevelType w:val="hybridMultilevel"/>
    <w:tmpl w:val="6FA46C22"/>
    <w:lvl w:ilvl="0" w:tplc="280A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3B3947D3"/>
    <w:multiLevelType w:val="hybridMultilevel"/>
    <w:tmpl w:val="620CC7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7668D"/>
    <w:multiLevelType w:val="hybridMultilevel"/>
    <w:tmpl w:val="06DEAD4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236AD"/>
    <w:multiLevelType w:val="hybridMultilevel"/>
    <w:tmpl w:val="7FB47E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C55C3"/>
    <w:multiLevelType w:val="hybridMultilevel"/>
    <w:tmpl w:val="B024079A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3AA193C"/>
    <w:multiLevelType w:val="hybridMultilevel"/>
    <w:tmpl w:val="A998E03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7EB5256"/>
    <w:multiLevelType w:val="hybridMultilevel"/>
    <w:tmpl w:val="E7D450D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51A34"/>
    <w:multiLevelType w:val="hybridMultilevel"/>
    <w:tmpl w:val="FE745DA2"/>
    <w:lvl w:ilvl="0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D81F93"/>
    <w:multiLevelType w:val="hybridMultilevel"/>
    <w:tmpl w:val="F53C8998"/>
    <w:lvl w:ilvl="0" w:tplc="2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13172798">
    <w:abstractNumId w:val="9"/>
  </w:num>
  <w:num w:numId="2" w16cid:durableId="519007874">
    <w:abstractNumId w:val="2"/>
  </w:num>
  <w:num w:numId="3" w16cid:durableId="548610769">
    <w:abstractNumId w:val="11"/>
  </w:num>
  <w:num w:numId="4" w16cid:durableId="2123068579">
    <w:abstractNumId w:val="10"/>
  </w:num>
  <w:num w:numId="5" w16cid:durableId="332494138">
    <w:abstractNumId w:val="8"/>
  </w:num>
  <w:num w:numId="6" w16cid:durableId="1771584022">
    <w:abstractNumId w:val="5"/>
  </w:num>
  <w:num w:numId="7" w16cid:durableId="1578827777">
    <w:abstractNumId w:val="1"/>
  </w:num>
  <w:num w:numId="8" w16cid:durableId="1858545799">
    <w:abstractNumId w:val="3"/>
  </w:num>
  <w:num w:numId="9" w16cid:durableId="1518033624">
    <w:abstractNumId w:val="7"/>
  </w:num>
  <w:num w:numId="10" w16cid:durableId="1556551829">
    <w:abstractNumId w:val="4"/>
  </w:num>
  <w:num w:numId="11" w16cid:durableId="1503659537">
    <w:abstractNumId w:val="12"/>
  </w:num>
  <w:num w:numId="12" w16cid:durableId="1651205147">
    <w:abstractNumId w:val="6"/>
  </w:num>
  <w:num w:numId="13" w16cid:durableId="2632171">
    <w:abstractNumId w:val="0"/>
  </w:num>
  <w:num w:numId="14" w16cid:durableId="1935358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E3"/>
    <w:rsid w:val="00002A2F"/>
    <w:rsid w:val="00003ABF"/>
    <w:rsid w:val="0001131C"/>
    <w:rsid w:val="00011D63"/>
    <w:rsid w:val="00015DAF"/>
    <w:rsid w:val="00017363"/>
    <w:rsid w:val="000201BD"/>
    <w:rsid w:val="00021229"/>
    <w:rsid w:val="00027050"/>
    <w:rsid w:val="0003298E"/>
    <w:rsid w:val="0003362E"/>
    <w:rsid w:val="00035A1F"/>
    <w:rsid w:val="00036853"/>
    <w:rsid w:val="00040835"/>
    <w:rsid w:val="00043961"/>
    <w:rsid w:val="0004539E"/>
    <w:rsid w:val="00046A4C"/>
    <w:rsid w:val="00047AC2"/>
    <w:rsid w:val="000548D2"/>
    <w:rsid w:val="000624F2"/>
    <w:rsid w:val="00065D6E"/>
    <w:rsid w:val="00070FFD"/>
    <w:rsid w:val="000712E8"/>
    <w:rsid w:val="00074182"/>
    <w:rsid w:val="00076BF1"/>
    <w:rsid w:val="000817D1"/>
    <w:rsid w:val="00082422"/>
    <w:rsid w:val="00083513"/>
    <w:rsid w:val="000855C4"/>
    <w:rsid w:val="00087280"/>
    <w:rsid w:val="0009127C"/>
    <w:rsid w:val="00097198"/>
    <w:rsid w:val="00097B44"/>
    <w:rsid w:val="000A18C1"/>
    <w:rsid w:val="000A20B5"/>
    <w:rsid w:val="000A2390"/>
    <w:rsid w:val="000A59A2"/>
    <w:rsid w:val="000A5D19"/>
    <w:rsid w:val="000A66E6"/>
    <w:rsid w:val="000B24C8"/>
    <w:rsid w:val="000B4359"/>
    <w:rsid w:val="000B5045"/>
    <w:rsid w:val="000B6846"/>
    <w:rsid w:val="000C12A7"/>
    <w:rsid w:val="000C3BB3"/>
    <w:rsid w:val="000C4570"/>
    <w:rsid w:val="000C6784"/>
    <w:rsid w:val="000C6A43"/>
    <w:rsid w:val="000D28D5"/>
    <w:rsid w:val="000D2CA6"/>
    <w:rsid w:val="000D338E"/>
    <w:rsid w:val="000D3FBD"/>
    <w:rsid w:val="000D56F1"/>
    <w:rsid w:val="000D69BD"/>
    <w:rsid w:val="000E060E"/>
    <w:rsid w:val="000E1868"/>
    <w:rsid w:val="000E26F7"/>
    <w:rsid w:val="000E55EB"/>
    <w:rsid w:val="000E639F"/>
    <w:rsid w:val="000E7622"/>
    <w:rsid w:val="000F6C3A"/>
    <w:rsid w:val="00100ED9"/>
    <w:rsid w:val="00104277"/>
    <w:rsid w:val="00104E14"/>
    <w:rsid w:val="00105ED8"/>
    <w:rsid w:val="00107199"/>
    <w:rsid w:val="0011247F"/>
    <w:rsid w:val="00121065"/>
    <w:rsid w:val="00125DA4"/>
    <w:rsid w:val="001269A1"/>
    <w:rsid w:val="00127049"/>
    <w:rsid w:val="00127480"/>
    <w:rsid w:val="00127ED6"/>
    <w:rsid w:val="00130B9B"/>
    <w:rsid w:val="00140CE9"/>
    <w:rsid w:val="00140D58"/>
    <w:rsid w:val="00144C6B"/>
    <w:rsid w:val="00144F3E"/>
    <w:rsid w:val="00145FAF"/>
    <w:rsid w:val="0014799B"/>
    <w:rsid w:val="00150E48"/>
    <w:rsid w:val="0015303A"/>
    <w:rsid w:val="00153400"/>
    <w:rsid w:val="00154053"/>
    <w:rsid w:val="00154B08"/>
    <w:rsid w:val="001556A0"/>
    <w:rsid w:val="00155D00"/>
    <w:rsid w:val="00161F21"/>
    <w:rsid w:val="00162A47"/>
    <w:rsid w:val="001630E9"/>
    <w:rsid w:val="00163832"/>
    <w:rsid w:val="00164FBC"/>
    <w:rsid w:val="001654B2"/>
    <w:rsid w:val="00170568"/>
    <w:rsid w:val="001740BB"/>
    <w:rsid w:val="00180724"/>
    <w:rsid w:val="0018230B"/>
    <w:rsid w:val="00184873"/>
    <w:rsid w:val="00185990"/>
    <w:rsid w:val="00185C79"/>
    <w:rsid w:val="00185D6D"/>
    <w:rsid w:val="00185E89"/>
    <w:rsid w:val="001874F2"/>
    <w:rsid w:val="00190C01"/>
    <w:rsid w:val="00191401"/>
    <w:rsid w:val="00192574"/>
    <w:rsid w:val="00192D3A"/>
    <w:rsid w:val="00194ADE"/>
    <w:rsid w:val="001953CD"/>
    <w:rsid w:val="001A1478"/>
    <w:rsid w:val="001A1928"/>
    <w:rsid w:val="001A53F2"/>
    <w:rsid w:val="001A582B"/>
    <w:rsid w:val="001A5DE7"/>
    <w:rsid w:val="001B0C18"/>
    <w:rsid w:val="001B44EC"/>
    <w:rsid w:val="001B565E"/>
    <w:rsid w:val="001C04DC"/>
    <w:rsid w:val="001C0BA0"/>
    <w:rsid w:val="001C2404"/>
    <w:rsid w:val="001C24A4"/>
    <w:rsid w:val="001C251B"/>
    <w:rsid w:val="001C6094"/>
    <w:rsid w:val="001C6599"/>
    <w:rsid w:val="001D10BA"/>
    <w:rsid w:val="001D2BAB"/>
    <w:rsid w:val="001D2CAA"/>
    <w:rsid w:val="001D328F"/>
    <w:rsid w:val="001D4A78"/>
    <w:rsid w:val="001D6077"/>
    <w:rsid w:val="001D6590"/>
    <w:rsid w:val="001E0753"/>
    <w:rsid w:val="001E150C"/>
    <w:rsid w:val="001E7A6E"/>
    <w:rsid w:val="001F138A"/>
    <w:rsid w:val="001F19EF"/>
    <w:rsid w:val="001F4F16"/>
    <w:rsid w:val="001F5E43"/>
    <w:rsid w:val="001F75EE"/>
    <w:rsid w:val="002001CC"/>
    <w:rsid w:val="00200510"/>
    <w:rsid w:val="002005DB"/>
    <w:rsid w:val="00201A88"/>
    <w:rsid w:val="00203947"/>
    <w:rsid w:val="00206062"/>
    <w:rsid w:val="002116D4"/>
    <w:rsid w:val="00211AF4"/>
    <w:rsid w:val="00211D90"/>
    <w:rsid w:val="002125BB"/>
    <w:rsid w:val="00214047"/>
    <w:rsid w:val="00214363"/>
    <w:rsid w:val="00214D0B"/>
    <w:rsid w:val="0021750A"/>
    <w:rsid w:val="00220021"/>
    <w:rsid w:val="00221957"/>
    <w:rsid w:val="00223193"/>
    <w:rsid w:val="00227651"/>
    <w:rsid w:val="0023061E"/>
    <w:rsid w:val="00232671"/>
    <w:rsid w:val="00232984"/>
    <w:rsid w:val="00235146"/>
    <w:rsid w:val="002368DB"/>
    <w:rsid w:val="00236ADC"/>
    <w:rsid w:val="00243646"/>
    <w:rsid w:val="00244866"/>
    <w:rsid w:val="0024545D"/>
    <w:rsid w:val="00246D5C"/>
    <w:rsid w:val="002479CC"/>
    <w:rsid w:val="0025048F"/>
    <w:rsid w:val="002535E7"/>
    <w:rsid w:val="0025484D"/>
    <w:rsid w:val="00254CE3"/>
    <w:rsid w:val="00256E08"/>
    <w:rsid w:val="00256FFD"/>
    <w:rsid w:val="00257EB2"/>
    <w:rsid w:val="002632BA"/>
    <w:rsid w:val="00264369"/>
    <w:rsid w:val="0026600B"/>
    <w:rsid w:val="002669AA"/>
    <w:rsid w:val="00267332"/>
    <w:rsid w:val="00271C92"/>
    <w:rsid w:val="00272E9B"/>
    <w:rsid w:val="00276BEC"/>
    <w:rsid w:val="0028060B"/>
    <w:rsid w:val="00282574"/>
    <w:rsid w:val="0028258A"/>
    <w:rsid w:val="002835F4"/>
    <w:rsid w:val="00283E26"/>
    <w:rsid w:val="00284231"/>
    <w:rsid w:val="00285BE0"/>
    <w:rsid w:val="0028668F"/>
    <w:rsid w:val="00293295"/>
    <w:rsid w:val="0029392A"/>
    <w:rsid w:val="002A44FE"/>
    <w:rsid w:val="002B0ED8"/>
    <w:rsid w:val="002B12A7"/>
    <w:rsid w:val="002B4701"/>
    <w:rsid w:val="002B5215"/>
    <w:rsid w:val="002B5FB8"/>
    <w:rsid w:val="002C064A"/>
    <w:rsid w:val="002C24CB"/>
    <w:rsid w:val="002C265F"/>
    <w:rsid w:val="002C55B5"/>
    <w:rsid w:val="002C6249"/>
    <w:rsid w:val="002C7C87"/>
    <w:rsid w:val="002D2662"/>
    <w:rsid w:val="002D54FD"/>
    <w:rsid w:val="002D7B7A"/>
    <w:rsid w:val="002E10AA"/>
    <w:rsid w:val="002E26FD"/>
    <w:rsid w:val="002E58A6"/>
    <w:rsid w:val="002E76D7"/>
    <w:rsid w:val="002E7935"/>
    <w:rsid w:val="002F2F8D"/>
    <w:rsid w:val="002F48B0"/>
    <w:rsid w:val="002F4F96"/>
    <w:rsid w:val="002F5B5D"/>
    <w:rsid w:val="002F74F0"/>
    <w:rsid w:val="003036C0"/>
    <w:rsid w:val="003043FF"/>
    <w:rsid w:val="00305004"/>
    <w:rsid w:val="00307DA5"/>
    <w:rsid w:val="00310207"/>
    <w:rsid w:val="0031026B"/>
    <w:rsid w:val="003150B4"/>
    <w:rsid w:val="003157B0"/>
    <w:rsid w:val="00316B85"/>
    <w:rsid w:val="0032531B"/>
    <w:rsid w:val="00326333"/>
    <w:rsid w:val="00327F78"/>
    <w:rsid w:val="00332800"/>
    <w:rsid w:val="003379F7"/>
    <w:rsid w:val="0034266E"/>
    <w:rsid w:val="00342933"/>
    <w:rsid w:val="0034326C"/>
    <w:rsid w:val="0035325B"/>
    <w:rsid w:val="00353D2F"/>
    <w:rsid w:val="00354044"/>
    <w:rsid w:val="00360834"/>
    <w:rsid w:val="00361930"/>
    <w:rsid w:val="003624A2"/>
    <w:rsid w:val="00362A03"/>
    <w:rsid w:val="00365375"/>
    <w:rsid w:val="00366428"/>
    <w:rsid w:val="00370129"/>
    <w:rsid w:val="00372097"/>
    <w:rsid w:val="003731BC"/>
    <w:rsid w:val="003747A3"/>
    <w:rsid w:val="00375EDB"/>
    <w:rsid w:val="00390AF2"/>
    <w:rsid w:val="00391A29"/>
    <w:rsid w:val="00393254"/>
    <w:rsid w:val="00394412"/>
    <w:rsid w:val="00394727"/>
    <w:rsid w:val="0039490A"/>
    <w:rsid w:val="003A396B"/>
    <w:rsid w:val="003A3E2D"/>
    <w:rsid w:val="003B1F44"/>
    <w:rsid w:val="003B79B1"/>
    <w:rsid w:val="003C0259"/>
    <w:rsid w:val="003C1754"/>
    <w:rsid w:val="003C41AA"/>
    <w:rsid w:val="003C563B"/>
    <w:rsid w:val="003C5DB0"/>
    <w:rsid w:val="003C7CC5"/>
    <w:rsid w:val="003D1448"/>
    <w:rsid w:val="003D1A3C"/>
    <w:rsid w:val="003D37BF"/>
    <w:rsid w:val="003D420F"/>
    <w:rsid w:val="003D5D5B"/>
    <w:rsid w:val="003E4040"/>
    <w:rsid w:val="003E51C3"/>
    <w:rsid w:val="003E6743"/>
    <w:rsid w:val="003E77BC"/>
    <w:rsid w:val="003F6B60"/>
    <w:rsid w:val="003F7849"/>
    <w:rsid w:val="00401B3D"/>
    <w:rsid w:val="00404F08"/>
    <w:rsid w:val="0041014F"/>
    <w:rsid w:val="004115B9"/>
    <w:rsid w:val="004126F6"/>
    <w:rsid w:val="00413774"/>
    <w:rsid w:val="00415951"/>
    <w:rsid w:val="00421589"/>
    <w:rsid w:val="00424968"/>
    <w:rsid w:val="00425F00"/>
    <w:rsid w:val="0042770D"/>
    <w:rsid w:val="00427A0D"/>
    <w:rsid w:val="00432054"/>
    <w:rsid w:val="004323B6"/>
    <w:rsid w:val="00433856"/>
    <w:rsid w:val="00442A3D"/>
    <w:rsid w:val="00443144"/>
    <w:rsid w:val="0044351F"/>
    <w:rsid w:val="00444660"/>
    <w:rsid w:val="004448D5"/>
    <w:rsid w:val="00446571"/>
    <w:rsid w:val="00452E5E"/>
    <w:rsid w:val="0045623C"/>
    <w:rsid w:val="00460519"/>
    <w:rsid w:val="004622FA"/>
    <w:rsid w:val="00464115"/>
    <w:rsid w:val="00466495"/>
    <w:rsid w:val="00471EE2"/>
    <w:rsid w:val="004721C3"/>
    <w:rsid w:val="0047439F"/>
    <w:rsid w:val="00475B4C"/>
    <w:rsid w:val="00475CB5"/>
    <w:rsid w:val="004763D7"/>
    <w:rsid w:val="00481CE5"/>
    <w:rsid w:val="00482D14"/>
    <w:rsid w:val="00482EF5"/>
    <w:rsid w:val="00483D63"/>
    <w:rsid w:val="00491012"/>
    <w:rsid w:val="00493EF2"/>
    <w:rsid w:val="00494AD8"/>
    <w:rsid w:val="00494B2B"/>
    <w:rsid w:val="004954B6"/>
    <w:rsid w:val="00496CD0"/>
    <w:rsid w:val="004A2CF9"/>
    <w:rsid w:val="004A31AC"/>
    <w:rsid w:val="004A32EF"/>
    <w:rsid w:val="004A5870"/>
    <w:rsid w:val="004A6D08"/>
    <w:rsid w:val="004A7A5F"/>
    <w:rsid w:val="004A7EC8"/>
    <w:rsid w:val="004B0793"/>
    <w:rsid w:val="004B080E"/>
    <w:rsid w:val="004B3759"/>
    <w:rsid w:val="004B4904"/>
    <w:rsid w:val="004B4971"/>
    <w:rsid w:val="004C0C5B"/>
    <w:rsid w:val="004C1332"/>
    <w:rsid w:val="004C3704"/>
    <w:rsid w:val="004C536B"/>
    <w:rsid w:val="004C5956"/>
    <w:rsid w:val="004D19FD"/>
    <w:rsid w:val="004D2CFC"/>
    <w:rsid w:val="004D753D"/>
    <w:rsid w:val="004D7595"/>
    <w:rsid w:val="004E0867"/>
    <w:rsid w:val="004E2786"/>
    <w:rsid w:val="004E283F"/>
    <w:rsid w:val="004E3612"/>
    <w:rsid w:val="004E5309"/>
    <w:rsid w:val="004E5A3E"/>
    <w:rsid w:val="004E604E"/>
    <w:rsid w:val="004E69EF"/>
    <w:rsid w:val="004E6BA1"/>
    <w:rsid w:val="004E7A48"/>
    <w:rsid w:val="004F026C"/>
    <w:rsid w:val="004F4CD8"/>
    <w:rsid w:val="004F509C"/>
    <w:rsid w:val="004F5345"/>
    <w:rsid w:val="004F6FA7"/>
    <w:rsid w:val="005021C7"/>
    <w:rsid w:val="00503F68"/>
    <w:rsid w:val="005141F0"/>
    <w:rsid w:val="005142C3"/>
    <w:rsid w:val="00516691"/>
    <w:rsid w:val="005176CF"/>
    <w:rsid w:val="00520E2D"/>
    <w:rsid w:val="005210E5"/>
    <w:rsid w:val="005249BF"/>
    <w:rsid w:val="0053179E"/>
    <w:rsid w:val="0053357B"/>
    <w:rsid w:val="0053547F"/>
    <w:rsid w:val="00542208"/>
    <w:rsid w:val="00542F33"/>
    <w:rsid w:val="00543C3C"/>
    <w:rsid w:val="0055090A"/>
    <w:rsid w:val="00550C96"/>
    <w:rsid w:val="0055202F"/>
    <w:rsid w:val="0055300A"/>
    <w:rsid w:val="00553550"/>
    <w:rsid w:val="00553D11"/>
    <w:rsid w:val="005548E8"/>
    <w:rsid w:val="005552A2"/>
    <w:rsid w:val="00555FD7"/>
    <w:rsid w:val="00556FFA"/>
    <w:rsid w:val="0055708F"/>
    <w:rsid w:val="00560B92"/>
    <w:rsid w:val="00562CD2"/>
    <w:rsid w:val="00564641"/>
    <w:rsid w:val="0056540B"/>
    <w:rsid w:val="00574058"/>
    <w:rsid w:val="005741E8"/>
    <w:rsid w:val="00577832"/>
    <w:rsid w:val="0058040B"/>
    <w:rsid w:val="00584F64"/>
    <w:rsid w:val="00594023"/>
    <w:rsid w:val="00595CEC"/>
    <w:rsid w:val="005969E4"/>
    <w:rsid w:val="005A16B4"/>
    <w:rsid w:val="005A30B3"/>
    <w:rsid w:val="005A34CA"/>
    <w:rsid w:val="005B044D"/>
    <w:rsid w:val="005B1A8C"/>
    <w:rsid w:val="005B2806"/>
    <w:rsid w:val="005B440C"/>
    <w:rsid w:val="005B4923"/>
    <w:rsid w:val="005B623D"/>
    <w:rsid w:val="005C0064"/>
    <w:rsid w:val="005C1080"/>
    <w:rsid w:val="005C2789"/>
    <w:rsid w:val="005C5AA7"/>
    <w:rsid w:val="005C6052"/>
    <w:rsid w:val="005C64AF"/>
    <w:rsid w:val="005C71B2"/>
    <w:rsid w:val="005C7819"/>
    <w:rsid w:val="005D1780"/>
    <w:rsid w:val="005D28BD"/>
    <w:rsid w:val="005D56D7"/>
    <w:rsid w:val="005D58F2"/>
    <w:rsid w:val="005D66BA"/>
    <w:rsid w:val="005D744D"/>
    <w:rsid w:val="005E0F61"/>
    <w:rsid w:val="005E12F7"/>
    <w:rsid w:val="005E3489"/>
    <w:rsid w:val="005E376D"/>
    <w:rsid w:val="005E56FD"/>
    <w:rsid w:val="005E6C6C"/>
    <w:rsid w:val="005E7E6B"/>
    <w:rsid w:val="005F123F"/>
    <w:rsid w:val="005F1EA4"/>
    <w:rsid w:val="005F2674"/>
    <w:rsid w:val="005F50D6"/>
    <w:rsid w:val="005F716F"/>
    <w:rsid w:val="00600F9F"/>
    <w:rsid w:val="0060254C"/>
    <w:rsid w:val="00604EDB"/>
    <w:rsid w:val="0060549A"/>
    <w:rsid w:val="00613BF7"/>
    <w:rsid w:val="00617F7E"/>
    <w:rsid w:val="006210AE"/>
    <w:rsid w:val="00621E43"/>
    <w:rsid w:val="00625B4F"/>
    <w:rsid w:val="006268C2"/>
    <w:rsid w:val="00630170"/>
    <w:rsid w:val="00630345"/>
    <w:rsid w:val="0063070F"/>
    <w:rsid w:val="00632DFB"/>
    <w:rsid w:val="00632FD7"/>
    <w:rsid w:val="00633653"/>
    <w:rsid w:val="006336AF"/>
    <w:rsid w:val="006362BE"/>
    <w:rsid w:val="0063740A"/>
    <w:rsid w:val="0063750E"/>
    <w:rsid w:val="0064134A"/>
    <w:rsid w:val="006453C6"/>
    <w:rsid w:val="006510D7"/>
    <w:rsid w:val="006513E2"/>
    <w:rsid w:val="00655AA5"/>
    <w:rsid w:val="0065649D"/>
    <w:rsid w:val="0065793C"/>
    <w:rsid w:val="006625FD"/>
    <w:rsid w:val="00664154"/>
    <w:rsid w:val="0066441C"/>
    <w:rsid w:val="006653E5"/>
    <w:rsid w:val="00671060"/>
    <w:rsid w:val="00675513"/>
    <w:rsid w:val="00680396"/>
    <w:rsid w:val="0068093A"/>
    <w:rsid w:val="006838F9"/>
    <w:rsid w:val="00684F21"/>
    <w:rsid w:val="0068688E"/>
    <w:rsid w:val="0069142E"/>
    <w:rsid w:val="00691738"/>
    <w:rsid w:val="00697368"/>
    <w:rsid w:val="006A31C5"/>
    <w:rsid w:val="006A447A"/>
    <w:rsid w:val="006A6570"/>
    <w:rsid w:val="006A782E"/>
    <w:rsid w:val="006B036F"/>
    <w:rsid w:val="006B0A41"/>
    <w:rsid w:val="006B0B75"/>
    <w:rsid w:val="006B20E9"/>
    <w:rsid w:val="006B3B86"/>
    <w:rsid w:val="006B3F54"/>
    <w:rsid w:val="006B3FE5"/>
    <w:rsid w:val="006B6BE2"/>
    <w:rsid w:val="006B7130"/>
    <w:rsid w:val="006C11C7"/>
    <w:rsid w:val="006C2048"/>
    <w:rsid w:val="006C5659"/>
    <w:rsid w:val="006C6B6F"/>
    <w:rsid w:val="006D2306"/>
    <w:rsid w:val="006D3F73"/>
    <w:rsid w:val="006D40B4"/>
    <w:rsid w:val="006D6B0D"/>
    <w:rsid w:val="006D6CD8"/>
    <w:rsid w:val="006E17D7"/>
    <w:rsid w:val="006E5F12"/>
    <w:rsid w:val="006E71B1"/>
    <w:rsid w:val="006F20D3"/>
    <w:rsid w:val="006F2DA6"/>
    <w:rsid w:val="006F3FB7"/>
    <w:rsid w:val="00704A6B"/>
    <w:rsid w:val="007060E8"/>
    <w:rsid w:val="007144D6"/>
    <w:rsid w:val="00714F1D"/>
    <w:rsid w:val="00714F70"/>
    <w:rsid w:val="007154FC"/>
    <w:rsid w:val="007156B9"/>
    <w:rsid w:val="00717EB3"/>
    <w:rsid w:val="00723233"/>
    <w:rsid w:val="0072514E"/>
    <w:rsid w:val="00727832"/>
    <w:rsid w:val="007302F4"/>
    <w:rsid w:val="00730686"/>
    <w:rsid w:val="00733A6E"/>
    <w:rsid w:val="00733C90"/>
    <w:rsid w:val="00734DF5"/>
    <w:rsid w:val="00735326"/>
    <w:rsid w:val="00737232"/>
    <w:rsid w:val="00742050"/>
    <w:rsid w:val="00744B74"/>
    <w:rsid w:val="00745684"/>
    <w:rsid w:val="007474AF"/>
    <w:rsid w:val="00751333"/>
    <w:rsid w:val="00754A2C"/>
    <w:rsid w:val="00757176"/>
    <w:rsid w:val="00757257"/>
    <w:rsid w:val="0076109C"/>
    <w:rsid w:val="00761415"/>
    <w:rsid w:val="0076306C"/>
    <w:rsid w:val="00764F01"/>
    <w:rsid w:val="00775827"/>
    <w:rsid w:val="00777115"/>
    <w:rsid w:val="00780C15"/>
    <w:rsid w:val="007833BE"/>
    <w:rsid w:val="00784627"/>
    <w:rsid w:val="0078513B"/>
    <w:rsid w:val="00785B82"/>
    <w:rsid w:val="00787C22"/>
    <w:rsid w:val="00791207"/>
    <w:rsid w:val="00792D20"/>
    <w:rsid w:val="0079472D"/>
    <w:rsid w:val="007947C9"/>
    <w:rsid w:val="00797F06"/>
    <w:rsid w:val="007A0207"/>
    <w:rsid w:val="007A02F2"/>
    <w:rsid w:val="007A24B8"/>
    <w:rsid w:val="007A3DA2"/>
    <w:rsid w:val="007A57A7"/>
    <w:rsid w:val="007A6497"/>
    <w:rsid w:val="007A6BA3"/>
    <w:rsid w:val="007B2A42"/>
    <w:rsid w:val="007B471A"/>
    <w:rsid w:val="007B70B2"/>
    <w:rsid w:val="007C06E8"/>
    <w:rsid w:val="007C3A6E"/>
    <w:rsid w:val="007C4499"/>
    <w:rsid w:val="007C6409"/>
    <w:rsid w:val="007C7DD1"/>
    <w:rsid w:val="007D1898"/>
    <w:rsid w:val="007D4398"/>
    <w:rsid w:val="007D5629"/>
    <w:rsid w:val="007D631B"/>
    <w:rsid w:val="007D7726"/>
    <w:rsid w:val="007E2DE2"/>
    <w:rsid w:val="007E3169"/>
    <w:rsid w:val="007E5920"/>
    <w:rsid w:val="007E7485"/>
    <w:rsid w:val="007E7B0B"/>
    <w:rsid w:val="007F1A2E"/>
    <w:rsid w:val="007F33B7"/>
    <w:rsid w:val="007F6E80"/>
    <w:rsid w:val="00800157"/>
    <w:rsid w:val="00800297"/>
    <w:rsid w:val="00801D3A"/>
    <w:rsid w:val="00804B6D"/>
    <w:rsid w:val="00805A47"/>
    <w:rsid w:val="00806FFC"/>
    <w:rsid w:val="00811039"/>
    <w:rsid w:val="00811DE9"/>
    <w:rsid w:val="00815155"/>
    <w:rsid w:val="008217A0"/>
    <w:rsid w:val="00821CA8"/>
    <w:rsid w:val="008255F1"/>
    <w:rsid w:val="00832197"/>
    <w:rsid w:val="00833A74"/>
    <w:rsid w:val="008410F5"/>
    <w:rsid w:val="00843C98"/>
    <w:rsid w:val="00845A00"/>
    <w:rsid w:val="008518F5"/>
    <w:rsid w:val="00852BAF"/>
    <w:rsid w:val="008569F0"/>
    <w:rsid w:val="00860A8C"/>
    <w:rsid w:val="00862385"/>
    <w:rsid w:val="00862A54"/>
    <w:rsid w:val="008631B5"/>
    <w:rsid w:val="00863800"/>
    <w:rsid w:val="00864251"/>
    <w:rsid w:val="00865E96"/>
    <w:rsid w:val="00867D3C"/>
    <w:rsid w:val="0087047B"/>
    <w:rsid w:val="00871EF2"/>
    <w:rsid w:val="00872324"/>
    <w:rsid w:val="00872710"/>
    <w:rsid w:val="00873836"/>
    <w:rsid w:val="00873D69"/>
    <w:rsid w:val="00876BFB"/>
    <w:rsid w:val="008843B1"/>
    <w:rsid w:val="00885F45"/>
    <w:rsid w:val="00886701"/>
    <w:rsid w:val="00892348"/>
    <w:rsid w:val="00892761"/>
    <w:rsid w:val="008965B2"/>
    <w:rsid w:val="008A0E24"/>
    <w:rsid w:val="008A3BD3"/>
    <w:rsid w:val="008B05AC"/>
    <w:rsid w:val="008B4876"/>
    <w:rsid w:val="008B7786"/>
    <w:rsid w:val="008C0C41"/>
    <w:rsid w:val="008C3194"/>
    <w:rsid w:val="008C42C9"/>
    <w:rsid w:val="008D1D49"/>
    <w:rsid w:val="008D1F40"/>
    <w:rsid w:val="008D3778"/>
    <w:rsid w:val="008D4FA2"/>
    <w:rsid w:val="008D63B3"/>
    <w:rsid w:val="008E10D3"/>
    <w:rsid w:val="008E1B89"/>
    <w:rsid w:val="008E2136"/>
    <w:rsid w:val="008E23D9"/>
    <w:rsid w:val="008E31F2"/>
    <w:rsid w:val="008E3A82"/>
    <w:rsid w:val="008E6B5B"/>
    <w:rsid w:val="008E75B5"/>
    <w:rsid w:val="008F3C51"/>
    <w:rsid w:val="008F48B4"/>
    <w:rsid w:val="008F5D8C"/>
    <w:rsid w:val="008F5FEA"/>
    <w:rsid w:val="008F6952"/>
    <w:rsid w:val="008F7413"/>
    <w:rsid w:val="0090056A"/>
    <w:rsid w:val="009016D1"/>
    <w:rsid w:val="009022EA"/>
    <w:rsid w:val="00903D0E"/>
    <w:rsid w:val="00904B0B"/>
    <w:rsid w:val="00910204"/>
    <w:rsid w:val="00911A0F"/>
    <w:rsid w:val="00912869"/>
    <w:rsid w:val="00912AA0"/>
    <w:rsid w:val="0091602F"/>
    <w:rsid w:val="009162C5"/>
    <w:rsid w:val="0092544B"/>
    <w:rsid w:val="00931DAE"/>
    <w:rsid w:val="00933842"/>
    <w:rsid w:val="00937DE1"/>
    <w:rsid w:val="00941926"/>
    <w:rsid w:val="009434D8"/>
    <w:rsid w:val="009439D4"/>
    <w:rsid w:val="009440FD"/>
    <w:rsid w:val="00944382"/>
    <w:rsid w:val="009526FA"/>
    <w:rsid w:val="00952930"/>
    <w:rsid w:val="00954C2D"/>
    <w:rsid w:val="00955143"/>
    <w:rsid w:val="00960E2F"/>
    <w:rsid w:val="00961AA0"/>
    <w:rsid w:val="009622A8"/>
    <w:rsid w:val="0096312D"/>
    <w:rsid w:val="009640B3"/>
    <w:rsid w:val="00966CB8"/>
    <w:rsid w:val="00972EB0"/>
    <w:rsid w:val="00973B2A"/>
    <w:rsid w:val="00973CF2"/>
    <w:rsid w:val="00974110"/>
    <w:rsid w:val="0097487C"/>
    <w:rsid w:val="00977A13"/>
    <w:rsid w:val="00984345"/>
    <w:rsid w:val="00987E23"/>
    <w:rsid w:val="009905A8"/>
    <w:rsid w:val="00994408"/>
    <w:rsid w:val="009962E9"/>
    <w:rsid w:val="009972EA"/>
    <w:rsid w:val="009B18D9"/>
    <w:rsid w:val="009B1CF5"/>
    <w:rsid w:val="009B33B5"/>
    <w:rsid w:val="009B6D2B"/>
    <w:rsid w:val="009C0E64"/>
    <w:rsid w:val="009C253D"/>
    <w:rsid w:val="009C5241"/>
    <w:rsid w:val="009D0FE3"/>
    <w:rsid w:val="009D2B90"/>
    <w:rsid w:val="009D3AD9"/>
    <w:rsid w:val="009D51D1"/>
    <w:rsid w:val="009D5E26"/>
    <w:rsid w:val="009E2BF4"/>
    <w:rsid w:val="009E4965"/>
    <w:rsid w:val="009E7839"/>
    <w:rsid w:val="009E79BA"/>
    <w:rsid w:val="009F1830"/>
    <w:rsid w:val="009F2E06"/>
    <w:rsid w:val="009F37E0"/>
    <w:rsid w:val="009F4502"/>
    <w:rsid w:val="009F6A51"/>
    <w:rsid w:val="00A07422"/>
    <w:rsid w:val="00A205FB"/>
    <w:rsid w:val="00A25532"/>
    <w:rsid w:val="00A266CC"/>
    <w:rsid w:val="00A26CC1"/>
    <w:rsid w:val="00A26F37"/>
    <w:rsid w:val="00A27D40"/>
    <w:rsid w:val="00A27DBB"/>
    <w:rsid w:val="00A305E6"/>
    <w:rsid w:val="00A36CBE"/>
    <w:rsid w:val="00A37AE7"/>
    <w:rsid w:val="00A416C2"/>
    <w:rsid w:val="00A42012"/>
    <w:rsid w:val="00A42D36"/>
    <w:rsid w:val="00A43644"/>
    <w:rsid w:val="00A45ACA"/>
    <w:rsid w:val="00A45BFF"/>
    <w:rsid w:val="00A461B7"/>
    <w:rsid w:val="00A46FF4"/>
    <w:rsid w:val="00A47CE1"/>
    <w:rsid w:val="00A503ED"/>
    <w:rsid w:val="00A50BE8"/>
    <w:rsid w:val="00A515F9"/>
    <w:rsid w:val="00A52BBE"/>
    <w:rsid w:val="00A53053"/>
    <w:rsid w:val="00A54852"/>
    <w:rsid w:val="00A579D6"/>
    <w:rsid w:val="00A63603"/>
    <w:rsid w:val="00A647F6"/>
    <w:rsid w:val="00A6635A"/>
    <w:rsid w:val="00A74FB0"/>
    <w:rsid w:val="00A75F69"/>
    <w:rsid w:val="00A75FD1"/>
    <w:rsid w:val="00A77ABA"/>
    <w:rsid w:val="00A82449"/>
    <w:rsid w:val="00A8280D"/>
    <w:rsid w:val="00A82B6B"/>
    <w:rsid w:val="00A877C5"/>
    <w:rsid w:val="00A91EDD"/>
    <w:rsid w:val="00A92E0B"/>
    <w:rsid w:val="00A93ABB"/>
    <w:rsid w:val="00A943CB"/>
    <w:rsid w:val="00A95F91"/>
    <w:rsid w:val="00AA39D0"/>
    <w:rsid w:val="00AB2195"/>
    <w:rsid w:val="00AB30C7"/>
    <w:rsid w:val="00AC0388"/>
    <w:rsid w:val="00AC0CC2"/>
    <w:rsid w:val="00AC5572"/>
    <w:rsid w:val="00AD1612"/>
    <w:rsid w:val="00AD4338"/>
    <w:rsid w:val="00AE04F0"/>
    <w:rsid w:val="00AE200C"/>
    <w:rsid w:val="00AE2613"/>
    <w:rsid w:val="00AE43B6"/>
    <w:rsid w:val="00AE4FBA"/>
    <w:rsid w:val="00AE5C2E"/>
    <w:rsid w:val="00AF106B"/>
    <w:rsid w:val="00AF1DE6"/>
    <w:rsid w:val="00AF397C"/>
    <w:rsid w:val="00AF55F2"/>
    <w:rsid w:val="00AF6455"/>
    <w:rsid w:val="00AF731B"/>
    <w:rsid w:val="00B0096B"/>
    <w:rsid w:val="00B01F2B"/>
    <w:rsid w:val="00B07CF3"/>
    <w:rsid w:val="00B110D4"/>
    <w:rsid w:val="00B11B40"/>
    <w:rsid w:val="00B12FA7"/>
    <w:rsid w:val="00B1688D"/>
    <w:rsid w:val="00B22122"/>
    <w:rsid w:val="00B2409B"/>
    <w:rsid w:val="00B24801"/>
    <w:rsid w:val="00B24BD8"/>
    <w:rsid w:val="00B267B2"/>
    <w:rsid w:val="00B27433"/>
    <w:rsid w:val="00B3544F"/>
    <w:rsid w:val="00B3551F"/>
    <w:rsid w:val="00B361F2"/>
    <w:rsid w:val="00B365F8"/>
    <w:rsid w:val="00B374B9"/>
    <w:rsid w:val="00B37D18"/>
    <w:rsid w:val="00B41D48"/>
    <w:rsid w:val="00B423D1"/>
    <w:rsid w:val="00B437FC"/>
    <w:rsid w:val="00B43FB2"/>
    <w:rsid w:val="00B4604F"/>
    <w:rsid w:val="00B46348"/>
    <w:rsid w:val="00B467EE"/>
    <w:rsid w:val="00B47673"/>
    <w:rsid w:val="00B47C26"/>
    <w:rsid w:val="00B47CBF"/>
    <w:rsid w:val="00B5132F"/>
    <w:rsid w:val="00B55393"/>
    <w:rsid w:val="00B558E3"/>
    <w:rsid w:val="00B56748"/>
    <w:rsid w:val="00B57DC7"/>
    <w:rsid w:val="00B60442"/>
    <w:rsid w:val="00B60F35"/>
    <w:rsid w:val="00B63694"/>
    <w:rsid w:val="00B642A4"/>
    <w:rsid w:val="00B668EA"/>
    <w:rsid w:val="00B709D6"/>
    <w:rsid w:val="00B73985"/>
    <w:rsid w:val="00B75FA7"/>
    <w:rsid w:val="00B771F4"/>
    <w:rsid w:val="00B77FEE"/>
    <w:rsid w:val="00B82FAC"/>
    <w:rsid w:val="00B8410B"/>
    <w:rsid w:val="00B85C6A"/>
    <w:rsid w:val="00B86E93"/>
    <w:rsid w:val="00B900E4"/>
    <w:rsid w:val="00B960B5"/>
    <w:rsid w:val="00BA0A95"/>
    <w:rsid w:val="00BA0E07"/>
    <w:rsid w:val="00BA41F4"/>
    <w:rsid w:val="00BA7C86"/>
    <w:rsid w:val="00BB0861"/>
    <w:rsid w:val="00BB16AE"/>
    <w:rsid w:val="00BB2468"/>
    <w:rsid w:val="00BB5544"/>
    <w:rsid w:val="00BB5CD6"/>
    <w:rsid w:val="00BB5E5F"/>
    <w:rsid w:val="00BB7C1C"/>
    <w:rsid w:val="00BC02F8"/>
    <w:rsid w:val="00BC16C1"/>
    <w:rsid w:val="00BC424C"/>
    <w:rsid w:val="00BC76C2"/>
    <w:rsid w:val="00BD2C5D"/>
    <w:rsid w:val="00BD2FFD"/>
    <w:rsid w:val="00BD77DD"/>
    <w:rsid w:val="00BE0A46"/>
    <w:rsid w:val="00BE266D"/>
    <w:rsid w:val="00BF15E9"/>
    <w:rsid w:val="00BF3A74"/>
    <w:rsid w:val="00BF5131"/>
    <w:rsid w:val="00C02342"/>
    <w:rsid w:val="00C026D9"/>
    <w:rsid w:val="00C04EB3"/>
    <w:rsid w:val="00C052F6"/>
    <w:rsid w:val="00C104EC"/>
    <w:rsid w:val="00C11654"/>
    <w:rsid w:val="00C12A4B"/>
    <w:rsid w:val="00C1506B"/>
    <w:rsid w:val="00C15B79"/>
    <w:rsid w:val="00C16234"/>
    <w:rsid w:val="00C16360"/>
    <w:rsid w:val="00C1763B"/>
    <w:rsid w:val="00C20405"/>
    <w:rsid w:val="00C24E4C"/>
    <w:rsid w:val="00C25F3C"/>
    <w:rsid w:val="00C308B9"/>
    <w:rsid w:val="00C32934"/>
    <w:rsid w:val="00C329CA"/>
    <w:rsid w:val="00C331BD"/>
    <w:rsid w:val="00C33EC7"/>
    <w:rsid w:val="00C349EB"/>
    <w:rsid w:val="00C35CA4"/>
    <w:rsid w:val="00C366D6"/>
    <w:rsid w:val="00C36EFF"/>
    <w:rsid w:val="00C37D76"/>
    <w:rsid w:val="00C41500"/>
    <w:rsid w:val="00C41698"/>
    <w:rsid w:val="00C41FDD"/>
    <w:rsid w:val="00C4257E"/>
    <w:rsid w:val="00C42D2E"/>
    <w:rsid w:val="00C42F51"/>
    <w:rsid w:val="00C5419D"/>
    <w:rsid w:val="00C55732"/>
    <w:rsid w:val="00C573A8"/>
    <w:rsid w:val="00C574AD"/>
    <w:rsid w:val="00C6304B"/>
    <w:rsid w:val="00C65749"/>
    <w:rsid w:val="00C662BC"/>
    <w:rsid w:val="00C73834"/>
    <w:rsid w:val="00C74A57"/>
    <w:rsid w:val="00C762C4"/>
    <w:rsid w:val="00C777B0"/>
    <w:rsid w:val="00C87538"/>
    <w:rsid w:val="00C9422A"/>
    <w:rsid w:val="00C958DD"/>
    <w:rsid w:val="00CA198D"/>
    <w:rsid w:val="00CA1B7A"/>
    <w:rsid w:val="00CA2780"/>
    <w:rsid w:val="00CA38F7"/>
    <w:rsid w:val="00CA45B5"/>
    <w:rsid w:val="00CB5000"/>
    <w:rsid w:val="00CB6FA5"/>
    <w:rsid w:val="00CC0812"/>
    <w:rsid w:val="00CC1F5A"/>
    <w:rsid w:val="00CC1F65"/>
    <w:rsid w:val="00CC3F8E"/>
    <w:rsid w:val="00CC41CB"/>
    <w:rsid w:val="00CC4580"/>
    <w:rsid w:val="00CC5007"/>
    <w:rsid w:val="00CC70B4"/>
    <w:rsid w:val="00CD17CE"/>
    <w:rsid w:val="00CD306E"/>
    <w:rsid w:val="00CD5EC6"/>
    <w:rsid w:val="00CD7CF7"/>
    <w:rsid w:val="00CE55D7"/>
    <w:rsid w:val="00CE6869"/>
    <w:rsid w:val="00CF2189"/>
    <w:rsid w:val="00CF3FCF"/>
    <w:rsid w:val="00CF6F6A"/>
    <w:rsid w:val="00CF7F26"/>
    <w:rsid w:val="00D00EA2"/>
    <w:rsid w:val="00D01470"/>
    <w:rsid w:val="00D01979"/>
    <w:rsid w:val="00D03EC9"/>
    <w:rsid w:val="00D04CD0"/>
    <w:rsid w:val="00D10DB5"/>
    <w:rsid w:val="00D13F0C"/>
    <w:rsid w:val="00D14CC6"/>
    <w:rsid w:val="00D15A65"/>
    <w:rsid w:val="00D21A23"/>
    <w:rsid w:val="00D22270"/>
    <w:rsid w:val="00D22333"/>
    <w:rsid w:val="00D22CA2"/>
    <w:rsid w:val="00D2348F"/>
    <w:rsid w:val="00D26164"/>
    <w:rsid w:val="00D31AFD"/>
    <w:rsid w:val="00D333CB"/>
    <w:rsid w:val="00D34C9A"/>
    <w:rsid w:val="00D4120B"/>
    <w:rsid w:val="00D45B8F"/>
    <w:rsid w:val="00D5002A"/>
    <w:rsid w:val="00D50837"/>
    <w:rsid w:val="00D510D3"/>
    <w:rsid w:val="00D51D86"/>
    <w:rsid w:val="00D53D4A"/>
    <w:rsid w:val="00D55AC5"/>
    <w:rsid w:val="00D60B25"/>
    <w:rsid w:val="00D613DD"/>
    <w:rsid w:val="00D618A2"/>
    <w:rsid w:val="00D64A94"/>
    <w:rsid w:val="00D650C6"/>
    <w:rsid w:val="00D76AC9"/>
    <w:rsid w:val="00D77F18"/>
    <w:rsid w:val="00D8134D"/>
    <w:rsid w:val="00D81C40"/>
    <w:rsid w:val="00D8302E"/>
    <w:rsid w:val="00D8313C"/>
    <w:rsid w:val="00D85E18"/>
    <w:rsid w:val="00D90B0A"/>
    <w:rsid w:val="00D9501E"/>
    <w:rsid w:val="00DA1C0E"/>
    <w:rsid w:val="00DA36FA"/>
    <w:rsid w:val="00DA4452"/>
    <w:rsid w:val="00DA73EF"/>
    <w:rsid w:val="00DB0DB9"/>
    <w:rsid w:val="00DB0FB4"/>
    <w:rsid w:val="00DB1ED4"/>
    <w:rsid w:val="00DC0159"/>
    <w:rsid w:val="00DC0CAB"/>
    <w:rsid w:val="00DC0E52"/>
    <w:rsid w:val="00DC30FF"/>
    <w:rsid w:val="00DC6155"/>
    <w:rsid w:val="00DC63F8"/>
    <w:rsid w:val="00DC78B4"/>
    <w:rsid w:val="00DD01D9"/>
    <w:rsid w:val="00DD53DC"/>
    <w:rsid w:val="00DD66B3"/>
    <w:rsid w:val="00DD6C5D"/>
    <w:rsid w:val="00DD6FB7"/>
    <w:rsid w:val="00DE18E9"/>
    <w:rsid w:val="00DE3664"/>
    <w:rsid w:val="00DE5A1B"/>
    <w:rsid w:val="00DF31F8"/>
    <w:rsid w:val="00DF5FD7"/>
    <w:rsid w:val="00E019E6"/>
    <w:rsid w:val="00E07676"/>
    <w:rsid w:val="00E14E04"/>
    <w:rsid w:val="00E17553"/>
    <w:rsid w:val="00E22433"/>
    <w:rsid w:val="00E2611F"/>
    <w:rsid w:val="00E264ED"/>
    <w:rsid w:val="00E27B4B"/>
    <w:rsid w:val="00E32436"/>
    <w:rsid w:val="00E34E80"/>
    <w:rsid w:val="00E35442"/>
    <w:rsid w:val="00E37886"/>
    <w:rsid w:val="00E40B2F"/>
    <w:rsid w:val="00E410E8"/>
    <w:rsid w:val="00E45E85"/>
    <w:rsid w:val="00E45EB4"/>
    <w:rsid w:val="00E475EE"/>
    <w:rsid w:val="00E4770A"/>
    <w:rsid w:val="00E510DB"/>
    <w:rsid w:val="00E510F5"/>
    <w:rsid w:val="00E531A0"/>
    <w:rsid w:val="00E56EAC"/>
    <w:rsid w:val="00E61E21"/>
    <w:rsid w:val="00E636CB"/>
    <w:rsid w:val="00E64EE2"/>
    <w:rsid w:val="00E650D6"/>
    <w:rsid w:val="00E65836"/>
    <w:rsid w:val="00E70E7C"/>
    <w:rsid w:val="00E73697"/>
    <w:rsid w:val="00E749D6"/>
    <w:rsid w:val="00E74F2C"/>
    <w:rsid w:val="00E76362"/>
    <w:rsid w:val="00E76B0F"/>
    <w:rsid w:val="00E7737B"/>
    <w:rsid w:val="00E846D4"/>
    <w:rsid w:val="00E84BCF"/>
    <w:rsid w:val="00E85E0A"/>
    <w:rsid w:val="00E86FD2"/>
    <w:rsid w:val="00E900EE"/>
    <w:rsid w:val="00E91946"/>
    <w:rsid w:val="00E92649"/>
    <w:rsid w:val="00E929C7"/>
    <w:rsid w:val="00E9472B"/>
    <w:rsid w:val="00E94C46"/>
    <w:rsid w:val="00E973D2"/>
    <w:rsid w:val="00E9766C"/>
    <w:rsid w:val="00EA5DB0"/>
    <w:rsid w:val="00EB6ACA"/>
    <w:rsid w:val="00EC36E4"/>
    <w:rsid w:val="00EC6C91"/>
    <w:rsid w:val="00EC7CD4"/>
    <w:rsid w:val="00EC7DEA"/>
    <w:rsid w:val="00ED248B"/>
    <w:rsid w:val="00ED28EA"/>
    <w:rsid w:val="00ED37D3"/>
    <w:rsid w:val="00ED3AFB"/>
    <w:rsid w:val="00ED6417"/>
    <w:rsid w:val="00ED66F8"/>
    <w:rsid w:val="00ED6992"/>
    <w:rsid w:val="00EE070D"/>
    <w:rsid w:val="00EE0F4F"/>
    <w:rsid w:val="00EE2524"/>
    <w:rsid w:val="00EE449C"/>
    <w:rsid w:val="00EF2AD8"/>
    <w:rsid w:val="00F00994"/>
    <w:rsid w:val="00F0106A"/>
    <w:rsid w:val="00F02304"/>
    <w:rsid w:val="00F03765"/>
    <w:rsid w:val="00F057F7"/>
    <w:rsid w:val="00F05F12"/>
    <w:rsid w:val="00F06F4B"/>
    <w:rsid w:val="00F07838"/>
    <w:rsid w:val="00F1035E"/>
    <w:rsid w:val="00F12F7C"/>
    <w:rsid w:val="00F16F95"/>
    <w:rsid w:val="00F17004"/>
    <w:rsid w:val="00F21E7A"/>
    <w:rsid w:val="00F21E99"/>
    <w:rsid w:val="00F21F47"/>
    <w:rsid w:val="00F248B1"/>
    <w:rsid w:val="00F25096"/>
    <w:rsid w:val="00F25644"/>
    <w:rsid w:val="00F33998"/>
    <w:rsid w:val="00F342F5"/>
    <w:rsid w:val="00F34BD1"/>
    <w:rsid w:val="00F35809"/>
    <w:rsid w:val="00F36066"/>
    <w:rsid w:val="00F47CEF"/>
    <w:rsid w:val="00F52792"/>
    <w:rsid w:val="00F527D3"/>
    <w:rsid w:val="00F54ADD"/>
    <w:rsid w:val="00F54D8A"/>
    <w:rsid w:val="00F572C6"/>
    <w:rsid w:val="00F61EC0"/>
    <w:rsid w:val="00F664C5"/>
    <w:rsid w:val="00F71ED5"/>
    <w:rsid w:val="00F71F54"/>
    <w:rsid w:val="00F74B83"/>
    <w:rsid w:val="00F753B7"/>
    <w:rsid w:val="00F81C6F"/>
    <w:rsid w:val="00F81C70"/>
    <w:rsid w:val="00F826A3"/>
    <w:rsid w:val="00F86920"/>
    <w:rsid w:val="00F87FA2"/>
    <w:rsid w:val="00F90DB0"/>
    <w:rsid w:val="00F9502F"/>
    <w:rsid w:val="00F95F4B"/>
    <w:rsid w:val="00F97367"/>
    <w:rsid w:val="00FA1E43"/>
    <w:rsid w:val="00FA23AB"/>
    <w:rsid w:val="00FB0FBF"/>
    <w:rsid w:val="00FB1B75"/>
    <w:rsid w:val="00FB1C9B"/>
    <w:rsid w:val="00FB2A16"/>
    <w:rsid w:val="00FB4E20"/>
    <w:rsid w:val="00FB6683"/>
    <w:rsid w:val="00FC2914"/>
    <w:rsid w:val="00FC3EF3"/>
    <w:rsid w:val="00FD0957"/>
    <w:rsid w:val="00FD0C8A"/>
    <w:rsid w:val="00FD1B7C"/>
    <w:rsid w:val="00FD1CD0"/>
    <w:rsid w:val="00FD3340"/>
    <w:rsid w:val="00FD73DC"/>
    <w:rsid w:val="00FE0DF0"/>
    <w:rsid w:val="00FE3907"/>
    <w:rsid w:val="00FE4F6D"/>
    <w:rsid w:val="00FE55F8"/>
    <w:rsid w:val="00FF25A6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F5373"/>
  <w15:chartTrackingRefBased/>
  <w15:docId w15:val="{5C754A46-681F-4B19-B67E-580F5B31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E3"/>
    <w:pPr>
      <w:spacing w:after="160" w:line="259" w:lineRule="auto"/>
      <w:jc w:val="left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0F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FE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D0FE3"/>
    <w:pPr>
      <w:ind w:left="720"/>
      <w:contextualSpacing/>
    </w:pPr>
  </w:style>
  <w:style w:type="paragraph" w:styleId="Textonotapie">
    <w:name w:val="footnote text"/>
    <w:aliases w:val="fn"/>
    <w:basedOn w:val="Normal"/>
    <w:link w:val="TextonotapieCar"/>
    <w:uiPriority w:val="99"/>
    <w:unhideWhenUsed/>
    <w:rsid w:val="007C64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n Car"/>
    <w:basedOn w:val="Fuentedeprrafopredeter"/>
    <w:link w:val="Textonotapie"/>
    <w:uiPriority w:val="99"/>
    <w:rsid w:val="007C6409"/>
    <w:rPr>
      <w:rFonts w:ascii="Calibri" w:eastAsia="Calibri" w:hAnsi="Calibri" w:cs="Calibri"/>
      <w:sz w:val="20"/>
      <w:szCs w:val="20"/>
      <w:lang w:eastAsia="es-PE"/>
    </w:rPr>
  </w:style>
  <w:style w:type="character" w:styleId="Refdenotaalpie">
    <w:name w:val="footnote reference"/>
    <w:aliases w:val="sobrescrito"/>
    <w:basedOn w:val="Fuentedeprrafopredeter"/>
    <w:uiPriority w:val="99"/>
    <w:unhideWhenUsed/>
    <w:rsid w:val="007C640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60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2"/>
    <w:rPr>
      <w:rFonts w:ascii="Calibri" w:eastAsia="Calibri" w:hAnsi="Calibri" w:cs="Calibri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560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2"/>
    <w:rPr>
      <w:rFonts w:ascii="Calibri" w:eastAsia="Calibri" w:hAnsi="Calibri" w:cs="Calibri"/>
      <w:lang w:eastAsia="es-PE"/>
    </w:rPr>
  </w:style>
  <w:style w:type="paragraph" w:styleId="Revisin">
    <w:name w:val="Revision"/>
    <w:hidden/>
    <w:uiPriority w:val="99"/>
    <w:semiHidden/>
    <w:rsid w:val="005C1080"/>
    <w:pPr>
      <w:jc w:val="left"/>
    </w:pPr>
    <w:rPr>
      <w:rFonts w:ascii="Calibri" w:eastAsia="Calibri" w:hAnsi="Calibri" w:cs="Calibri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5E5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56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56FD"/>
    <w:rPr>
      <w:rFonts w:ascii="Calibri" w:eastAsia="Calibri" w:hAnsi="Calibri" w:cs="Calibri"/>
      <w:sz w:val="20"/>
      <w:szCs w:val="20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56FD"/>
    <w:rPr>
      <w:rFonts w:ascii="Calibri" w:eastAsia="Calibri" w:hAnsi="Calibri" w:cs="Calibri"/>
      <w:b/>
      <w:bCs/>
      <w:sz w:val="20"/>
      <w:szCs w:val="20"/>
      <w:lang w:eastAsia="es-PE"/>
    </w:rPr>
  </w:style>
  <w:style w:type="character" w:styleId="Hipervnculo">
    <w:name w:val="Hyperlink"/>
    <w:basedOn w:val="Fuentedeprrafopredeter"/>
    <w:uiPriority w:val="99"/>
    <w:unhideWhenUsed/>
    <w:rsid w:val="008704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s-PE" dirty="0"/>
              <a:t>Ingresos Tributarios netos: enero 2021</a:t>
            </a:r>
            <a:r>
              <a:rPr lang="es-PE" baseline="0" dirty="0"/>
              <a:t> - a</a:t>
            </a:r>
            <a:r>
              <a:rPr lang="es-PE" sz="1081" b="1" i="0" u="none" strike="noStrike" kern="1200" baseline="0" dirty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bril</a:t>
            </a:r>
            <a:r>
              <a:rPr lang="es-PE" dirty="0"/>
              <a:t> 2023 </a:t>
            </a:r>
          </a:p>
          <a:p>
            <a:pPr algn="ctr">
              <a:defRPr/>
            </a:pPr>
            <a:r>
              <a:rPr lang="es-PE" sz="1000" b="0" dirty="0"/>
              <a:t>En millones de soles y var. % real anual </a:t>
            </a:r>
          </a:p>
        </c:rich>
      </c:tx>
      <c:layout>
        <c:manualLayout>
          <c:xMode val="edge"/>
          <c:yMode val="edge"/>
          <c:x val="0.17630503083666266"/>
          <c:y val="2.92483281920064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117973843418691"/>
          <c:y val="0.24237038551999182"/>
          <c:w val="0.82001202628704384"/>
          <c:h val="0.6011669531874553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6350" cap="flat" cmpd="sng" algn="ctr">
              <a:solidFill>
                <a:schemeClr val="bg1">
                  <a:lumMod val="75000"/>
                </a:schemeClr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51C-440D-B5EE-1E9E67E57773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/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2-451C-440D-B5EE-1E9E67E5777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51C-440D-B5EE-1E9E67E5777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451C-440D-B5EE-1E9E67E57773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451C-440D-B5EE-1E9E67E57773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451C-440D-B5EE-1E9E67E57773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451C-440D-B5EE-1E9E67E57773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451C-440D-B5EE-1E9E67E57773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451C-440D-B5EE-1E9E67E57773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451C-440D-B5EE-1E9E67E57773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451C-440D-B5EE-1E9E67E57773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451C-440D-B5EE-1E9E67E57773}"/>
              </c:ext>
            </c:extLst>
          </c:dPt>
          <c:dPt>
            <c:idx val="13"/>
            <c:invertIfNegative val="0"/>
            <c:bubble3D val="0"/>
            <c:spPr>
              <a:solidFill>
                <a:schemeClr val="bg2"/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F-451C-440D-B5EE-1E9E67E57773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451C-440D-B5EE-1E9E67E57773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2-451C-440D-B5EE-1E9E67E57773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451C-440D-B5EE-1E9E67E57773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451C-440D-B5EE-1E9E67E57773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451C-440D-B5EE-1E9E67E57773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451C-440D-B5EE-1E9E67E57773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451C-440D-B5EE-1E9E67E57773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451C-440D-B5EE-1E9E67E57773}"/>
              </c:ext>
            </c:extLst>
          </c:dPt>
          <c:dPt>
            <c:idx val="25"/>
            <c:invertIfNegative val="0"/>
            <c:bubble3D val="0"/>
            <c:spPr>
              <a:solidFill>
                <a:schemeClr val="bg2"/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A-451C-440D-B5EE-1E9E67E57773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451C-440D-B5EE-1E9E67E57773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D-451C-440D-B5EE-1E9E67E57773}"/>
              </c:ext>
            </c:extLst>
          </c:dPt>
          <c:dLbls>
            <c:dLbl>
              <c:idx val="3"/>
              <c:layout>
                <c:manualLayout>
                  <c:x val="2.403846153846154E-3"/>
                  <c:y val="-0.304616849119466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1C-440D-B5EE-1E9E67E57773}"/>
                </c:ext>
              </c:extLst>
            </c:dLbl>
            <c:dLbl>
              <c:idx val="15"/>
              <c:layout>
                <c:manualLayout>
                  <c:x val="7.2115384615383735E-3"/>
                  <c:y val="-0.323655402189433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51C-440D-B5EE-1E9E67E57773}"/>
                </c:ext>
              </c:extLst>
            </c:dLbl>
            <c:dLbl>
              <c:idx val="27"/>
              <c:layout>
                <c:manualLayout>
                  <c:x val="-1.7628001488027682E-16"/>
                  <c:y val="-0.27605901951451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51C-440D-B5EE-1E9E67E577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Hoja1!$A$3:$A$65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Hoja1!$B$3:$B$65</c:f>
              <c:numCache>
                <c:formatCode>_ * #,##0_ ;_ * \-#,##0_ ;_ * "-"??_ ;_ @_ </c:formatCode>
                <c:ptCount val="28"/>
                <c:pt idx="0">
                  <c:v>10884.046554359997</c:v>
                </c:pt>
                <c:pt idx="1">
                  <c:v>9536.8798281099971</c:v>
                </c:pt>
                <c:pt idx="2">
                  <c:v>11351.175594279999</c:v>
                </c:pt>
                <c:pt idx="3">
                  <c:v>14826.256401830002</c:v>
                </c:pt>
                <c:pt idx="4">
                  <c:v>9925.2809993499995</c:v>
                </c:pt>
                <c:pt idx="5">
                  <c:v>9794.2515209700014</c:v>
                </c:pt>
                <c:pt idx="6" formatCode="#,##0">
                  <c:v>10337.437530540001</c:v>
                </c:pt>
                <c:pt idx="7">
                  <c:v>13984.812190449999</c:v>
                </c:pt>
                <c:pt idx="8">
                  <c:v>11355.785741029998</c:v>
                </c:pt>
                <c:pt idx="9">
                  <c:v>11222.423474150002</c:v>
                </c:pt>
                <c:pt idx="10">
                  <c:v>13024.725513700001</c:v>
                </c:pt>
                <c:pt idx="11">
                  <c:v>13704.074357199999</c:v>
                </c:pt>
                <c:pt idx="12">
                  <c:v>12804.69226163</c:v>
                </c:pt>
                <c:pt idx="13">
                  <c:v>10652.446645609998</c:v>
                </c:pt>
                <c:pt idx="14">
                  <c:v>16488.103568888531</c:v>
                </c:pt>
                <c:pt idx="15">
                  <c:v>20914.053360369995</c:v>
                </c:pt>
                <c:pt idx="16">
                  <c:v>12643.416441650001</c:v>
                </c:pt>
                <c:pt idx="17">
                  <c:v>11041.045938049992</c:v>
                </c:pt>
                <c:pt idx="18">
                  <c:v>11273.26116718</c:v>
                </c:pt>
                <c:pt idx="19">
                  <c:v>12509.620812179997</c:v>
                </c:pt>
                <c:pt idx="20">
                  <c:v>12942.473119017002</c:v>
                </c:pt>
                <c:pt idx="21">
                  <c:v>12307.335348053717</c:v>
                </c:pt>
                <c:pt idx="22">
                  <c:v>12215.22920931</c:v>
                </c:pt>
                <c:pt idx="23">
                  <c:v>11985.288275590832</c:v>
                </c:pt>
                <c:pt idx="24">
                  <c:v>13389.35610626</c:v>
                </c:pt>
                <c:pt idx="25">
                  <c:v>11851.2126949637</c:v>
                </c:pt>
                <c:pt idx="26">
                  <c:v>15257.13897516</c:v>
                </c:pt>
                <c:pt idx="27">
                  <c:v>16532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451C-440D-B5EE-1E9E67E577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5"/>
        <c:overlap val="100"/>
        <c:axId val="140125312"/>
        <c:axId val="140126848"/>
      </c:barChart>
      <c:lineChart>
        <c:grouping val="standard"/>
        <c:varyColors val="0"/>
        <c:ser>
          <c:idx val="4"/>
          <c:order val="1"/>
          <c:tx>
            <c:strRef>
              <c:f>Hoja1!$C$1</c:f>
              <c:strCache>
                <c:ptCount val="1"/>
                <c:pt idx="0">
                  <c:v>Var % Real</c:v>
                </c:pt>
              </c:strCache>
            </c:strRef>
          </c:tx>
          <c:spPr>
            <a:ln w="28575">
              <a:solidFill>
                <a:srgbClr val="0070C0"/>
              </a:solidFill>
            </a:ln>
            <a:effectLst/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51C-440D-B5EE-1E9E67E57773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451C-440D-B5EE-1E9E67E57773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451C-440D-B5EE-1E9E67E57773}"/>
                </c:ext>
              </c:extLst>
            </c:dLbl>
            <c:dLbl>
              <c:idx val="2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451C-440D-B5EE-1E9E67E577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Hoja1!$A$3:$A$65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Hoja1!$C$3:$C$65</c:f>
              <c:numCache>
                <c:formatCode>0.0</c:formatCode>
                <c:ptCount val="28"/>
                <c:pt idx="0">
                  <c:v>-3.696213895928413</c:v>
                </c:pt>
                <c:pt idx="1">
                  <c:v>15.993971224893677</c:v>
                </c:pt>
                <c:pt idx="2">
                  <c:v>42.141007342346583</c:v>
                </c:pt>
                <c:pt idx="3">
                  <c:v>86.568895142528348</c:v>
                </c:pt>
                <c:pt idx="4">
                  <c:v>32.754922192584402</c:v>
                </c:pt>
                <c:pt idx="5">
                  <c:v>109.80803205535312</c:v>
                </c:pt>
                <c:pt idx="6" formatCode="#,##0.0">
                  <c:v>55.435946798987558</c:v>
                </c:pt>
                <c:pt idx="7">
                  <c:v>88.204773392410615</c:v>
                </c:pt>
                <c:pt idx="8">
                  <c:v>49.85212980181015</c:v>
                </c:pt>
                <c:pt idx="9">
                  <c:v>31.563428853225872</c:v>
                </c:pt>
                <c:pt idx="10">
                  <c:v>43.291641276157009</c:v>
                </c:pt>
                <c:pt idx="11">
                  <c:v>37.369704161552299</c:v>
                </c:pt>
                <c:pt idx="12">
                  <c:v>11.318089730977432</c:v>
                </c:pt>
                <c:pt idx="13">
                  <c:v>5.2289299609185935</c:v>
                </c:pt>
                <c:pt idx="14">
                  <c:v>35.97552175435419</c:v>
                </c:pt>
                <c:pt idx="15">
                  <c:v>30.654722809497571</c:v>
                </c:pt>
                <c:pt idx="16">
                  <c:v>17.850529113710898</c:v>
                </c:pt>
                <c:pt idx="17">
                  <c:v>3.5999735893636586</c:v>
                </c:pt>
                <c:pt idx="18">
                  <c:v>0.28685429824295561</c:v>
                </c:pt>
                <c:pt idx="19">
                  <c:v>-17.478668682880805</c:v>
                </c:pt>
                <c:pt idx="20">
                  <c:v>5.014375035767582</c:v>
                </c:pt>
                <c:pt idx="21">
                  <c:v>1.2847651650856218</c:v>
                </c:pt>
                <c:pt idx="22">
                  <c:v>-13.522495438938842</c:v>
                </c:pt>
                <c:pt idx="23">
                  <c:v>-19.364959675063453</c:v>
                </c:pt>
                <c:pt idx="24">
                  <c:v>-3.7714831957618302</c:v>
                </c:pt>
                <c:pt idx="25">
                  <c:v>2.4000075873695126</c:v>
                </c:pt>
                <c:pt idx="26">
                  <c:v>-14.636775149535829</c:v>
                </c:pt>
                <c:pt idx="27">
                  <c:v>-26.8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3-451C-440D-B5EE-1E9E67E577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128640"/>
        <c:axId val="140130176"/>
      </c:lineChart>
      <c:catAx>
        <c:axId val="14012531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600"/>
            </a:pPr>
            <a:endParaRPr lang="es-PE"/>
          </a:p>
        </c:txPr>
        <c:crossAx val="140126848"/>
        <c:crosses val="autoZero"/>
        <c:auto val="1"/>
        <c:lblAlgn val="ctr"/>
        <c:lblOffset val="100"/>
        <c:noMultiLvlLbl val="1"/>
      </c:catAx>
      <c:valAx>
        <c:axId val="140126848"/>
        <c:scaling>
          <c:orientation val="minMax"/>
          <c:max val="21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ln w="8578">
            <a:solidFill>
              <a:schemeClr val="tx1">
                <a:alpha val="66000"/>
              </a:schemeClr>
            </a:solidFill>
          </a:ln>
        </c:spPr>
        <c:txPr>
          <a:bodyPr/>
          <a:lstStyle/>
          <a:p>
            <a:pPr>
              <a:defRPr sz="800"/>
            </a:pPr>
            <a:endParaRPr lang="es-PE"/>
          </a:p>
        </c:txPr>
        <c:crossAx val="140125312"/>
        <c:crosses val="autoZero"/>
        <c:crossBetween val="between"/>
      </c:valAx>
      <c:catAx>
        <c:axId val="140128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0130176"/>
        <c:crosses val="autoZero"/>
        <c:auto val="1"/>
        <c:lblAlgn val="ctr"/>
        <c:lblOffset val="100"/>
        <c:noMultiLvlLbl val="1"/>
      </c:catAx>
      <c:valAx>
        <c:axId val="140130176"/>
        <c:scaling>
          <c:orientation val="minMax"/>
        </c:scaling>
        <c:delete val="0"/>
        <c:axPos val="r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solidFill>
                  <a:schemeClr val="accent5"/>
                </a:solidFill>
              </a:defRPr>
            </a:pPr>
            <a:endParaRPr lang="es-PE"/>
          </a:p>
        </c:txPr>
        <c:crossAx val="140128640"/>
        <c:crosses val="max"/>
        <c:crossBetween val="between"/>
      </c:valAx>
      <c:spPr>
        <a:noFill/>
        <a:ln w="22874">
          <a:noFill/>
        </a:ln>
      </c:spPr>
    </c:plotArea>
    <c:legend>
      <c:legendPos val="b"/>
      <c:layout>
        <c:manualLayout>
          <c:xMode val="edge"/>
          <c:yMode val="edge"/>
          <c:x val="0.1488837468517428"/>
          <c:y val="0.92207849018872645"/>
          <c:w val="0.68476080688425112"/>
          <c:h val="6.6691781451846815E-2"/>
        </c:manualLayout>
      </c:layout>
      <c:overlay val="0"/>
      <c:txPr>
        <a:bodyPr/>
        <a:lstStyle/>
        <a:p>
          <a:pPr>
            <a:defRPr sz="800"/>
          </a:pPr>
          <a:endParaRPr lang="es-PE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1" baseline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P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/>
            </a:pPr>
            <a:r>
              <a:rPr lang="es-PE" sz="1000" dirty="0"/>
              <a:t>Impuesto a la Renta: 2021 - 2023 </a:t>
            </a:r>
          </a:p>
          <a:p>
            <a:pPr algn="l">
              <a:defRPr sz="1000"/>
            </a:pPr>
            <a:r>
              <a:rPr lang="es-PE" sz="1000" b="0" dirty="0"/>
              <a:t>En millones de soles y Var. % real anual </a:t>
            </a:r>
          </a:p>
        </c:rich>
      </c:tx>
      <c:layout>
        <c:manualLayout>
          <c:xMode val="edge"/>
          <c:yMode val="edge"/>
          <c:x val="1.5008859933117487E-2"/>
          <c:y val="1.052230219073619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27972074556673"/>
          <c:y val="0.18609725139564404"/>
          <c:w val="0.77181208053691219"/>
          <c:h val="0.5466943736169925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6350" cap="flat" cmpd="sng" algn="ctr">
              <a:solidFill>
                <a:schemeClr val="bg1">
                  <a:lumMod val="75000"/>
                </a:schemeClr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3B6-4A57-8482-B23D9E5A5C3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3B6-4A57-8482-B23D9E5A5C3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3B6-4A57-8482-B23D9E5A5C3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B6-4A57-8482-B23D9E5A5C33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43B6-4A57-8482-B23D9E5A5C33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43B6-4A57-8482-B23D9E5A5C33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43B6-4A57-8482-B23D9E5A5C33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43B6-4A57-8482-B23D9E5A5C33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43B6-4A57-8482-B23D9E5A5C33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43B6-4A57-8482-B23D9E5A5C33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43B6-4A57-8482-B23D9E5A5C33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43B6-4A57-8482-B23D9E5A5C33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43B6-4A57-8482-B23D9E5A5C33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43B6-4A57-8482-B23D9E5A5C33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2-43B6-4A57-8482-B23D9E5A5C33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43B6-4A57-8482-B23D9E5A5C33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43B6-4A57-8482-B23D9E5A5C33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43B6-4A57-8482-B23D9E5A5C33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43B6-4A57-8482-B23D9E5A5C33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43B6-4A57-8482-B23D9E5A5C33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43B6-4A57-8482-B23D9E5A5C33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43B6-4A57-8482-B23D9E5A5C33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43B6-4A57-8482-B23D9E5A5C33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99EA-4A2C-A355-732ABE345216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B-7BB7-4236-A74B-078B68227217}"/>
              </c:ext>
            </c:extLst>
          </c:dPt>
          <c:dLbls>
            <c:dLbl>
              <c:idx val="3"/>
              <c:layout>
                <c:manualLayout>
                  <c:x val="0"/>
                  <c:y val="-0.108416547788873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B6-4A57-8482-B23D9E5A5C33}"/>
                </c:ext>
              </c:extLst>
            </c:dLbl>
            <c:dLbl>
              <c:idx val="15"/>
              <c:layout>
                <c:manualLayout>
                  <c:x val="-9.1232254528732467E-17"/>
                  <c:y val="-0.279600570613409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B6-4A57-8482-B23D9E5A5C33}"/>
                </c:ext>
              </c:extLst>
            </c:dLbl>
            <c:dLbl>
              <c:idx val="27"/>
              <c:layout>
                <c:manualLayout>
                  <c:x val="7.4645434187608859E-3"/>
                  <c:y val="-0.205420827389443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7BB7-4236-A74B-078B6822721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Hoja1!$B$2:$B$53</c:f>
              <c:numCache>
                <c:formatCode>_ * #,##0_ ;_ * \-#,##0_ ;_ * "-"??_ ;_ @_ </c:formatCode>
                <c:ptCount val="28"/>
                <c:pt idx="0">
                  <c:v>4471.9462622699994</c:v>
                </c:pt>
                <c:pt idx="1">
                  <c:v>3695.7075470399996</c:v>
                </c:pt>
                <c:pt idx="2">
                  <c:v>5752.7969224099998</c:v>
                </c:pt>
                <c:pt idx="3">
                  <c:v>8125.5638842900016</c:v>
                </c:pt>
                <c:pt idx="4">
                  <c:v>3353.3452668999998</c:v>
                </c:pt>
                <c:pt idx="5">
                  <c:v>3649.2751305399993</c:v>
                </c:pt>
                <c:pt idx="6">
                  <c:v>4165.6857682400005</c:v>
                </c:pt>
                <c:pt idx="7">
                  <c:v>3827.2850066399997</c:v>
                </c:pt>
                <c:pt idx="8">
                  <c:v>3933.3115622300002</c:v>
                </c:pt>
                <c:pt idx="9">
                  <c:v>4317.146560879999</c:v>
                </c:pt>
                <c:pt idx="10">
                  <c:v>4163.7431395999993</c:v>
                </c:pt>
                <c:pt idx="11">
                  <c:v>5421.1817133199993</c:v>
                </c:pt>
                <c:pt idx="12">
                  <c:v>5455.3902150000004</c:v>
                </c:pt>
                <c:pt idx="13">
                  <c:v>4269.627168349999</c:v>
                </c:pt>
                <c:pt idx="14">
                  <c:v>10690.652271559999</c:v>
                </c:pt>
                <c:pt idx="15">
                  <c:v>13604.517631609999</c:v>
                </c:pt>
                <c:pt idx="16">
                  <c:v>4678.8152603900016</c:v>
                </c:pt>
                <c:pt idx="17">
                  <c:v>4406.2783848900026</c:v>
                </c:pt>
                <c:pt idx="18">
                  <c:v>4218.2969078700007</c:v>
                </c:pt>
                <c:pt idx="19">
                  <c:v>4219.645626919998</c:v>
                </c:pt>
                <c:pt idx="20">
                  <c:v>4366.6837682199994</c:v>
                </c:pt>
                <c:pt idx="21">
                  <c:v>5011.9027635800003</c:v>
                </c:pt>
                <c:pt idx="22">
                  <c:v>4264.0878229</c:v>
                </c:pt>
                <c:pt idx="23">
                  <c:v>4735.6417137999997</c:v>
                </c:pt>
                <c:pt idx="24">
                  <c:v>5886.4057224300004</c:v>
                </c:pt>
                <c:pt idx="25">
                  <c:v>5171.7336311600002</c:v>
                </c:pt>
                <c:pt idx="26">
                  <c:v>8904.57399687</c:v>
                </c:pt>
                <c:pt idx="27">
                  <c:v>9694.0114483299985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43B6-4A57-8482-B23D9E5A5C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5"/>
        <c:overlap val="100"/>
        <c:axId val="144871808"/>
        <c:axId val="144873344"/>
      </c:barChart>
      <c:lineChart>
        <c:grouping val="standard"/>
        <c:varyColors val="0"/>
        <c:ser>
          <c:idx val="4"/>
          <c:order val="1"/>
          <c:tx>
            <c:strRef>
              <c:f>Hoja1!$C$1</c:f>
              <c:strCache>
                <c:ptCount val="1"/>
                <c:pt idx="0">
                  <c:v>Var % Real</c:v>
                </c:pt>
              </c:strCache>
            </c:strRef>
          </c:tx>
          <c:spPr>
            <a:ln w="19050">
              <a:solidFill>
                <a:srgbClr val="0070C0"/>
              </a:solidFill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1.7417267977108734E-2"/>
                  <c:y val="-3.4236804564907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7BB7-4236-A74B-078B68227217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7BB7-4236-A74B-078B68227217}"/>
                </c:ext>
              </c:extLst>
            </c:dLbl>
            <c:dLbl>
              <c:idx val="2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7BB7-4236-A74B-078B6822721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Hoja1!$C$2:$C$53</c:f>
              <c:numCache>
                <c:formatCode>0.0</c:formatCode>
                <c:ptCount val="28"/>
                <c:pt idx="0">
                  <c:v>-0.44023744453924873</c:v>
                </c:pt>
                <c:pt idx="1">
                  <c:v>5.9727246557977898</c:v>
                </c:pt>
                <c:pt idx="2">
                  <c:v>45.468281860599433</c:v>
                </c:pt>
                <c:pt idx="3">
                  <c:v>71.857139961041568</c:v>
                </c:pt>
                <c:pt idx="4">
                  <c:v>-22.703862969507128</c:v>
                </c:pt>
                <c:pt idx="5">
                  <c:v>122.79814895742831</c:v>
                </c:pt>
                <c:pt idx="6">
                  <c:v>68.834529969625422</c:v>
                </c:pt>
                <c:pt idx="7">
                  <c:v>47.733097800044931</c:v>
                </c:pt>
                <c:pt idx="8">
                  <c:v>53.910469281501719</c:v>
                </c:pt>
                <c:pt idx="9">
                  <c:v>36.883178336018993</c:v>
                </c:pt>
                <c:pt idx="10">
                  <c:v>41.688598139310741</c:v>
                </c:pt>
                <c:pt idx="11">
                  <c:v>66.577098393572356</c:v>
                </c:pt>
                <c:pt idx="12">
                  <c:v>15.429345933877059</c:v>
                </c:pt>
                <c:pt idx="13">
                  <c:v>8.838977544229687</c:v>
                </c:pt>
                <c:pt idx="14">
                  <c:v>73.962629163210167</c:v>
                </c:pt>
                <c:pt idx="15">
                  <c:v>55.077234026768473</c:v>
                </c:pt>
                <c:pt idx="16">
                  <c:v>29.082548546419716</c:v>
                </c:pt>
                <c:pt idx="17">
                  <c:v>10.964996847800034</c:v>
                </c:pt>
                <c:pt idx="18">
                  <c:v>-6.8767816643242501</c:v>
                </c:pt>
                <c:pt idx="19">
                  <c:v>1.7100694937971506</c:v>
                </c:pt>
                <c:pt idx="20">
                  <c:v>2.2925916342797281</c:v>
                </c:pt>
                <c:pt idx="21">
                  <c:v>7.2202642219105551</c:v>
                </c:pt>
                <c:pt idx="22">
                  <c:v>-5.5670088818937753</c:v>
                </c:pt>
                <c:pt idx="23">
                  <c:v>-19.399999999999999</c:v>
                </c:pt>
                <c:pt idx="24">
                  <c:v>-0.70265935607960461</c:v>
                </c:pt>
                <c:pt idx="25">
                  <c:v>11.489189745414796</c:v>
                </c:pt>
                <c:pt idx="26">
                  <c:v>-23.161768330198473</c:v>
                </c:pt>
                <c:pt idx="27">
                  <c:v>-34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0-43B6-4A57-8482-B23D9E5A5C33}"/>
            </c:ext>
          </c:extLst>
        </c:ser>
        <c:ser>
          <c:idx val="1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12700">
              <a:solidFill>
                <a:schemeClr val="accent1"/>
              </a:solidFill>
              <a:prstDash val="dash"/>
            </a:ln>
          </c:spPr>
          <c:marker>
            <c:symbol val="none"/>
          </c:marker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Hoja1!$D$2:$D$53</c:f>
              <c:numCache>
                <c:formatCode>General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43B6-4A57-8482-B23D9E5A5C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874880"/>
        <c:axId val="147063936"/>
      </c:lineChart>
      <c:catAx>
        <c:axId val="1448718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480"/>
            </a:pPr>
            <a:endParaRPr lang="es-PE"/>
          </a:p>
        </c:txPr>
        <c:crossAx val="144873344"/>
        <c:crosses val="autoZero"/>
        <c:auto val="1"/>
        <c:lblAlgn val="ctr"/>
        <c:lblOffset val="100"/>
        <c:noMultiLvlLbl val="1"/>
      </c:catAx>
      <c:valAx>
        <c:axId val="144873344"/>
        <c:scaling>
          <c:orientation val="minMax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ln w="8578">
            <a:solidFill>
              <a:schemeClr val="tx1">
                <a:alpha val="66000"/>
              </a:schemeClr>
            </a:solidFill>
          </a:ln>
        </c:spPr>
        <c:txPr>
          <a:bodyPr/>
          <a:lstStyle/>
          <a:p>
            <a:pPr>
              <a:defRPr sz="700"/>
            </a:pPr>
            <a:endParaRPr lang="es-PE"/>
          </a:p>
        </c:txPr>
        <c:crossAx val="144871808"/>
        <c:crosses val="autoZero"/>
        <c:crossBetween val="between"/>
      </c:valAx>
      <c:catAx>
        <c:axId val="144874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7063936"/>
        <c:crosses val="autoZero"/>
        <c:auto val="1"/>
        <c:lblAlgn val="ctr"/>
        <c:lblOffset val="100"/>
        <c:noMultiLvlLbl val="1"/>
      </c:catAx>
      <c:valAx>
        <c:axId val="147063936"/>
        <c:scaling>
          <c:orientation val="minMax"/>
        </c:scaling>
        <c:delete val="0"/>
        <c:axPos val="r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solidFill>
                  <a:schemeClr val="accent5"/>
                </a:solidFill>
              </a:defRPr>
            </a:pPr>
            <a:endParaRPr lang="es-PE"/>
          </a:p>
        </c:txPr>
        <c:crossAx val="144874880"/>
        <c:crosses val="max"/>
        <c:crossBetween val="between"/>
      </c:valAx>
      <c:spPr>
        <a:noFill/>
        <a:ln w="2287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0825664706815852"/>
          <c:y val="0.85876169734102381"/>
          <c:w val="0.52549993828527097"/>
          <c:h val="9.024675107100974E-2"/>
        </c:manualLayout>
      </c:layout>
      <c:overlay val="0"/>
      <c:txPr>
        <a:bodyPr/>
        <a:lstStyle/>
        <a:p>
          <a:pPr>
            <a:defRPr sz="800"/>
          </a:pPr>
          <a:endParaRPr lang="es-PE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1" baseline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P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/>
            </a:pPr>
            <a:r>
              <a:rPr lang="es-PE" sz="1000" dirty="0"/>
              <a:t>Impuesto General a las</a:t>
            </a:r>
            <a:r>
              <a:rPr lang="es-PE" sz="1000" baseline="0" dirty="0"/>
              <a:t> Ventas</a:t>
            </a:r>
            <a:r>
              <a:rPr lang="es-PE" sz="1000" dirty="0"/>
              <a:t>: 2021 - 2023 </a:t>
            </a:r>
          </a:p>
          <a:p>
            <a:pPr algn="l">
              <a:defRPr sz="1000"/>
            </a:pPr>
            <a:r>
              <a:rPr lang="es-PE" sz="1000" b="0" dirty="0"/>
              <a:t>En millones de soles y Var. % real anual </a:t>
            </a:r>
          </a:p>
        </c:rich>
      </c:tx>
      <c:layout>
        <c:manualLayout>
          <c:xMode val="edge"/>
          <c:yMode val="edge"/>
          <c:x val="1.5008859933117487E-2"/>
          <c:y val="1.052230219073619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27972074556673"/>
          <c:y val="0.20892182271403034"/>
          <c:w val="0.77181208053691219"/>
          <c:h val="0.523869669472777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6350" cap="flat" cmpd="sng" algn="ctr">
              <a:solidFill>
                <a:schemeClr val="bg1">
                  <a:lumMod val="75000"/>
                </a:schemeClr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A58-4348-8083-5575CD91DB61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A58-4348-8083-5575CD91DB61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A58-4348-8083-5575CD91DB6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4-5A58-4348-8083-5575CD91DB61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A58-4348-8083-5575CD91DB61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5A58-4348-8083-5575CD91DB61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5A58-4348-8083-5575CD91DB61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5A58-4348-8083-5575CD91DB61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A58-4348-8083-5575CD91DB61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5A58-4348-8083-5575CD91DB61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5A58-4348-8083-5575CD91DB61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5A58-4348-8083-5575CD91DB61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5A58-4348-8083-5575CD91DB61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5A58-4348-8083-5575CD91DB61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0-5A58-4348-8083-5575CD91DB61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5A58-4348-8083-5575CD91DB61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5A58-4348-8083-5575CD91DB61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5A58-4348-8083-5575CD91DB61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5A58-4348-8083-5575CD91DB61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5A58-4348-8083-5575CD91DB61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5A58-4348-8083-5575CD91DB61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5A58-4348-8083-5575CD91DB61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5A58-4348-8083-5575CD91DB61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3723-45AF-A3A8-EA6EAFAD53A8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B-05B2-499D-A1FE-4ED993419D96}"/>
              </c:ext>
            </c:extLst>
          </c:dPt>
          <c:dLbls>
            <c:dLbl>
              <c:idx val="3"/>
              <c:layout>
                <c:manualLayout>
                  <c:x val="-5.1216389244558257E-3"/>
                  <c:y val="-0.211764705882352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58-4348-8083-5575CD91DB61}"/>
                </c:ext>
              </c:extLst>
            </c:dLbl>
            <c:dLbl>
              <c:idx val="15"/>
              <c:layout>
                <c:manualLayout>
                  <c:x val="0"/>
                  <c:y val="-0.223529411764705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A58-4348-8083-5575CD91DB61}"/>
                </c:ext>
              </c:extLst>
            </c:dLbl>
            <c:dLbl>
              <c:idx val="27"/>
              <c:layout>
                <c:manualLayout>
                  <c:x val="-2.5608194622279128E-3"/>
                  <c:y val="-0.22941176470588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5B2-499D-A1FE-4ED993419D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Hoja1!$B$2:$B$53</c:f>
              <c:numCache>
                <c:formatCode>_ * #,##0_ ;_ * \-#,##0_ ;_ * "-"??_ ;_ @_ </c:formatCode>
                <c:ptCount val="28"/>
                <c:pt idx="0">
                  <c:v>6343.6893576983939</c:v>
                </c:pt>
                <c:pt idx="1">
                  <c:v>5623.6288904024132</c:v>
                </c:pt>
                <c:pt idx="2">
                  <c:v>6093.3190117378572</c:v>
                </c:pt>
                <c:pt idx="3">
                  <c:v>5906.2370168636126</c:v>
                </c:pt>
                <c:pt idx="4">
                  <c:v>6022.1384266739315</c:v>
                </c:pt>
                <c:pt idx="5">
                  <c:v>6170.4570452325506</c:v>
                </c:pt>
                <c:pt idx="6">
                  <c:v>6235.3764663249322</c:v>
                </c:pt>
                <c:pt idx="7">
                  <c:v>7004.1239552114903</c:v>
                </c:pt>
                <c:pt idx="8">
                  <c:v>6863.384087718151</c:v>
                </c:pt>
                <c:pt idx="9">
                  <c:v>6574.5597955193634</c:v>
                </c:pt>
                <c:pt idx="10">
                  <c:v>7487.3287247026319</c:v>
                </c:pt>
                <c:pt idx="11">
                  <c:v>7773.3392810805344</c:v>
                </c:pt>
                <c:pt idx="12">
                  <c:v>7837.8744152137442</c:v>
                </c:pt>
                <c:pt idx="13">
                  <c:v>6495.0821647086959</c:v>
                </c:pt>
                <c:pt idx="14">
                  <c:v>7036.728550604792</c:v>
                </c:pt>
                <c:pt idx="15">
                  <c:v>6974.0671460806752</c:v>
                </c:pt>
                <c:pt idx="16">
                  <c:v>7517.5186494777645</c:v>
                </c:pt>
                <c:pt idx="17">
                  <c:v>6901.4268986379393</c:v>
                </c:pt>
                <c:pt idx="18">
                  <c:v>7087.8074243599794</c:v>
                </c:pt>
                <c:pt idx="19">
                  <c:v>8248.425389266944</c:v>
                </c:pt>
                <c:pt idx="20">
                  <c:v>7878.4659589791609</c:v>
                </c:pt>
                <c:pt idx="21">
                  <c:v>7570.2773743994894</c:v>
                </c:pt>
                <c:pt idx="22">
                  <c:v>7704.9884862916651</c:v>
                </c:pt>
                <c:pt idx="23">
                  <c:v>7051.8799201166985</c:v>
                </c:pt>
                <c:pt idx="24">
                  <c:v>7937.2199861947502</c:v>
                </c:pt>
                <c:pt idx="25">
                  <c:v>6567.5429748180704</c:v>
                </c:pt>
                <c:pt idx="26">
                  <c:v>6907.6321761391991</c:v>
                </c:pt>
                <c:pt idx="27">
                  <c:v>6276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5A58-4348-8083-5575CD91D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5"/>
        <c:overlap val="100"/>
        <c:axId val="144871808"/>
        <c:axId val="144873344"/>
      </c:barChart>
      <c:lineChart>
        <c:grouping val="standard"/>
        <c:varyColors val="0"/>
        <c:ser>
          <c:idx val="4"/>
          <c:order val="1"/>
          <c:tx>
            <c:strRef>
              <c:f>Hoja1!$C$1</c:f>
              <c:strCache>
                <c:ptCount val="1"/>
                <c:pt idx="0">
                  <c:v>Var % Real</c:v>
                </c:pt>
              </c:strCache>
            </c:strRef>
          </c:tx>
          <c:spPr>
            <a:ln w="19050">
              <a:solidFill>
                <a:srgbClr val="0070C0"/>
              </a:solidFill>
            </a:ln>
            <a:effectLst/>
          </c:spPr>
          <c:marker>
            <c:symbol val="none"/>
          </c:marker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5B2-499D-A1FE-4ED993419D96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5B2-499D-A1FE-4ED993419D96}"/>
                </c:ext>
              </c:extLst>
            </c:dLbl>
            <c:dLbl>
              <c:idx val="2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5B2-499D-A1FE-4ED993419D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Hoja1!$C$2:$C$53</c:f>
              <c:numCache>
                <c:formatCode>0.0</c:formatCode>
                <c:ptCount val="28"/>
                <c:pt idx="0">
                  <c:v>-3.334541013896386</c:v>
                </c:pt>
                <c:pt idx="1">
                  <c:v>12.760649894470788</c:v>
                </c:pt>
                <c:pt idx="2">
                  <c:v>41.409243852701707</c:v>
                </c:pt>
                <c:pt idx="3">
                  <c:v>70.748239312387611</c:v>
                </c:pt>
                <c:pt idx="4">
                  <c:v>82.261773333039855</c:v>
                </c:pt>
                <c:pt idx="5">
                  <c:v>79.60964370400545</c:v>
                </c:pt>
                <c:pt idx="6">
                  <c:v>48.618547859661135</c:v>
                </c:pt>
                <c:pt idx="7">
                  <c:v>48.968345980000706</c:v>
                </c:pt>
                <c:pt idx="8">
                  <c:v>34.259213448754508</c:v>
                </c:pt>
                <c:pt idx="9">
                  <c:v>19.445027952645244</c:v>
                </c:pt>
                <c:pt idx="10">
                  <c:v>30.6468470021805</c:v>
                </c:pt>
                <c:pt idx="11">
                  <c:v>22.093688133375068</c:v>
                </c:pt>
                <c:pt idx="12">
                  <c:v>16.907771790801984</c:v>
                </c:pt>
                <c:pt idx="13">
                  <c:v>8.8078159080318805</c:v>
                </c:pt>
                <c:pt idx="14">
                  <c:v>8.1054737731598223</c:v>
                </c:pt>
                <c:pt idx="15">
                  <c:v>9.3688538410029452</c:v>
                </c:pt>
                <c:pt idx="16">
                  <c:v>15.487155652260176</c:v>
                </c:pt>
                <c:pt idx="17">
                  <c:v>2.7879582382656531</c:v>
                </c:pt>
                <c:pt idx="18">
                  <c:v>4.5337591656852361</c:v>
                </c:pt>
                <c:pt idx="19">
                  <c:v>8.6415623277861009</c:v>
                </c:pt>
                <c:pt idx="20">
                  <c:v>5.7679649106155528</c:v>
                </c:pt>
                <c:pt idx="21">
                  <c:v>6.3447713352838608</c:v>
                </c:pt>
                <c:pt idx="22">
                  <c:v>-5.1086493015763068</c:v>
                </c:pt>
                <c:pt idx="23">
                  <c:v>-16.356722833981017</c:v>
                </c:pt>
                <c:pt idx="24">
                  <c:v>-6.8069850954074003</c:v>
                </c:pt>
                <c:pt idx="25">
                  <c:v>-6.9310449468802604</c:v>
                </c:pt>
                <c:pt idx="26">
                  <c:v>-9.4419996888319151</c:v>
                </c:pt>
                <c:pt idx="27">
                  <c:v>-16.600000000000001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D-5A58-4348-8083-5575CD91DB61}"/>
            </c:ext>
          </c:extLst>
        </c:ser>
        <c:ser>
          <c:idx val="1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12700">
              <a:solidFill>
                <a:schemeClr val="accent1"/>
              </a:solidFill>
              <a:prstDash val="dash"/>
            </a:ln>
          </c:spPr>
          <c:marker>
            <c:symbol val="none"/>
          </c:marker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Hoja1!$D$2:$D$53</c:f>
              <c:numCache>
                <c:formatCode>General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E-5A58-4348-8083-5575CD91DB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874880"/>
        <c:axId val="147063936"/>
      </c:lineChart>
      <c:catAx>
        <c:axId val="1448718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475"/>
            </a:pPr>
            <a:endParaRPr lang="es-PE"/>
          </a:p>
        </c:txPr>
        <c:crossAx val="144873344"/>
        <c:crosses val="autoZero"/>
        <c:auto val="1"/>
        <c:lblAlgn val="ctr"/>
        <c:lblOffset val="100"/>
        <c:noMultiLvlLbl val="1"/>
      </c:catAx>
      <c:valAx>
        <c:axId val="144873344"/>
        <c:scaling>
          <c:orientation val="minMax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ln w="8578">
            <a:solidFill>
              <a:schemeClr val="tx1">
                <a:alpha val="66000"/>
              </a:schemeClr>
            </a:solidFill>
          </a:ln>
        </c:spPr>
        <c:txPr>
          <a:bodyPr/>
          <a:lstStyle/>
          <a:p>
            <a:pPr>
              <a:defRPr sz="700"/>
            </a:pPr>
            <a:endParaRPr lang="es-PE"/>
          </a:p>
        </c:txPr>
        <c:crossAx val="144871808"/>
        <c:crosses val="autoZero"/>
        <c:crossBetween val="between"/>
      </c:valAx>
      <c:catAx>
        <c:axId val="144874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7063936"/>
        <c:crosses val="autoZero"/>
        <c:auto val="1"/>
        <c:lblAlgn val="ctr"/>
        <c:lblOffset val="100"/>
        <c:noMultiLvlLbl val="1"/>
      </c:catAx>
      <c:valAx>
        <c:axId val="147063936"/>
        <c:scaling>
          <c:orientation val="minMax"/>
        </c:scaling>
        <c:delete val="0"/>
        <c:axPos val="r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solidFill>
                  <a:schemeClr val="accent5"/>
                </a:solidFill>
              </a:defRPr>
            </a:pPr>
            <a:endParaRPr lang="es-PE"/>
          </a:p>
        </c:txPr>
        <c:crossAx val="144874880"/>
        <c:crosses val="max"/>
        <c:crossBetween val="between"/>
      </c:valAx>
      <c:spPr>
        <a:noFill/>
        <a:ln w="2287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4.9013015370068205E-2"/>
          <c:y val="0.87091998115620151"/>
          <c:w val="0.88035227436764107"/>
          <c:h val="5.0904612950778416E-2"/>
        </c:manualLayout>
      </c:layout>
      <c:overlay val="0"/>
      <c:txPr>
        <a:bodyPr/>
        <a:lstStyle/>
        <a:p>
          <a:pPr>
            <a:defRPr sz="800"/>
          </a:pPr>
          <a:endParaRPr lang="es-PE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1" baseline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PE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/>
            </a:pPr>
            <a:r>
              <a:rPr lang="es-PE" sz="1000" dirty="0"/>
              <a:t>Impuesto Selectivo al Consumo: 2021 -2023 </a:t>
            </a:r>
          </a:p>
          <a:p>
            <a:pPr algn="l">
              <a:defRPr sz="1000"/>
            </a:pPr>
            <a:r>
              <a:rPr lang="es-PE" sz="1000" b="0" dirty="0"/>
              <a:t>En millones de soles y Var. % real anual </a:t>
            </a:r>
          </a:p>
        </c:rich>
      </c:tx>
      <c:layout>
        <c:manualLayout>
          <c:xMode val="edge"/>
          <c:yMode val="edge"/>
          <c:x val="2.4264200334386176E-3"/>
          <c:y val="5.062731125113082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898939773814339"/>
          <c:y val="0.25506406373759494"/>
          <c:w val="0.77181208053691219"/>
          <c:h val="0.5395807085264757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chemeClr val="bg2"/>
            </a:solidFill>
            <a:ln w="6350" cap="flat" cmpd="sng" algn="ctr">
              <a:solidFill>
                <a:schemeClr val="bg1">
                  <a:lumMod val="75000"/>
                </a:schemeClr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71C-4F20-BB91-8C432F91D309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71C-4F20-BB91-8C432F91D309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271C-4F20-BB91-8C432F91D30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4-271C-4F20-BB91-8C432F91D309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71C-4F20-BB91-8C432F91D309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71C-4F20-BB91-8C432F91D309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71C-4F20-BB91-8C432F91D309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71C-4F20-BB91-8C432F91D309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71C-4F20-BB91-8C432F91D309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71C-4F20-BB91-8C432F91D309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271C-4F20-BB91-8C432F91D30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271C-4F20-BB91-8C432F91D309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271C-4F20-BB91-8C432F91D309}"/>
              </c:ext>
            </c:extLst>
          </c:dPt>
          <c:dPt>
            <c:idx val="1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F-271C-4F20-BB91-8C432F91D309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0-271C-4F20-BB91-8C432F91D309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271C-4F20-BB91-8C432F91D309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271C-4F20-BB91-8C432F91D309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271C-4F20-BB91-8C432F91D309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271C-4F20-BB91-8C432F91D309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271C-4F20-BB91-8C432F91D309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271C-4F20-BB91-8C432F91D309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271C-4F20-BB91-8C432F91D309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271C-4F20-BB91-8C432F91D309}"/>
              </c:ext>
            </c:extLst>
          </c:dPt>
          <c:dPt>
            <c:idx val="26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A-6CC3-4E88-AF33-18166C36A0E2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B-4C6F-431C-886D-FE94128B8F09}"/>
              </c:ext>
            </c:extLst>
          </c:dPt>
          <c:dLbls>
            <c:dLbl>
              <c:idx val="3"/>
              <c:layout>
                <c:manualLayout>
                  <c:x val="-5.175313753396347E-3"/>
                  <c:y val="-0.24260355029585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1C-4F20-BB91-8C432F91D309}"/>
                </c:ext>
              </c:extLst>
            </c:dLbl>
            <c:dLbl>
              <c:idx val="15"/>
              <c:layout>
                <c:manualLayout>
                  <c:x val="2.5876568766981497E-3"/>
                  <c:y val="-0.248520710059171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71C-4F20-BB91-8C432F91D309}"/>
                </c:ext>
              </c:extLst>
            </c:dLbl>
            <c:dLbl>
              <c:idx val="27"/>
              <c:layout>
                <c:manualLayout>
                  <c:x val="0"/>
                  <c:y val="-0.207100591715976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C6F-431C-886D-FE94128B8F0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Hoja1!$B$2:$B$53</c:f>
              <c:numCache>
                <c:formatCode>_ * #,##0_ ;_ * \-#,##0_ ;_ * "-"??_ ;_ @_ </c:formatCode>
                <c:ptCount val="28"/>
                <c:pt idx="0">
                  <c:v>883.23857244714952</c:v>
                </c:pt>
                <c:pt idx="1">
                  <c:v>696.78826587000003</c:v>
                </c:pt>
                <c:pt idx="2">
                  <c:v>709.48963996000009</c:v>
                </c:pt>
                <c:pt idx="3">
                  <c:v>703.13503943581031</c:v>
                </c:pt>
                <c:pt idx="4">
                  <c:v>660.4005959499998</c:v>
                </c:pt>
                <c:pt idx="5">
                  <c:v>679.61585008999987</c:v>
                </c:pt>
                <c:pt idx="6">
                  <c:v>723.59360617889786</c:v>
                </c:pt>
                <c:pt idx="7">
                  <c:v>819.25913312518537</c:v>
                </c:pt>
                <c:pt idx="8">
                  <c:v>741.81619597376709</c:v>
                </c:pt>
                <c:pt idx="9">
                  <c:v>801.93143897999983</c:v>
                </c:pt>
                <c:pt idx="10">
                  <c:v>851.47573002000013</c:v>
                </c:pt>
                <c:pt idx="11">
                  <c:v>867.65660188000015</c:v>
                </c:pt>
                <c:pt idx="12">
                  <c:v>923.88320605000013</c:v>
                </c:pt>
                <c:pt idx="13">
                  <c:v>803.16341792999981</c:v>
                </c:pt>
                <c:pt idx="14">
                  <c:v>645.6185541146649</c:v>
                </c:pt>
                <c:pt idx="15">
                  <c:v>843.292602131678</c:v>
                </c:pt>
                <c:pt idx="16">
                  <c:v>572.24213474692351</c:v>
                </c:pt>
                <c:pt idx="17">
                  <c:v>530.68895388178862</c:v>
                </c:pt>
                <c:pt idx="18">
                  <c:v>549.0895482928147</c:v>
                </c:pt>
                <c:pt idx="19">
                  <c:v>812.2000671866108</c:v>
                </c:pt>
                <c:pt idx="20">
                  <c:v>842.70640650652558</c:v>
                </c:pt>
                <c:pt idx="21">
                  <c:v>818.86550607999993</c:v>
                </c:pt>
                <c:pt idx="22">
                  <c:v>861.02382519608864</c:v>
                </c:pt>
                <c:pt idx="23">
                  <c:v>822.8154959200001</c:v>
                </c:pt>
                <c:pt idx="24">
                  <c:v>817.24611390999996</c:v>
                </c:pt>
                <c:pt idx="25">
                  <c:v>756.13355803000002</c:v>
                </c:pt>
                <c:pt idx="26">
                  <c:v>752.44119710408995</c:v>
                </c:pt>
                <c:pt idx="27">
                  <c:v>710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71C-4F20-BB91-8C432F91D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5"/>
        <c:overlap val="100"/>
        <c:axId val="147737216"/>
        <c:axId val="147747200"/>
      </c:barChart>
      <c:lineChart>
        <c:grouping val="standard"/>
        <c:varyColors val="0"/>
        <c:ser>
          <c:idx val="4"/>
          <c:order val="1"/>
          <c:tx>
            <c:strRef>
              <c:f>Hoja1!$C$1</c:f>
              <c:strCache>
                <c:ptCount val="1"/>
                <c:pt idx="0">
                  <c:v>Var % Real</c:v>
                </c:pt>
              </c:strCache>
            </c:strRef>
          </c:tx>
          <c:spPr>
            <a:ln w="19050">
              <a:solidFill>
                <a:srgbClr val="0070C0"/>
              </a:solidFill>
            </a:ln>
            <a:effectLst/>
          </c:spPr>
          <c:marker>
            <c:symbol val="none"/>
          </c:marker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4C6F-431C-886D-FE94128B8F09}"/>
                </c:ext>
              </c:extLst>
            </c:dLbl>
            <c:dLbl>
              <c:idx val="15"/>
              <c:layout>
                <c:manualLayout>
                  <c:x val="-3.3639437520820957E-2"/>
                  <c:y val="-1.7751479289940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900402716835958E-2"/>
                      <c:h val="7.90532544378698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4C6F-431C-886D-FE94128B8F09}"/>
                </c:ext>
              </c:extLst>
            </c:dLbl>
            <c:dLbl>
              <c:idx val="2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C6F-431C-886D-FE94128B8F0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Hoja1!$C$2:$C$53</c:f>
              <c:numCache>
                <c:formatCode>0.0</c:formatCode>
                <c:ptCount val="28"/>
                <c:pt idx="0">
                  <c:v>-8.069978575230973</c:v>
                </c:pt>
                <c:pt idx="1">
                  <c:v>1.5208894792315464</c:v>
                </c:pt>
                <c:pt idx="2">
                  <c:v>-1.7639810346156248</c:v>
                </c:pt>
                <c:pt idx="3">
                  <c:v>105.66653872100247</c:v>
                </c:pt>
                <c:pt idx="4">
                  <c:v>164.83453510400574</c:v>
                </c:pt>
                <c:pt idx="5">
                  <c:v>102.43522824162588</c:v>
                </c:pt>
                <c:pt idx="6">
                  <c:v>50.145827577159416</c:v>
                </c:pt>
                <c:pt idx="7">
                  <c:v>40.701978352222248</c:v>
                </c:pt>
                <c:pt idx="8">
                  <c:v>36.071445207742833</c:v>
                </c:pt>
                <c:pt idx="9">
                  <c:v>28.832815338460161</c:v>
                </c:pt>
                <c:pt idx="10">
                  <c:v>6.2290154874449666</c:v>
                </c:pt>
                <c:pt idx="11">
                  <c:v>-1.0864862412733767</c:v>
                </c:pt>
                <c:pt idx="12">
                  <c:v>-1.024880183103638</c:v>
                </c:pt>
                <c:pt idx="13">
                  <c:v>8.5913388348930262</c:v>
                </c:pt>
                <c:pt idx="14">
                  <c:v>-14.815257558980443</c:v>
                </c:pt>
                <c:pt idx="15">
                  <c:v>11.085649163178601</c:v>
                </c:pt>
                <c:pt idx="16">
                  <c:v>-19.835464438617489</c:v>
                </c:pt>
                <c:pt idx="17">
                  <c:v>-28.237554573285493</c:v>
                </c:pt>
                <c:pt idx="18">
                  <c:v>-30.216010330461561</c:v>
                </c:pt>
                <c:pt idx="19">
                  <c:v>-8.5422516829971595</c:v>
                </c:pt>
                <c:pt idx="20">
                  <c:v>4.6720604719719505</c:v>
                </c:pt>
                <c:pt idx="21">
                  <c:v>-5.6924708718805732</c:v>
                </c:pt>
                <c:pt idx="22">
                  <c:v>-6.7552410508057488</c:v>
                </c:pt>
                <c:pt idx="23">
                  <c:v>-12.564390479174293</c:v>
                </c:pt>
                <c:pt idx="24">
                  <c:v>-18.595383140741362</c:v>
                </c:pt>
                <c:pt idx="25">
                  <c:v>-13.347487896693966</c:v>
                </c:pt>
                <c:pt idx="26">
                  <c:v>7.5139903622241988</c:v>
                </c:pt>
                <c:pt idx="27">
                  <c:v>-22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D-271C-4F20-BB91-8C432F91D309}"/>
            </c:ext>
          </c:extLst>
        </c:ser>
        <c:ser>
          <c:idx val="1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9525">
              <a:solidFill>
                <a:schemeClr val="accent5">
                  <a:lumMod val="75000"/>
                </a:schemeClr>
              </a:solidFill>
              <a:prstDash val="dash"/>
            </a:ln>
          </c:spPr>
          <c:marker>
            <c:symbol val="none"/>
          </c:marker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Hoja1!$D$2:$D$53</c:f>
              <c:numCache>
                <c:formatCode>General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E-271C-4F20-BB91-8C432F91D3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748736"/>
        <c:axId val="147750272"/>
      </c:lineChart>
      <c:catAx>
        <c:axId val="1477372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470"/>
            </a:pPr>
            <a:endParaRPr lang="es-PE"/>
          </a:p>
        </c:txPr>
        <c:crossAx val="147747200"/>
        <c:crosses val="autoZero"/>
        <c:auto val="1"/>
        <c:lblAlgn val="ctr"/>
        <c:lblOffset val="100"/>
        <c:noMultiLvlLbl val="1"/>
      </c:catAx>
      <c:valAx>
        <c:axId val="147747200"/>
        <c:scaling>
          <c:orientation val="minMax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ln w="8578">
            <a:solidFill>
              <a:schemeClr val="tx1">
                <a:alpha val="66000"/>
              </a:schemeClr>
            </a:solidFill>
          </a:ln>
        </c:spPr>
        <c:txPr>
          <a:bodyPr/>
          <a:lstStyle/>
          <a:p>
            <a:pPr>
              <a:defRPr sz="700"/>
            </a:pPr>
            <a:endParaRPr lang="es-PE"/>
          </a:p>
        </c:txPr>
        <c:crossAx val="147737216"/>
        <c:crosses val="autoZero"/>
        <c:crossBetween val="between"/>
      </c:valAx>
      <c:catAx>
        <c:axId val="147748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7750272"/>
        <c:crosses val="autoZero"/>
        <c:auto val="1"/>
        <c:lblAlgn val="ctr"/>
        <c:lblOffset val="100"/>
        <c:noMultiLvlLbl val="1"/>
      </c:catAx>
      <c:valAx>
        <c:axId val="147750272"/>
        <c:scaling>
          <c:orientation val="minMax"/>
        </c:scaling>
        <c:delete val="0"/>
        <c:axPos val="r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solidFill>
                  <a:schemeClr val="accent5"/>
                </a:solidFill>
              </a:defRPr>
            </a:pPr>
            <a:endParaRPr lang="es-PE"/>
          </a:p>
        </c:txPr>
        <c:crossAx val="147748736"/>
        <c:crosses val="max"/>
        <c:crossBetween val="between"/>
      </c:valAx>
      <c:spPr>
        <a:noFill/>
        <a:ln w="2287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1.4506363700267836E-2"/>
          <c:y val="0.91221777011601357"/>
          <c:w val="0.9415034693958636"/>
          <c:h val="8.1865070120672789E-2"/>
        </c:manualLayout>
      </c:layout>
      <c:overlay val="0"/>
      <c:txPr>
        <a:bodyPr/>
        <a:lstStyle/>
        <a:p>
          <a:pPr>
            <a:defRPr sz="800"/>
          </a:pPr>
          <a:endParaRPr lang="es-PE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1" baseline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PE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/>
            </a:pPr>
            <a:r>
              <a:rPr lang="es-PE" sz="1000" dirty="0"/>
              <a:t>Devoluciones</a:t>
            </a:r>
            <a:r>
              <a:rPr lang="es-PE" sz="1000" baseline="0" dirty="0"/>
              <a:t>: 2021 - 2023</a:t>
            </a:r>
            <a:r>
              <a:rPr lang="es-PE" sz="1000" dirty="0"/>
              <a:t> </a:t>
            </a:r>
          </a:p>
          <a:p>
            <a:pPr algn="l">
              <a:defRPr sz="1000"/>
            </a:pPr>
            <a:r>
              <a:rPr lang="es-PE" sz="1000" b="0" dirty="0"/>
              <a:t>En millones de soles y Var. % real anual </a:t>
            </a:r>
          </a:p>
        </c:rich>
      </c:tx>
      <c:layout>
        <c:manualLayout>
          <c:xMode val="edge"/>
          <c:yMode val="edge"/>
          <c:x val="2.4264200334386176E-3"/>
          <c:y val="5.062731125113082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898940689967711"/>
          <c:y val="0.26098107910131341"/>
          <c:w val="0.77181208053691219"/>
          <c:h val="0.5395807085264757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6350" cap="flat" cmpd="sng" algn="ctr">
              <a:solidFill>
                <a:schemeClr val="bg1">
                  <a:lumMod val="75000"/>
                </a:schemeClr>
              </a:solidFill>
              <a:prstDash val="solid"/>
              <a:miter lim="800000"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60B-433D-B5B4-989CDDDBBDB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60B-433D-B5B4-989CDDDBBDB4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60B-433D-B5B4-989CDDDBBDB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4-C60B-433D-B5B4-989CDDDBBDB4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C60B-433D-B5B4-989CDDDBBDB4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C60B-433D-B5B4-989CDDDBBDB4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C60B-433D-B5B4-989CDDDBBDB4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C60B-433D-B5B4-989CDDDBBDB4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C60B-433D-B5B4-989CDDDBBDB4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C60B-433D-B5B4-989CDDDBBDB4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C60B-433D-B5B4-989CDDDBBDB4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C60B-433D-B5B4-989CDDDBBDB4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C60B-433D-B5B4-989CDDDBBDB4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F-C60B-433D-B5B4-989CDDDBBDB4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C60B-433D-B5B4-989CDDDBBDB4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C60B-433D-B5B4-989CDDDBBDB4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C60B-433D-B5B4-989CDDDBBDB4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C60B-433D-B5B4-989CDDDBBDB4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C60B-433D-B5B4-989CDDDBBDB4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C60B-433D-B5B4-989CDDDBBDB4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C60B-433D-B5B4-989CDDDBBDB4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CECC-43F0-BB03-FE2919B9DBE5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6350" cap="flat" cmpd="sng" algn="ctr">
                <a:solidFill>
                  <a:schemeClr val="bg1">
                    <a:lumMod val="75000"/>
                  </a:schemeClr>
                </a:solidFill>
                <a:prstDash val="solid"/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19-644C-488F-A803-10E8DD486DB4}"/>
              </c:ext>
            </c:extLst>
          </c:dPt>
          <c:dLbls>
            <c:dLbl>
              <c:idx val="3"/>
              <c:layout>
                <c:manualLayout>
                  <c:x val="0"/>
                  <c:y val="-0.108754758020663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0B-433D-B5B4-989CDDDBBDB4}"/>
                </c:ext>
              </c:extLst>
            </c:dLbl>
            <c:dLbl>
              <c:idx val="15"/>
              <c:layout>
                <c:manualLayout>
                  <c:x val="-2.6270852489163271E-3"/>
                  <c:y val="-0.22838499184339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60B-433D-B5B4-989CDDDBBDB4}"/>
                </c:ext>
              </c:extLst>
            </c:dLbl>
            <c:dLbl>
              <c:idx val="27"/>
              <c:layout>
                <c:manualLayout>
                  <c:x val="7.8812557467488852E-3"/>
                  <c:y val="-0.184883088635127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44C-488F-A803-10E8DD486D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Hoja1!$B$2:$B$53</c:f>
              <c:numCache>
                <c:formatCode>_ * #,##0_ ;_ * \-#,##0_ ;_ * "-"??_ ;_ @_ </c:formatCode>
                <c:ptCount val="28"/>
                <c:pt idx="0">
                  <c:v>1371.1450600999999</c:v>
                </c:pt>
                <c:pt idx="1">
                  <c:v>1170.1521685299999</c:v>
                </c:pt>
                <c:pt idx="2">
                  <c:v>1877.9982875500002</c:v>
                </c:pt>
                <c:pt idx="3">
                  <c:v>1652.3172830199999</c:v>
                </c:pt>
                <c:pt idx="4">
                  <c:v>1442.1443238600002</c:v>
                </c:pt>
                <c:pt idx="5">
                  <c:v>1983.1557679</c:v>
                </c:pt>
                <c:pt idx="6">
                  <c:v>1998.9975050599999</c:v>
                </c:pt>
                <c:pt idx="7">
                  <c:v>1510.6622531200001</c:v>
                </c:pt>
                <c:pt idx="8">
                  <c:v>1565.4263235399999</c:v>
                </c:pt>
                <c:pt idx="9">
                  <c:v>1710.8572098900001</c:v>
                </c:pt>
                <c:pt idx="10">
                  <c:v>1522.4275231599997</c:v>
                </c:pt>
                <c:pt idx="11">
                  <c:v>2018.2218230799999</c:v>
                </c:pt>
                <c:pt idx="12">
                  <c:v>2205.9801578300003</c:v>
                </c:pt>
                <c:pt idx="13">
                  <c:v>1743.8910243999999</c:v>
                </c:pt>
                <c:pt idx="14">
                  <c:v>2900.9628683400001</c:v>
                </c:pt>
                <c:pt idx="15">
                  <c:v>2440.4010071399998</c:v>
                </c:pt>
                <c:pt idx="16">
                  <c:v>1720.1364200099999</c:v>
                </c:pt>
                <c:pt idx="17">
                  <c:v>2155.3456029199997</c:v>
                </c:pt>
                <c:pt idx="18">
                  <c:v>1843.85264674</c:v>
                </c:pt>
                <c:pt idx="19">
                  <c:v>2280.4926827899999</c:v>
                </c:pt>
                <c:pt idx="20">
                  <c:v>1638.34736266</c:v>
                </c:pt>
                <c:pt idx="21">
                  <c:v>2487.2657001100001</c:v>
                </c:pt>
                <c:pt idx="22">
                  <c:v>2003.08451913</c:v>
                </c:pt>
                <c:pt idx="23">
                  <c:v>2204.8196107200001</c:v>
                </c:pt>
                <c:pt idx="24">
                  <c:v>1958.2098802999999</c:v>
                </c:pt>
                <c:pt idx="25">
                  <c:v>1408.97123031</c:v>
                </c:pt>
                <c:pt idx="26">
                  <c:v>2082.0103981100001</c:v>
                </c:pt>
                <c:pt idx="27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60B-433D-B5B4-989CDDDBB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5"/>
        <c:overlap val="100"/>
        <c:axId val="147737216"/>
        <c:axId val="147747200"/>
      </c:barChart>
      <c:lineChart>
        <c:grouping val="standard"/>
        <c:varyColors val="0"/>
        <c:ser>
          <c:idx val="4"/>
          <c:order val="1"/>
          <c:tx>
            <c:strRef>
              <c:f>Hoja1!$C$1</c:f>
              <c:strCache>
                <c:ptCount val="1"/>
                <c:pt idx="0">
                  <c:v>Var % Real</c:v>
                </c:pt>
              </c:strCache>
            </c:strRef>
          </c:tx>
          <c:spPr>
            <a:ln w="19050">
              <a:solidFill>
                <a:srgbClr val="0070C0"/>
              </a:solidFill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1.576251149349796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44C-488F-A803-10E8DD486DB4}"/>
                </c:ext>
              </c:extLst>
            </c:dLbl>
            <c:dLbl>
              <c:idx val="15"/>
              <c:layout>
                <c:manualLayout>
                  <c:x val="-1.8389596742414291E-2"/>
                  <c:y val="5.437737901033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44C-488F-A803-10E8DD486DB4}"/>
                </c:ext>
              </c:extLst>
            </c:dLbl>
            <c:dLbl>
              <c:idx val="27"/>
              <c:layout>
                <c:manualLayout>
                  <c:x val="-3.6779193484828679E-2"/>
                  <c:y val="-4.8939641109298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44C-488F-A803-10E8DD486D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Hoja1!$C$2:$C$53</c:f>
              <c:numCache>
                <c:formatCode>0.0</c:formatCode>
                <c:ptCount val="28"/>
                <c:pt idx="0">
                  <c:v>-0.82101437509206621</c:v>
                </c:pt>
                <c:pt idx="1">
                  <c:v>-24.35659177823527</c:v>
                </c:pt>
                <c:pt idx="2">
                  <c:v>27.784294173044643</c:v>
                </c:pt>
                <c:pt idx="3">
                  <c:v>15.348413298586493</c:v>
                </c:pt>
                <c:pt idx="4">
                  <c:v>33.126202870686704</c:v>
                </c:pt>
                <c:pt idx="5">
                  <c:v>39.751415253202047</c:v>
                </c:pt>
                <c:pt idx="6">
                  <c:v>43.462133499045223</c:v>
                </c:pt>
                <c:pt idx="7">
                  <c:v>6.3696825883116315</c:v>
                </c:pt>
                <c:pt idx="8">
                  <c:v>-4.0946208618087514</c:v>
                </c:pt>
                <c:pt idx="9">
                  <c:v>7.5815538950552153E-2</c:v>
                </c:pt>
                <c:pt idx="10">
                  <c:v>-7.3604658316815179</c:v>
                </c:pt>
                <c:pt idx="11">
                  <c:v>15.308066622823535</c:v>
                </c:pt>
                <c:pt idx="12">
                  <c:v>52.231732147203843</c:v>
                </c:pt>
                <c:pt idx="13">
                  <c:v>40.400643216317199</c:v>
                </c:pt>
                <c:pt idx="14">
                  <c:v>44.603158920497556</c:v>
                </c:pt>
                <c:pt idx="15">
                  <c:v>36.800018965754177</c:v>
                </c:pt>
                <c:pt idx="16">
                  <c:v>10.34789966535592</c:v>
                </c:pt>
                <c:pt idx="17">
                  <c:v>-0.11948545414366407</c:v>
                </c:pt>
                <c:pt idx="18">
                  <c:v>-15.175502088740146</c:v>
                </c:pt>
                <c:pt idx="19">
                  <c:v>39.264389885606654</c:v>
                </c:pt>
                <c:pt idx="20">
                  <c:v>-3.5673408504720117</c:v>
                </c:pt>
                <c:pt idx="21">
                  <c:v>34.270141204994673</c:v>
                </c:pt>
                <c:pt idx="22">
                  <c:v>21.323291183201952</c:v>
                </c:pt>
                <c:pt idx="23">
                  <c:v>0.72514948519277755</c:v>
                </c:pt>
                <c:pt idx="24">
                  <c:v>-18.309626646809175</c:v>
                </c:pt>
                <c:pt idx="25">
                  <c:v>-25.634869072656031</c:v>
                </c:pt>
                <c:pt idx="26">
                  <c:v>-33.792202255092519</c:v>
                </c:pt>
                <c:pt idx="27">
                  <c:v>-23.3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C-C60B-433D-B5B4-989CDDDBBDB4}"/>
            </c:ext>
          </c:extLst>
        </c:ser>
        <c:ser>
          <c:idx val="1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9525">
              <a:solidFill>
                <a:schemeClr val="accent5">
                  <a:lumMod val="75000"/>
                </a:schemeClr>
              </a:solidFill>
              <a:prstDash val="dash"/>
            </a:ln>
          </c:spPr>
          <c:marker>
            <c:symbol val="none"/>
          </c:marker>
          <c:cat>
            <c:strRef>
              <c:f>Hoja1!$A$2:$A$53</c:f>
              <c:strCache>
                <c:ptCount val="28"/>
                <c:pt idx="0">
                  <c:v>E-21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E-22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E-23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</c:strCache>
            </c:strRef>
          </c:cat>
          <c:val>
            <c:numRef>
              <c:f>Hoja1!$D$2:$D$53</c:f>
              <c:numCache>
                <c:formatCode>General</c:formatCode>
                <c:ptCount val="2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C60B-433D-B5B4-989CDDDBB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748736"/>
        <c:axId val="147750272"/>
      </c:lineChart>
      <c:catAx>
        <c:axId val="1477372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400"/>
            </a:pPr>
            <a:endParaRPr lang="es-PE"/>
          </a:p>
        </c:txPr>
        <c:crossAx val="147747200"/>
        <c:crosses val="autoZero"/>
        <c:auto val="1"/>
        <c:lblAlgn val="ctr"/>
        <c:lblOffset val="100"/>
        <c:noMultiLvlLbl val="1"/>
      </c:catAx>
      <c:valAx>
        <c:axId val="147747200"/>
        <c:scaling>
          <c:orientation val="minMax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ln w="8578">
            <a:solidFill>
              <a:schemeClr val="tx1">
                <a:alpha val="66000"/>
              </a:schemeClr>
            </a:solidFill>
          </a:ln>
        </c:spPr>
        <c:txPr>
          <a:bodyPr/>
          <a:lstStyle/>
          <a:p>
            <a:pPr>
              <a:defRPr sz="700"/>
            </a:pPr>
            <a:endParaRPr lang="es-PE"/>
          </a:p>
        </c:txPr>
        <c:crossAx val="147737216"/>
        <c:crosses val="autoZero"/>
        <c:crossBetween val="between"/>
      </c:valAx>
      <c:catAx>
        <c:axId val="147748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7750272"/>
        <c:crosses val="autoZero"/>
        <c:auto val="1"/>
        <c:lblAlgn val="ctr"/>
        <c:lblOffset val="100"/>
        <c:noMultiLvlLbl val="1"/>
      </c:catAx>
      <c:valAx>
        <c:axId val="147750272"/>
        <c:scaling>
          <c:orientation val="minMax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solidFill>
                  <a:schemeClr val="accent5"/>
                </a:solidFill>
              </a:defRPr>
            </a:pPr>
            <a:endParaRPr lang="es-PE"/>
          </a:p>
        </c:txPr>
        <c:crossAx val="147748736"/>
        <c:crosses val="max"/>
        <c:crossBetween val="between"/>
      </c:valAx>
      <c:spPr>
        <a:noFill/>
        <a:ln w="22874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7408825144722403"/>
          <c:y val="0.91813464181577631"/>
          <c:w val="0.70195304136831838"/>
          <c:h val="8.0726430403377389E-2"/>
        </c:manualLayout>
      </c:layout>
      <c:overlay val="0"/>
      <c:txPr>
        <a:bodyPr/>
        <a:lstStyle/>
        <a:p>
          <a:pPr>
            <a:defRPr sz="800"/>
          </a:pPr>
          <a:endParaRPr lang="es-PE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1" baseline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P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3D5E-472F-421A-8087-FD10F532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E-RECA-DE</dc:creator>
  <cp:keywords/>
  <dc:description/>
  <cp:lastModifiedBy>Manzaneda Miranda Gardy Raul</cp:lastModifiedBy>
  <cp:revision>3</cp:revision>
  <cp:lastPrinted>2023-02-03T18:20:00Z</cp:lastPrinted>
  <dcterms:created xsi:type="dcterms:W3CDTF">2023-05-04T14:56:00Z</dcterms:created>
  <dcterms:modified xsi:type="dcterms:W3CDTF">2023-05-05T20:13:00Z</dcterms:modified>
</cp:coreProperties>
</file>