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6D08" w14:textId="1501E0B3" w:rsidR="007921EA" w:rsidRPr="007921EA" w:rsidRDefault="007921EA" w:rsidP="007921EA">
      <w:pPr>
        <w:pStyle w:val="Ttulo"/>
        <w:spacing w:line="252" w:lineRule="auto"/>
        <w:jc w:val="right"/>
        <w:rPr>
          <w:sz w:val="24"/>
          <w:szCs w:val="24"/>
        </w:rPr>
      </w:pPr>
      <w:r w:rsidRPr="007921EA">
        <w:rPr>
          <w:sz w:val="24"/>
          <w:szCs w:val="24"/>
        </w:rPr>
        <w:t xml:space="preserve">Nota de Prensa </w:t>
      </w:r>
      <w:proofErr w:type="spellStart"/>
      <w:r w:rsidRPr="007921EA">
        <w:rPr>
          <w:sz w:val="24"/>
          <w:szCs w:val="24"/>
        </w:rPr>
        <w:t>N°</w:t>
      </w:r>
      <w:proofErr w:type="spellEnd"/>
      <w:r w:rsidRPr="007921EA">
        <w:rPr>
          <w:sz w:val="24"/>
          <w:szCs w:val="24"/>
        </w:rPr>
        <w:t xml:space="preserve"> 067</w:t>
      </w:r>
    </w:p>
    <w:p w14:paraId="0E6B6ED5" w14:textId="77777777" w:rsidR="007921EA" w:rsidRDefault="007921EA">
      <w:pPr>
        <w:pStyle w:val="Ttulo"/>
        <w:spacing w:line="252" w:lineRule="auto"/>
      </w:pPr>
    </w:p>
    <w:p w14:paraId="49B1BDF4" w14:textId="102FA220" w:rsidR="0026225B" w:rsidRDefault="00834B47">
      <w:pPr>
        <w:pStyle w:val="Ttulo"/>
        <w:spacing w:line="252" w:lineRule="auto"/>
      </w:pPr>
      <w:r>
        <w:t>INGRESOS TRIBUTARIOS DE OCTUBRE ALCANZARON LOS S/ 11 967 MILLONES</w:t>
      </w:r>
    </w:p>
    <w:p w14:paraId="674687CE" w14:textId="44EED0F2" w:rsidR="00873703" w:rsidRDefault="00873703" w:rsidP="00873703">
      <w:pPr>
        <w:pBdr>
          <w:top w:val="nil"/>
          <w:left w:val="nil"/>
          <w:bottom w:val="nil"/>
          <w:right w:val="nil"/>
          <w:between w:val="nil"/>
        </w:pBdr>
        <w:ind w:left="102" w:right="112"/>
        <w:jc w:val="both"/>
        <w:rPr>
          <w:color w:val="000000"/>
        </w:rPr>
      </w:pPr>
    </w:p>
    <w:p w14:paraId="18D2AF7B" w14:textId="67CFA336" w:rsidR="00873703" w:rsidRPr="00873703" w:rsidRDefault="001F111D" w:rsidP="00873703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112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Se mantiene la tendencia, pero es la menor </w:t>
      </w:r>
      <w:r w:rsidR="003A3BD4">
        <w:rPr>
          <w:b/>
          <w:bCs/>
          <w:i/>
          <w:iCs/>
          <w:color w:val="000000"/>
        </w:rPr>
        <w:t>caída</w:t>
      </w:r>
      <w:r w:rsidR="00B40D2E">
        <w:rPr>
          <w:b/>
          <w:bCs/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 xml:space="preserve">registrada </w:t>
      </w:r>
      <w:r w:rsidR="00DA1AB2">
        <w:rPr>
          <w:b/>
          <w:bCs/>
          <w:i/>
          <w:iCs/>
          <w:color w:val="000000"/>
        </w:rPr>
        <w:t xml:space="preserve">en el año </w:t>
      </w:r>
      <w:r>
        <w:rPr>
          <w:b/>
          <w:bCs/>
          <w:i/>
          <w:iCs/>
          <w:color w:val="000000"/>
        </w:rPr>
        <w:t>desde el mes de marzo.</w:t>
      </w:r>
    </w:p>
    <w:p w14:paraId="2DD8F9E5" w14:textId="77777777" w:rsidR="00873703" w:rsidRDefault="00873703" w:rsidP="00873703">
      <w:pPr>
        <w:pBdr>
          <w:top w:val="nil"/>
          <w:left w:val="nil"/>
          <w:bottom w:val="nil"/>
          <w:right w:val="nil"/>
          <w:between w:val="nil"/>
        </w:pBdr>
        <w:ind w:left="102" w:right="112"/>
        <w:jc w:val="both"/>
        <w:rPr>
          <w:color w:val="000000"/>
        </w:rPr>
      </w:pPr>
    </w:p>
    <w:p w14:paraId="5A13B39D" w14:textId="17D4E2D9" w:rsidR="00873703" w:rsidRDefault="00834B47" w:rsidP="00873703">
      <w:pPr>
        <w:pBdr>
          <w:top w:val="nil"/>
          <w:left w:val="nil"/>
          <w:bottom w:val="nil"/>
          <w:right w:val="nil"/>
          <w:between w:val="nil"/>
        </w:pBdr>
        <w:ind w:left="102" w:right="112"/>
        <w:jc w:val="both"/>
        <w:rPr>
          <w:color w:val="000000"/>
        </w:rPr>
      </w:pPr>
      <w:r>
        <w:rPr>
          <w:color w:val="000000"/>
        </w:rPr>
        <w:t xml:space="preserve">La </w:t>
      </w:r>
      <w:r>
        <w:rPr>
          <w:rFonts w:ascii="Arial" w:eastAsia="Arial" w:hAnsi="Arial" w:cs="Arial"/>
          <w:b/>
          <w:color w:val="000000"/>
        </w:rPr>
        <w:t xml:space="preserve">recaudación del mes de octubre </w:t>
      </w:r>
      <w:r>
        <w:rPr>
          <w:color w:val="000000"/>
        </w:rPr>
        <w:t xml:space="preserve">del 2023 </w:t>
      </w:r>
      <w:r>
        <w:rPr>
          <w:rFonts w:ascii="Arial" w:eastAsia="Arial" w:hAnsi="Arial" w:cs="Arial"/>
          <w:b/>
          <w:color w:val="000000"/>
        </w:rPr>
        <w:t>ascendió a S/ 11 967 millones</w:t>
      </w:r>
      <w:r>
        <w:rPr>
          <w:color w:val="000000"/>
        </w:rPr>
        <w:t xml:space="preserve">, correspondientes a los ingresos tributarios del Gobierno Central Netos y descontando las devoluciones de impuestos. </w:t>
      </w:r>
    </w:p>
    <w:p w14:paraId="5D0F5FB8" w14:textId="77777777" w:rsidR="00873703" w:rsidRDefault="00873703" w:rsidP="00873703">
      <w:pPr>
        <w:pBdr>
          <w:top w:val="nil"/>
          <w:left w:val="nil"/>
          <w:bottom w:val="nil"/>
          <w:right w:val="nil"/>
          <w:between w:val="nil"/>
        </w:pBdr>
        <w:ind w:left="102" w:right="112"/>
        <w:jc w:val="both"/>
        <w:rPr>
          <w:color w:val="000000"/>
        </w:rPr>
      </w:pPr>
    </w:p>
    <w:p w14:paraId="42D12191" w14:textId="0670A863" w:rsidR="0026225B" w:rsidRDefault="00834B47" w:rsidP="00873703">
      <w:pPr>
        <w:pBdr>
          <w:top w:val="nil"/>
          <w:left w:val="nil"/>
          <w:bottom w:val="nil"/>
          <w:right w:val="nil"/>
          <w:between w:val="nil"/>
        </w:pBdr>
        <w:ind w:left="102" w:right="112"/>
        <w:jc w:val="both"/>
        <w:rPr>
          <w:color w:val="000000"/>
        </w:rPr>
      </w:pPr>
      <w:r>
        <w:rPr>
          <w:color w:val="000000"/>
        </w:rPr>
        <w:t xml:space="preserve">Se mantiene la tendencia </w:t>
      </w:r>
      <w:r w:rsidR="001F111D">
        <w:rPr>
          <w:color w:val="000000"/>
        </w:rPr>
        <w:t>desde el mes de marzo de</w:t>
      </w:r>
      <w:r w:rsidR="00D342CE">
        <w:rPr>
          <w:color w:val="000000"/>
        </w:rPr>
        <w:t>l</w:t>
      </w:r>
      <w:r w:rsidR="001F111D">
        <w:rPr>
          <w:color w:val="000000"/>
        </w:rPr>
        <w:t xml:space="preserve"> 2023</w:t>
      </w:r>
      <w:r>
        <w:rPr>
          <w:color w:val="000000"/>
        </w:rPr>
        <w:t xml:space="preserve">, sin embargo, </w:t>
      </w:r>
      <w:r w:rsidR="001F111D">
        <w:rPr>
          <w:color w:val="000000"/>
        </w:rPr>
        <w:t xml:space="preserve">es la menor </w:t>
      </w:r>
      <w:r w:rsidR="003A3BD4">
        <w:rPr>
          <w:color w:val="000000"/>
        </w:rPr>
        <w:t>caída</w:t>
      </w:r>
      <w:r w:rsidR="001F111D">
        <w:rPr>
          <w:color w:val="000000"/>
        </w:rPr>
        <w:t xml:space="preserve"> registrada en lo que va del año (-6,8%). Este resultado fue compensado por</w:t>
      </w:r>
      <w:r w:rsidR="00B24A55">
        <w:rPr>
          <w:color w:val="000000"/>
        </w:rPr>
        <w:t xml:space="preserve"> </w:t>
      </w:r>
      <w:r w:rsidR="00DA1AB2">
        <w:rPr>
          <w:color w:val="000000"/>
        </w:rPr>
        <w:t>los incrementos</w:t>
      </w:r>
      <w:r>
        <w:rPr>
          <w:color w:val="000000"/>
        </w:rPr>
        <w:t xml:space="preserve"> en las Rentas de no domiciliados (6,0%), Primera Categoría (3,5%) y el ITAN (4,1%), entre otros.</w:t>
      </w:r>
    </w:p>
    <w:p w14:paraId="6C018F0A" w14:textId="77777777" w:rsidR="0026225B" w:rsidRDefault="0026225B" w:rsidP="00873703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  <w:sz w:val="23"/>
          <w:szCs w:val="23"/>
        </w:rPr>
      </w:pPr>
    </w:p>
    <w:p w14:paraId="12D96AE5" w14:textId="784EA1C2" w:rsidR="0026225B" w:rsidRDefault="00834B47" w:rsidP="00873703">
      <w:pPr>
        <w:pStyle w:val="Ttulo1"/>
        <w:jc w:val="both"/>
      </w:pPr>
      <w:r>
        <w:t>Resultados por tributos</w:t>
      </w:r>
    </w:p>
    <w:p w14:paraId="5EDCBC5B" w14:textId="77777777" w:rsidR="0026225B" w:rsidRDefault="0026225B" w:rsidP="00873703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</w:rPr>
      </w:pPr>
    </w:p>
    <w:p w14:paraId="7940A36F" w14:textId="77777777" w:rsidR="00873703" w:rsidRDefault="00834B47" w:rsidP="00873703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ind w:left="102" w:right="114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Impuesto General a las Ventas (IGV): </w:t>
      </w:r>
      <w:r>
        <w:rPr>
          <w:color w:val="000000"/>
        </w:rPr>
        <w:t xml:space="preserve">La recaudación del IGV alcanzó los </w:t>
      </w:r>
      <w:r>
        <w:rPr>
          <w:rFonts w:ascii="Arial" w:eastAsia="Arial" w:hAnsi="Arial" w:cs="Arial"/>
          <w:b/>
          <w:color w:val="000000"/>
        </w:rPr>
        <w:t>S/ 7 319 millones</w:t>
      </w:r>
      <w:r>
        <w:rPr>
          <w:color w:val="000000"/>
        </w:rPr>
        <w:t>, lo que representa una disminución de 7,4% con relación al mismo mes del año 2022.</w:t>
      </w:r>
    </w:p>
    <w:p w14:paraId="652FF48B" w14:textId="77777777" w:rsidR="00873703" w:rsidRDefault="00873703" w:rsidP="00873703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ind w:left="102" w:right="114"/>
        <w:jc w:val="both"/>
        <w:rPr>
          <w:color w:val="000000"/>
        </w:rPr>
      </w:pPr>
    </w:p>
    <w:p w14:paraId="1B824C80" w14:textId="3FCAE13F" w:rsidR="0026225B" w:rsidRDefault="00834B47" w:rsidP="00873703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ind w:left="102" w:right="114"/>
        <w:jc w:val="both"/>
        <w:rPr>
          <w:color w:val="000000"/>
        </w:rPr>
      </w:pPr>
      <w:r>
        <w:rPr>
          <w:color w:val="000000"/>
        </w:rPr>
        <w:t>El IGV Interno disminuyó en 4,8% y recaudó S/ 4 002 millones asociado al desempeño de la demanda interna y menores pagos ejecutados por las empresas de gas.</w:t>
      </w:r>
    </w:p>
    <w:p w14:paraId="70BD9068" w14:textId="77777777" w:rsidR="0026225B" w:rsidRDefault="0026225B" w:rsidP="00873703">
      <w:pPr>
        <w:pBdr>
          <w:top w:val="nil"/>
          <w:left w:val="nil"/>
          <w:bottom w:val="nil"/>
          <w:right w:val="nil"/>
          <w:between w:val="nil"/>
        </w:pBdr>
        <w:spacing w:before="1"/>
        <w:ind w:left="102"/>
        <w:rPr>
          <w:color w:val="000000"/>
        </w:rPr>
      </w:pPr>
    </w:p>
    <w:p w14:paraId="3359D1AE" w14:textId="77777777" w:rsidR="0026225B" w:rsidRDefault="00834B47" w:rsidP="00873703">
      <w:pPr>
        <w:pBdr>
          <w:top w:val="nil"/>
          <w:left w:val="nil"/>
          <w:bottom w:val="nil"/>
          <w:right w:val="nil"/>
          <w:between w:val="nil"/>
        </w:pBdr>
        <w:ind w:left="102" w:right="113"/>
        <w:jc w:val="both"/>
        <w:rPr>
          <w:color w:val="000000"/>
        </w:rPr>
      </w:pPr>
      <w:r>
        <w:rPr>
          <w:color w:val="000000"/>
        </w:rPr>
        <w:t xml:space="preserve">Por su parte, el IGV que grava a las importaciones recaudó </w:t>
      </w:r>
      <w:r>
        <w:rPr>
          <w:b/>
          <w:color w:val="000000"/>
        </w:rPr>
        <w:t>S/ 3 317 millones</w:t>
      </w:r>
      <w:r>
        <w:rPr>
          <w:color w:val="000000"/>
        </w:rPr>
        <w:t>, lo que representa una disminución del 10,2% en comparación con octubre del año 2022, en un contexto de baja de las importaciones y de un menor tipo de cambio.</w:t>
      </w:r>
    </w:p>
    <w:p w14:paraId="17CDC945" w14:textId="7BC55D59" w:rsidR="0026225B" w:rsidRDefault="0026225B" w:rsidP="00873703">
      <w:pPr>
        <w:pBdr>
          <w:top w:val="nil"/>
          <w:left w:val="nil"/>
          <w:bottom w:val="nil"/>
          <w:right w:val="nil"/>
          <w:between w:val="nil"/>
        </w:pBdr>
        <w:ind w:left="102" w:right="113"/>
        <w:jc w:val="both"/>
        <w:rPr>
          <w:color w:val="000000"/>
        </w:rPr>
      </w:pPr>
    </w:p>
    <w:p w14:paraId="5D9B0BE7" w14:textId="77777777" w:rsidR="00873703" w:rsidRDefault="00873703" w:rsidP="00873703">
      <w:pPr>
        <w:pBdr>
          <w:top w:val="nil"/>
          <w:left w:val="nil"/>
          <w:bottom w:val="nil"/>
          <w:right w:val="nil"/>
          <w:between w:val="nil"/>
        </w:pBdr>
        <w:ind w:left="102" w:right="113"/>
        <w:jc w:val="both"/>
        <w:rPr>
          <w:color w:val="000000"/>
        </w:rPr>
      </w:pPr>
    </w:p>
    <w:p w14:paraId="4CAF135D" w14:textId="77777777" w:rsidR="0026225B" w:rsidRDefault="00834B47" w:rsidP="00873703">
      <w:pPr>
        <w:pBdr>
          <w:top w:val="nil"/>
          <w:left w:val="nil"/>
          <w:bottom w:val="nil"/>
          <w:right w:val="nil"/>
          <w:between w:val="nil"/>
        </w:pBdr>
        <w:ind w:left="102" w:right="113"/>
        <w:jc w:val="both"/>
        <w:rPr>
          <w:color w:val="000000"/>
        </w:rPr>
      </w:pPr>
      <w:r>
        <w:rPr>
          <w:b/>
          <w:color w:val="000000"/>
        </w:rPr>
        <w:t>Impuesto a la Renta:</w:t>
      </w:r>
      <w:r>
        <w:rPr>
          <w:color w:val="000000"/>
        </w:rPr>
        <w:t xml:space="preserve"> En octubre, se recaudaron </w:t>
      </w:r>
      <w:r>
        <w:rPr>
          <w:b/>
          <w:color w:val="000000"/>
        </w:rPr>
        <w:t>S/ 4 279 millones</w:t>
      </w:r>
      <w:r>
        <w:rPr>
          <w:color w:val="000000"/>
        </w:rPr>
        <w:t xml:space="preserve"> por este concepto, lo que representa una disminución de 18,2% en comparación con el mismo mes del año 2022.</w:t>
      </w:r>
    </w:p>
    <w:p w14:paraId="7386B292" w14:textId="77777777" w:rsidR="0026225B" w:rsidRDefault="0026225B" w:rsidP="00873703">
      <w:pPr>
        <w:pBdr>
          <w:top w:val="nil"/>
          <w:left w:val="nil"/>
          <w:bottom w:val="nil"/>
          <w:right w:val="nil"/>
          <w:between w:val="nil"/>
        </w:pBdr>
        <w:ind w:left="102" w:right="113"/>
        <w:jc w:val="both"/>
        <w:rPr>
          <w:color w:val="000000"/>
        </w:rPr>
      </w:pPr>
    </w:p>
    <w:p w14:paraId="117D7870" w14:textId="77777777" w:rsidR="0026225B" w:rsidRDefault="00834B47" w:rsidP="00873703">
      <w:pPr>
        <w:pBdr>
          <w:top w:val="nil"/>
          <w:left w:val="nil"/>
          <w:bottom w:val="nil"/>
          <w:right w:val="nil"/>
          <w:between w:val="nil"/>
        </w:pBdr>
        <w:ind w:left="102" w:right="113"/>
        <w:jc w:val="both"/>
        <w:rPr>
          <w:color w:val="000000"/>
        </w:rPr>
      </w:pPr>
      <w:r>
        <w:rPr>
          <w:color w:val="000000"/>
        </w:rPr>
        <w:t>Se registraron incrementos en los pagos por Rentas de no domiciliados (6,0%) y en Primera Categoría (3,5%), mientras que se evidencia una reducción por concepto de Regularización, pagos a cuenta de Tercera Categoría, tanto del Régimen General como del Régimen MYPE Tributario, Segunda Categoría, Cuarta Categoría, Quinta Categoría, entre otros.</w:t>
      </w:r>
    </w:p>
    <w:p w14:paraId="15821BA9" w14:textId="77777777" w:rsidR="0026225B" w:rsidRDefault="0026225B" w:rsidP="00873703">
      <w:pPr>
        <w:pBdr>
          <w:top w:val="nil"/>
          <w:left w:val="nil"/>
          <w:bottom w:val="nil"/>
          <w:right w:val="nil"/>
          <w:between w:val="nil"/>
        </w:pBdr>
        <w:ind w:left="102" w:right="113"/>
        <w:jc w:val="both"/>
        <w:rPr>
          <w:color w:val="000000"/>
        </w:rPr>
      </w:pPr>
    </w:p>
    <w:p w14:paraId="3B6BD3FF" w14:textId="77777777" w:rsidR="0026225B" w:rsidRDefault="00834B47" w:rsidP="00873703">
      <w:pPr>
        <w:pBdr>
          <w:top w:val="nil"/>
          <w:left w:val="nil"/>
          <w:bottom w:val="nil"/>
          <w:right w:val="nil"/>
          <w:between w:val="nil"/>
        </w:pBdr>
        <w:ind w:left="102" w:right="113"/>
        <w:jc w:val="both"/>
        <w:rPr>
          <w:color w:val="000000"/>
        </w:rPr>
      </w:pPr>
      <w:r>
        <w:rPr>
          <w:color w:val="000000"/>
        </w:rPr>
        <w:t>La contracción en los pagos a cuenta mensuales se debe tanto a la baja de los coeficientes utilizados para su cálculo -en comparación a aquellos empleados el año anterior- como al uso de los mayores saldos a favor declarados por parte de los contribuyentes.</w:t>
      </w:r>
    </w:p>
    <w:p w14:paraId="32B0C0EB" w14:textId="20247E67" w:rsidR="0026225B" w:rsidRDefault="0026225B" w:rsidP="00873703">
      <w:pPr>
        <w:pBdr>
          <w:top w:val="nil"/>
          <w:left w:val="nil"/>
          <w:bottom w:val="nil"/>
          <w:right w:val="nil"/>
          <w:between w:val="nil"/>
        </w:pBdr>
        <w:ind w:left="102" w:right="113"/>
        <w:jc w:val="both"/>
        <w:rPr>
          <w:color w:val="000000"/>
        </w:rPr>
      </w:pPr>
    </w:p>
    <w:p w14:paraId="3311F4F5" w14:textId="77777777" w:rsidR="00873703" w:rsidRDefault="00873703" w:rsidP="00873703">
      <w:pPr>
        <w:pBdr>
          <w:top w:val="nil"/>
          <w:left w:val="nil"/>
          <w:bottom w:val="nil"/>
          <w:right w:val="nil"/>
          <w:between w:val="nil"/>
        </w:pBdr>
        <w:ind w:left="102" w:right="113"/>
        <w:jc w:val="both"/>
        <w:rPr>
          <w:color w:val="000000"/>
        </w:rPr>
      </w:pPr>
    </w:p>
    <w:p w14:paraId="41E5C4B3" w14:textId="77777777" w:rsidR="0026225B" w:rsidRDefault="00834B47" w:rsidP="00873703">
      <w:pPr>
        <w:pBdr>
          <w:top w:val="nil"/>
          <w:left w:val="nil"/>
          <w:bottom w:val="nil"/>
          <w:right w:val="nil"/>
          <w:between w:val="nil"/>
        </w:pBdr>
        <w:ind w:left="102" w:right="113"/>
        <w:jc w:val="both"/>
        <w:rPr>
          <w:color w:val="000000"/>
        </w:rPr>
      </w:pPr>
      <w:r>
        <w:rPr>
          <w:b/>
          <w:color w:val="000000"/>
        </w:rPr>
        <w:t>Impuesto Selectivo al Consumo (ISC):</w:t>
      </w:r>
      <w:r>
        <w:rPr>
          <w:color w:val="000000"/>
        </w:rPr>
        <w:t xml:space="preserve"> La recaudación del ISC alcanzó los </w:t>
      </w:r>
      <w:r>
        <w:rPr>
          <w:b/>
          <w:color w:val="000000"/>
        </w:rPr>
        <w:t>S/ 807 millones</w:t>
      </w:r>
      <w:r>
        <w:rPr>
          <w:color w:val="000000"/>
        </w:rPr>
        <w:t>, lo que representa una disminución del 5,5%.</w:t>
      </w:r>
    </w:p>
    <w:p w14:paraId="26B7CBE3" w14:textId="77777777" w:rsidR="0026225B" w:rsidRDefault="0026225B" w:rsidP="00873703">
      <w:pPr>
        <w:pBdr>
          <w:top w:val="nil"/>
          <w:left w:val="nil"/>
          <w:bottom w:val="nil"/>
          <w:right w:val="nil"/>
          <w:between w:val="nil"/>
        </w:pBdr>
        <w:ind w:left="102" w:right="113"/>
        <w:jc w:val="both"/>
        <w:rPr>
          <w:color w:val="000000"/>
        </w:rPr>
      </w:pPr>
    </w:p>
    <w:p w14:paraId="74159A87" w14:textId="77777777" w:rsidR="0026225B" w:rsidRDefault="00834B47" w:rsidP="00873703">
      <w:pPr>
        <w:pBdr>
          <w:top w:val="nil"/>
          <w:left w:val="nil"/>
          <w:bottom w:val="nil"/>
          <w:right w:val="nil"/>
          <w:between w:val="nil"/>
        </w:pBdr>
        <w:ind w:left="102" w:right="113"/>
        <w:jc w:val="both"/>
        <w:rPr>
          <w:color w:val="000000"/>
        </w:rPr>
      </w:pPr>
      <w:r>
        <w:rPr>
          <w:color w:val="000000"/>
        </w:rPr>
        <w:t xml:space="preserve">El ISC que grava a las importaciones se incrementó en 0,7%, principalmente por los </w:t>
      </w:r>
      <w:r>
        <w:rPr>
          <w:color w:val="000000"/>
        </w:rPr>
        <w:lastRenderedPageBreak/>
        <w:t>mayores pagos garantizados del ISC combustibles (9,5%), mientras que el ISC Interno disminuyó en 10,0%debido al menor desempeño de la demanda interna.</w:t>
      </w:r>
    </w:p>
    <w:p w14:paraId="62F4573C" w14:textId="52EF360A" w:rsidR="0026225B" w:rsidRDefault="0026225B" w:rsidP="00873703">
      <w:pPr>
        <w:pBdr>
          <w:top w:val="nil"/>
          <w:left w:val="nil"/>
          <w:bottom w:val="nil"/>
          <w:right w:val="nil"/>
          <w:between w:val="nil"/>
        </w:pBdr>
        <w:ind w:left="102" w:right="113"/>
        <w:jc w:val="both"/>
        <w:rPr>
          <w:color w:val="000000"/>
        </w:rPr>
      </w:pPr>
    </w:p>
    <w:p w14:paraId="3DF91212" w14:textId="77777777" w:rsidR="00873703" w:rsidRDefault="00873703" w:rsidP="00873703">
      <w:pPr>
        <w:pBdr>
          <w:top w:val="nil"/>
          <w:left w:val="nil"/>
          <w:bottom w:val="nil"/>
          <w:right w:val="nil"/>
          <w:between w:val="nil"/>
        </w:pBdr>
        <w:ind w:left="102" w:right="113"/>
        <w:jc w:val="both"/>
        <w:rPr>
          <w:color w:val="000000"/>
        </w:rPr>
      </w:pPr>
    </w:p>
    <w:p w14:paraId="52C38691" w14:textId="77777777" w:rsidR="0026225B" w:rsidRDefault="00834B47" w:rsidP="00873703">
      <w:pPr>
        <w:pBdr>
          <w:top w:val="nil"/>
          <w:left w:val="nil"/>
          <w:bottom w:val="nil"/>
          <w:right w:val="nil"/>
          <w:between w:val="nil"/>
        </w:pBdr>
        <w:ind w:left="102" w:right="113"/>
        <w:jc w:val="both"/>
        <w:rPr>
          <w:color w:val="000000"/>
        </w:rPr>
      </w:pPr>
      <w:r>
        <w:rPr>
          <w:b/>
          <w:color w:val="000000"/>
        </w:rPr>
        <w:t>Otros ingresos:</w:t>
      </w:r>
      <w:r>
        <w:rPr>
          <w:color w:val="000000"/>
        </w:rPr>
        <w:t xml:space="preserve"> La recaudación asociada a este rubro ascendió a </w:t>
      </w:r>
      <w:r>
        <w:rPr>
          <w:b/>
          <w:color w:val="000000"/>
        </w:rPr>
        <w:t>S/ 1 167 millones</w:t>
      </w:r>
      <w:r>
        <w:rPr>
          <w:color w:val="000000"/>
        </w:rPr>
        <w:t>, monto menor en 8,8% con respecto a octubre del 2022.</w:t>
      </w:r>
    </w:p>
    <w:p w14:paraId="320E467D" w14:textId="77777777" w:rsidR="0026225B" w:rsidRDefault="0026225B" w:rsidP="00873703">
      <w:pPr>
        <w:pBdr>
          <w:top w:val="nil"/>
          <w:left w:val="nil"/>
          <w:bottom w:val="nil"/>
          <w:right w:val="nil"/>
          <w:between w:val="nil"/>
        </w:pBdr>
        <w:ind w:left="102" w:right="113"/>
        <w:jc w:val="both"/>
        <w:rPr>
          <w:color w:val="000000"/>
        </w:rPr>
      </w:pPr>
    </w:p>
    <w:p w14:paraId="68B2ECC5" w14:textId="54922209" w:rsidR="0026225B" w:rsidRDefault="00834B47" w:rsidP="00873703">
      <w:pPr>
        <w:pBdr>
          <w:top w:val="nil"/>
          <w:left w:val="nil"/>
          <w:bottom w:val="nil"/>
          <w:right w:val="nil"/>
          <w:between w:val="nil"/>
        </w:pBdr>
        <w:ind w:left="102" w:right="113"/>
        <w:jc w:val="both"/>
        <w:rPr>
          <w:color w:val="000000"/>
        </w:rPr>
      </w:pPr>
      <w:r>
        <w:rPr>
          <w:color w:val="000000"/>
        </w:rPr>
        <w:t xml:space="preserve">A pesar de la caída se registraron incrementos en el Impuesto Temporal a los Activos Netos - ITAN (4,1%) y los Fraccionamientos (2,3%). Sin embargo, se evidenciaron </w:t>
      </w:r>
      <w:r w:rsidR="00B24A55">
        <w:rPr>
          <w:color w:val="000000"/>
        </w:rPr>
        <w:t>caídas en el</w:t>
      </w:r>
      <w:r>
        <w:rPr>
          <w:color w:val="000000"/>
        </w:rPr>
        <w:t xml:space="preserve"> Impuesto a los Casinos y Tragamonedas</w:t>
      </w:r>
      <w:r w:rsidR="00B24A55">
        <w:rPr>
          <w:color w:val="000000"/>
        </w:rPr>
        <w:t xml:space="preserve"> e</w:t>
      </w:r>
      <w:r>
        <w:rPr>
          <w:color w:val="000000"/>
        </w:rPr>
        <w:t xml:space="preserve"> Ingresos como Recaudación, Impuesto a las Transacciones Financieras - ITF y Régimen Único Simplificado (-2,5%).</w:t>
      </w:r>
    </w:p>
    <w:p w14:paraId="38EF0710" w14:textId="05309475" w:rsidR="00873703" w:rsidRDefault="00873703" w:rsidP="00873703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before="1" w:line="237" w:lineRule="auto"/>
        <w:ind w:left="102" w:right="114"/>
        <w:jc w:val="both"/>
        <w:rPr>
          <w:rFonts w:ascii="Arial" w:eastAsia="Arial" w:hAnsi="Arial" w:cs="Arial"/>
          <w:b/>
          <w:color w:val="000000"/>
        </w:rPr>
      </w:pPr>
    </w:p>
    <w:p w14:paraId="33BBF02C" w14:textId="77777777" w:rsidR="00B24A55" w:rsidRDefault="00B24A55" w:rsidP="00873703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before="1" w:line="237" w:lineRule="auto"/>
        <w:ind w:left="102" w:right="114"/>
        <w:jc w:val="both"/>
        <w:rPr>
          <w:rFonts w:ascii="Arial" w:eastAsia="Arial" w:hAnsi="Arial" w:cs="Arial"/>
          <w:b/>
          <w:color w:val="000000"/>
        </w:rPr>
      </w:pPr>
    </w:p>
    <w:p w14:paraId="644C533F" w14:textId="173720B9" w:rsidR="0026225B" w:rsidRDefault="00834B47" w:rsidP="00873703">
      <w:p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before="1" w:line="237" w:lineRule="auto"/>
        <w:ind w:left="102" w:right="114"/>
        <w:jc w:val="both"/>
        <w:rPr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Devoluciones: </w:t>
      </w:r>
      <w:r>
        <w:rPr>
          <w:color w:val="000000"/>
        </w:rPr>
        <w:t>Las devoluciones de impuestos realizadas durante el mes de octubre ascendieron a S/ 1 767 millones, monto que representó una disminución de 31,9% en comparación con similar mes del año 2022.</w:t>
      </w:r>
    </w:p>
    <w:p w14:paraId="5F228F52" w14:textId="4BF98D25" w:rsidR="0026225B" w:rsidRDefault="0026225B" w:rsidP="00873703">
      <w:pPr>
        <w:pBdr>
          <w:top w:val="nil"/>
          <w:left w:val="nil"/>
          <w:bottom w:val="nil"/>
          <w:right w:val="nil"/>
          <w:between w:val="nil"/>
        </w:pBdr>
        <w:spacing w:before="3"/>
        <w:ind w:left="102"/>
        <w:rPr>
          <w:color w:val="000000"/>
          <w:sz w:val="24"/>
          <w:szCs w:val="24"/>
        </w:rPr>
      </w:pPr>
    </w:p>
    <w:p w14:paraId="3FA89105" w14:textId="77777777" w:rsidR="00B24A55" w:rsidRDefault="00B24A55" w:rsidP="00873703">
      <w:pPr>
        <w:pBdr>
          <w:top w:val="nil"/>
          <w:left w:val="nil"/>
          <w:bottom w:val="nil"/>
          <w:right w:val="nil"/>
          <w:between w:val="nil"/>
        </w:pBdr>
        <w:spacing w:before="3"/>
        <w:ind w:left="102"/>
        <w:rPr>
          <w:color w:val="000000"/>
          <w:sz w:val="24"/>
          <w:szCs w:val="24"/>
        </w:rPr>
      </w:pPr>
    </w:p>
    <w:p w14:paraId="4BE12B28" w14:textId="77777777" w:rsidR="0026225B" w:rsidRDefault="00834B47" w:rsidP="00873703">
      <w:pPr>
        <w:pStyle w:val="Ttulo1"/>
      </w:pPr>
      <w:r>
        <w:t>Factores determinantes de la recaudación de octubre</w:t>
      </w:r>
    </w:p>
    <w:p w14:paraId="18418CBA" w14:textId="77777777" w:rsidR="0026225B" w:rsidRDefault="0026225B" w:rsidP="00873703">
      <w:pPr>
        <w:pBdr>
          <w:top w:val="nil"/>
          <w:left w:val="nil"/>
          <w:bottom w:val="nil"/>
          <w:right w:val="nil"/>
          <w:between w:val="nil"/>
        </w:pBdr>
        <w:spacing w:before="9"/>
        <w:ind w:left="102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25C08454" w14:textId="77777777" w:rsidR="0026225B" w:rsidRDefault="00834B47" w:rsidP="00B24A55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02"/>
        <w:jc w:val="both"/>
        <w:rPr>
          <w:color w:val="000000"/>
        </w:rPr>
      </w:pPr>
      <w:r>
        <w:rPr>
          <w:color w:val="000000"/>
        </w:rPr>
        <w:t>El desempeño de la recaudación en octubre se sustenta en varios factores, entre los que destacan:</w:t>
      </w:r>
    </w:p>
    <w:p w14:paraId="65A14C4D" w14:textId="77777777" w:rsidR="0026225B" w:rsidRDefault="0026225B" w:rsidP="00873703">
      <w:pPr>
        <w:pBdr>
          <w:top w:val="nil"/>
          <w:left w:val="nil"/>
          <w:bottom w:val="nil"/>
          <w:right w:val="nil"/>
          <w:between w:val="nil"/>
        </w:pBdr>
        <w:spacing w:before="11"/>
        <w:ind w:left="102"/>
        <w:rPr>
          <w:color w:val="000000"/>
          <w:sz w:val="21"/>
          <w:szCs w:val="21"/>
        </w:rPr>
      </w:pPr>
    </w:p>
    <w:p w14:paraId="77F9123E" w14:textId="77777777" w:rsidR="0026225B" w:rsidRDefault="00834B47" w:rsidP="001F111D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line="237" w:lineRule="auto"/>
        <w:ind w:right="114"/>
        <w:jc w:val="both"/>
      </w:pPr>
      <w:r w:rsidRPr="001F111D">
        <w:rPr>
          <w:color w:val="000000"/>
        </w:rPr>
        <w:t>Según las estimaciones del BCRP, la actividad económica en septiembre mostró una desaceleración tanto en el Producto Bruto Interno como en la demanda interna.</w:t>
      </w:r>
    </w:p>
    <w:p w14:paraId="293DC06C" w14:textId="77777777" w:rsidR="0026225B" w:rsidRDefault="0026225B" w:rsidP="00873703">
      <w:pPr>
        <w:pBdr>
          <w:top w:val="nil"/>
          <w:left w:val="nil"/>
          <w:bottom w:val="nil"/>
          <w:right w:val="nil"/>
          <w:between w:val="nil"/>
        </w:pBdr>
        <w:spacing w:before="1"/>
        <w:ind w:left="102"/>
        <w:rPr>
          <w:color w:val="000000"/>
        </w:rPr>
      </w:pPr>
    </w:p>
    <w:p w14:paraId="410BB84A" w14:textId="77777777" w:rsidR="0026225B" w:rsidRPr="001F111D" w:rsidRDefault="00834B47" w:rsidP="00B24A5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822" w:right="114"/>
        <w:jc w:val="both"/>
        <w:rPr>
          <w:color w:val="000000"/>
        </w:rPr>
      </w:pPr>
      <w:r w:rsidRPr="001F111D">
        <w:rPr>
          <w:color w:val="000000"/>
        </w:rPr>
        <w:t>Adicionalmente, las importaciones experimentaron una contracción del 2,0%</w:t>
      </w:r>
      <w:r w:rsidRPr="001F111D">
        <w:rPr>
          <w:color w:val="000000"/>
          <w:vertAlign w:val="superscript"/>
        </w:rPr>
        <w:t>1</w:t>
      </w:r>
      <w:r w:rsidRPr="001F111D">
        <w:rPr>
          <w:color w:val="000000"/>
        </w:rPr>
        <w:t xml:space="preserve"> en octubre, lo que tuvo un impacto en la recaudación de ciertos tributos aduaneros, a lo que se sumó la disminución del tipo de cambio.</w:t>
      </w:r>
    </w:p>
    <w:p w14:paraId="79A9CC8A" w14:textId="77777777" w:rsidR="0026225B" w:rsidRDefault="0026225B" w:rsidP="00873703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</w:rPr>
      </w:pPr>
    </w:p>
    <w:p w14:paraId="0218CC4A" w14:textId="77777777" w:rsidR="0026225B" w:rsidRDefault="00834B47" w:rsidP="001F111D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ind w:right="117"/>
        <w:jc w:val="both"/>
      </w:pPr>
      <w:r w:rsidRPr="001F111D">
        <w:rPr>
          <w:color w:val="000000"/>
        </w:rPr>
        <w:t>La recaudación del Impuesto a la Renta continuó disminuyendo, afectada por la baja de los coeficientes utilizados para calcular los pagos a cuenta de la Tercera Categoría.</w:t>
      </w:r>
    </w:p>
    <w:p w14:paraId="0C61D3A1" w14:textId="77777777" w:rsidR="0026225B" w:rsidRDefault="0026225B" w:rsidP="00873703">
      <w:pPr>
        <w:pBdr>
          <w:top w:val="nil"/>
          <w:left w:val="nil"/>
          <w:bottom w:val="nil"/>
          <w:right w:val="nil"/>
          <w:between w:val="nil"/>
        </w:pBdr>
        <w:spacing w:before="11"/>
        <w:ind w:left="102"/>
        <w:rPr>
          <w:color w:val="000000"/>
          <w:sz w:val="21"/>
          <w:szCs w:val="21"/>
        </w:rPr>
      </w:pPr>
    </w:p>
    <w:p w14:paraId="2000896E" w14:textId="77777777" w:rsidR="0026225B" w:rsidRPr="001F111D" w:rsidRDefault="00834B47" w:rsidP="00B24A5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822" w:right="114"/>
        <w:jc w:val="both"/>
        <w:rPr>
          <w:color w:val="000000"/>
        </w:rPr>
      </w:pPr>
      <w:r w:rsidRPr="001F111D">
        <w:rPr>
          <w:color w:val="000000"/>
        </w:rPr>
        <w:t>Cabe precisar que un grupo significativo de contribuyentes sigue utilizando los mayores saldos a su favor informados en la Declaración Anual para compensar sus obligaciones tributarias corrientes.</w:t>
      </w:r>
    </w:p>
    <w:p w14:paraId="4FA5056F" w14:textId="77777777" w:rsidR="0026225B" w:rsidRDefault="0026225B" w:rsidP="00873703">
      <w:pPr>
        <w:pBdr>
          <w:top w:val="nil"/>
          <w:left w:val="nil"/>
          <w:bottom w:val="nil"/>
          <w:right w:val="nil"/>
          <w:between w:val="nil"/>
        </w:pBdr>
        <w:spacing w:before="3"/>
        <w:ind w:left="102"/>
        <w:rPr>
          <w:color w:val="000000"/>
        </w:rPr>
      </w:pPr>
    </w:p>
    <w:p w14:paraId="08CE6508" w14:textId="77777777" w:rsidR="0026225B" w:rsidRDefault="00834B47" w:rsidP="001F111D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30"/>
        </w:tabs>
        <w:spacing w:line="237" w:lineRule="auto"/>
        <w:ind w:right="114"/>
        <w:jc w:val="both"/>
      </w:pPr>
      <w:r w:rsidRPr="001F111D">
        <w:rPr>
          <w:color w:val="000000"/>
        </w:rPr>
        <w:t>En octubre, los pagos extraordinarios obtenidos como resultado de las acciones de control llevadas a cabo por la SUNAT alcanzaron los S/ 252 millones, monto menor a los S/ 752 millones registrados en el mismo mes del año anterior.</w:t>
      </w:r>
    </w:p>
    <w:p w14:paraId="71069CB3" w14:textId="77777777" w:rsidR="0026225B" w:rsidRDefault="0026225B" w:rsidP="00873703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  <w:sz w:val="20"/>
          <w:szCs w:val="20"/>
        </w:rPr>
      </w:pPr>
    </w:p>
    <w:p w14:paraId="25B67318" w14:textId="77777777" w:rsidR="0026225B" w:rsidRDefault="002622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36A2121" w14:textId="77777777" w:rsidR="0026225B" w:rsidRDefault="002622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985DEC7" w14:textId="77777777" w:rsidR="0026225B" w:rsidRDefault="002622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FC078CC" w14:textId="77777777" w:rsidR="0026225B" w:rsidRDefault="002622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40CCFC7" w14:textId="77777777" w:rsidR="0026225B" w:rsidRDefault="002622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A8BED4B" w14:textId="77777777" w:rsidR="0026225B" w:rsidRDefault="002622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51B3495" w14:textId="77777777" w:rsidR="0026225B" w:rsidRDefault="002622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FBD05E8" w14:textId="77777777" w:rsidR="0026225B" w:rsidRDefault="002622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1985D97" w14:textId="77777777" w:rsidR="0026225B" w:rsidRDefault="002622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D4B2832" w14:textId="77777777" w:rsidR="0026225B" w:rsidRDefault="0026225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793240C" w14:textId="77777777" w:rsidR="00873703" w:rsidRDefault="0087370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6"/>
          <w:szCs w:val="26"/>
        </w:rPr>
      </w:pPr>
    </w:p>
    <w:p w14:paraId="4E1FF170" w14:textId="77777777" w:rsidR="00873703" w:rsidRDefault="0087370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6"/>
          <w:szCs w:val="26"/>
        </w:rPr>
      </w:pPr>
    </w:p>
    <w:p w14:paraId="16709A07" w14:textId="77777777" w:rsidR="00873703" w:rsidRDefault="0087370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6"/>
          <w:szCs w:val="26"/>
        </w:rPr>
      </w:pPr>
    </w:p>
    <w:p w14:paraId="0751E4CD" w14:textId="3A7E32D3" w:rsidR="0026225B" w:rsidRDefault="007921E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6"/>
          <w:szCs w:val="26"/>
        </w:rPr>
      </w:pPr>
      <w:r>
        <w:pict w14:anchorId="178C0DDF">
          <v:rect id="_x0000_s2291" style="position:absolute;margin-left:5.1pt;margin-top:17.15pt;width:2in;height:.7pt;z-index:-251658752;mso-wrap-distance-left:0;mso-wrap-distance-right:0;mso-position-horizontal:absolute;mso-position-horizontal-relative:margin;mso-position-vertical:absolute;mso-position-vertical-relative:text" fillcolor="black" stroked="f">
            <w10:wrap type="topAndBottom" anchorx="margin"/>
          </v:rect>
        </w:pict>
      </w:r>
    </w:p>
    <w:p w14:paraId="6BC34FC2" w14:textId="77777777" w:rsidR="0026225B" w:rsidRDefault="00834B47">
      <w:pPr>
        <w:spacing w:before="73"/>
        <w:ind w:left="102"/>
        <w:rPr>
          <w:sz w:val="18"/>
          <w:szCs w:val="18"/>
        </w:rPr>
        <w:sectPr w:rsidR="0026225B">
          <w:headerReference w:type="default" r:id="rId7"/>
          <w:footerReference w:type="default" r:id="rId8"/>
          <w:pgSz w:w="11910" w:h="16840"/>
          <w:pgMar w:top="1460" w:right="1580" w:bottom="1440" w:left="1600" w:header="485" w:footer="1247" w:gutter="0"/>
          <w:cols w:space="720"/>
        </w:sectPr>
      </w:pPr>
      <w:r>
        <w:rPr>
          <w:rFonts w:ascii="Calibri" w:eastAsia="Calibri" w:hAnsi="Calibri" w:cs="Calibri"/>
          <w:sz w:val="20"/>
          <w:szCs w:val="20"/>
          <w:vertAlign w:val="superscript"/>
        </w:rPr>
        <w:t>1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sz w:val="20"/>
          <w:szCs w:val="20"/>
        </w:rPr>
        <w:t>Variación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nominal c</w:t>
      </w:r>
      <w:r>
        <w:rPr>
          <w:sz w:val="18"/>
          <w:szCs w:val="18"/>
        </w:rPr>
        <w:t>alculada en US$.</w:t>
      </w:r>
    </w:p>
    <w:p w14:paraId="21286A29" w14:textId="77777777" w:rsidR="00873703" w:rsidRDefault="00873703">
      <w:pPr>
        <w:spacing w:before="75"/>
        <w:ind w:right="17"/>
        <w:jc w:val="center"/>
        <w:rPr>
          <w:rFonts w:ascii="Arial" w:eastAsia="Arial" w:hAnsi="Arial" w:cs="Arial"/>
          <w:b/>
          <w:sz w:val="24"/>
          <w:szCs w:val="24"/>
        </w:rPr>
      </w:pPr>
    </w:p>
    <w:p w14:paraId="356A98DF" w14:textId="673BD092" w:rsidR="00873703" w:rsidRDefault="0058024A">
      <w:pPr>
        <w:spacing w:before="75"/>
        <w:ind w:right="1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Anexos</w:t>
      </w:r>
    </w:p>
    <w:p w14:paraId="55622450" w14:textId="07C68F57" w:rsidR="0058024A" w:rsidRDefault="0058024A">
      <w:pPr>
        <w:spacing w:before="75"/>
        <w:ind w:right="1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646985F1" wp14:editId="2C1048D3">
            <wp:extent cx="5401310" cy="2590800"/>
            <wp:effectExtent l="0" t="0" r="889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267518" w14:textId="60A1B7EF" w:rsidR="00873703" w:rsidRDefault="00873703">
      <w:pPr>
        <w:spacing w:before="75"/>
        <w:ind w:right="17"/>
        <w:jc w:val="center"/>
        <w:rPr>
          <w:rFonts w:ascii="Arial" w:eastAsia="Arial" w:hAnsi="Arial" w:cs="Arial"/>
          <w:b/>
          <w:sz w:val="24"/>
          <w:szCs w:val="24"/>
        </w:rPr>
      </w:pPr>
    </w:p>
    <w:p w14:paraId="371A3FAA" w14:textId="77777777" w:rsidR="0058024A" w:rsidRDefault="0058024A">
      <w:pPr>
        <w:spacing w:before="75"/>
        <w:ind w:right="17"/>
        <w:jc w:val="center"/>
        <w:rPr>
          <w:rFonts w:ascii="Arial" w:eastAsia="Arial" w:hAnsi="Arial" w:cs="Arial"/>
          <w:b/>
          <w:sz w:val="24"/>
          <w:szCs w:val="24"/>
        </w:rPr>
      </w:pPr>
    </w:p>
    <w:p w14:paraId="25780C10" w14:textId="07CF7679" w:rsidR="0058024A" w:rsidRDefault="0058024A">
      <w:pPr>
        <w:spacing w:before="75"/>
        <w:ind w:right="1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5F192D43" wp14:editId="4A1B4C34">
            <wp:extent cx="5102860" cy="2438400"/>
            <wp:effectExtent l="0" t="0" r="254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286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3F4E3C" w14:textId="77777777" w:rsidR="0058024A" w:rsidRDefault="0058024A">
      <w:pPr>
        <w:spacing w:before="75"/>
        <w:ind w:right="17"/>
        <w:jc w:val="center"/>
        <w:rPr>
          <w:rFonts w:ascii="Arial" w:eastAsia="Arial" w:hAnsi="Arial" w:cs="Arial"/>
          <w:b/>
          <w:sz w:val="24"/>
          <w:szCs w:val="24"/>
        </w:rPr>
      </w:pPr>
    </w:p>
    <w:p w14:paraId="4C53AD96" w14:textId="39006EA6" w:rsidR="00873703" w:rsidRDefault="0058024A">
      <w:pPr>
        <w:spacing w:before="75"/>
        <w:ind w:right="1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22C50BE1" wp14:editId="773EA302">
            <wp:extent cx="5041900" cy="2237740"/>
            <wp:effectExtent l="0" t="0" r="635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2237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D29087" w14:textId="05092F8F" w:rsidR="00873703" w:rsidRDefault="00873703">
      <w:pPr>
        <w:spacing w:before="75"/>
        <w:ind w:right="17"/>
        <w:jc w:val="center"/>
        <w:rPr>
          <w:rFonts w:ascii="Arial" w:eastAsia="Arial" w:hAnsi="Arial" w:cs="Arial"/>
          <w:b/>
          <w:sz w:val="24"/>
          <w:szCs w:val="24"/>
        </w:rPr>
      </w:pPr>
    </w:p>
    <w:p w14:paraId="18186188" w14:textId="44908ECD" w:rsidR="0058024A" w:rsidRDefault="0058024A">
      <w:pPr>
        <w:spacing w:before="75"/>
        <w:ind w:right="1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49FB6E7E" wp14:editId="213DE5CF">
            <wp:extent cx="4913630" cy="2145665"/>
            <wp:effectExtent l="0" t="0" r="1270" b="698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630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CA4A6D" w14:textId="708CC6A4" w:rsidR="00873703" w:rsidRDefault="00873703">
      <w:pPr>
        <w:spacing w:before="75"/>
        <w:ind w:right="17"/>
        <w:jc w:val="center"/>
        <w:rPr>
          <w:rFonts w:ascii="Arial" w:eastAsia="Arial" w:hAnsi="Arial" w:cs="Arial"/>
          <w:b/>
          <w:sz w:val="24"/>
          <w:szCs w:val="24"/>
        </w:rPr>
      </w:pPr>
    </w:p>
    <w:p w14:paraId="63AD6335" w14:textId="0DC3DC2C" w:rsidR="0058024A" w:rsidRDefault="0058024A">
      <w:pPr>
        <w:spacing w:before="75"/>
        <w:ind w:right="17"/>
        <w:jc w:val="center"/>
        <w:rPr>
          <w:rFonts w:ascii="Arial" w:eastAsia="Arial" w:hAnsi="Arial" w:cs="Arial"/>
          <w:b/>
          <w:sz w:val="24"/>
          <w:szCs w:val="24"/>
        </w:rPr>
      </w:pPr>
    </w:p>
    <w:p w14:paraId="2DE23763" w14:textId="278C527B" w:rsidR="0058024A" w:rsidRDefault="0058024A">
      <w:pPr>
        <w:spacing w:before="75"/>
        <w:ind w:right="1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7CE3B128" wp14:editId="6C26CCD1">
            <wp:extent cx="4901565" cy="23717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E527CD" w14:textId="77777777" w:rsidR="00873703" w:rsidRDefault="00873703">
      <w:pPr>
        <w:spacing w:before="75"/>
        <w:ind w:right="17"/>
        <w:jc w:val="center"/>
        <w:rPr>
          <w:rFonts w:ascii="Arial" w:eastAsia="Arial" w:hAnsi="Arial" w:cs="Arial"/>
          <w:b/>
          <w:sz w:val="24"/>
          <w:szCs w:val="24"/>
        </w:rPr>
      </w:pPr>
    </w:p>
    <w:p w14:paraId="3CCD4414" w14:textId="77777777" w:rsidR="00873703" w:rsidRDefault="00873703">
      <w:pPr>
        <w:spacing w:before="75"/>
        <w:ind w:right="17"/>
        <w:jc w:val="center"/>
        <w:rPr>
          <w:rFonts w:ascii="Arial" w:eastAsia="Arial" w:hAnsi="Arial" w:cs="Arial"/>
          <w:b/>
          <w:sz w:val="24"/>
          <w:szCs w:val="24"/>
        </w:rPr>
      </w:pPr>
    </w:p>
    <w:p w14:paraId="4F8F2929" w14:textId="77777777" w:rsidR="00873703" w:rsidRDefault="00873703">
      <w:pPr>
        <w:spacing w:before="75"/>
        <w:ind w:right="17"/>
        <w:jc w:val="center"/>
        <w:rPr>
          <w:rFonts w:ascii="Arial" w:eastAsia="Arial" w:hAnsi="Arial" w:cs="Arial"/>
          <w:b/>
          <w:sz w:val="24"/>
          <w:szCs w:val="24"/>
        </w:rPr>
      </w:pPr>
    </w:p>
    <w:p w14:paraId="01FF5A04" w14:textId="77777777" w:rsidR="00873703" w:rsidRDefault="00873703">
      <w:pPr>
        <w:spacing w:before="75"/>
        <w:ind w:right="17"/>
        <w:jc w:val="center"/>
        <w:rPr>
          <w:rFonts w:ascii="Arial" w:eastAsia="Arial" w:hAnsi="Arial" w:cs="Arial"/>
          <w:b/>
          <w:sz w:val="24"/>
          <w:szCs w:val="24"/>
        </w:rPr>
      </w:pPr>
    </w:p>
    <w:p w14:paraId="2642565E" w14:textId="77777777" w:rsidR="00873703" w:rsidRDefault="00873703">
      <w:pPr>
        <w:spacing w:before="75"/>
        <w:ind w:right="17"/>
        <w:jc w:val="center"/>
        <w:rPr>
          <w:rFonts w:ascii="Arial" w:eastAsia="Arial" w:hAnsi="Arial" w:cs="Arial"/>
          <w:b/>
          <w:sz w:val="24"/>
          <w:szCs w:val="24"/>
        </w:rPr>
      </w:pPr>
    </w:p>
    <w:p w14:paraId="1FF52100" w14:textId="77777777" w:rsidR="00873703" w:rsidRDefault="00873703">
      <w:pPr>
        <w:spacing w:before="75"/>
        <w:ind w:right="17"/>
        <w:jc w:val="center"/>
        <w:rPr>
          <w:rFonts w:ascii="Arial" w:eastAsia="Arial" w:hAnsi="Arial" w:cs="Arial"/>
          <w:b/>
          <w:sz w:val="24"/>
          <w:szCs w:val="24"/>
        </w:rPr>
      </w:pPr>
    </w:p>
    <w:p w14:paraId="02DCB614" w14:textId="77777777" w:rsidR="00873703" w:rsidRDefault="00873703">
      <w:pPr>
        <w:spacing w:before="75"/>
        <w:ind w:right="17"/>
        <w:jc w:val="center"/>
        <w:rPr>
          <w:rFonts w:ascii="Arial" w:eastAsia="Arial" w:hAnsi="Arial" w:cs="Arial"/>
          <w:b/>
          <w:sz w:val="24"/>
          <w:szCs w:val="24"/>
        </w:rPr>
      </w:pPr>
    </w:p>
    <w:p w14:paraId="42813D36" w14:textId="77777777" w:rsidR="00873703" w:rsidRDefault="00873703">
      <w:pPr>
        <w:spacing w:before="75"/>
        <w:ind w:right="17"/>
        <w:jc w:val="center"/>
        <w:rPr>
          <w:rFonts w:ascii="Arial" w:eastAsia="Arial" w:hAnsi="Arial" w:cs="Arial"/>
          <w:b/>
          <w:sz w:val="24"/>
          <w:szCs w:val="24"/>
        </w:rPr>
      </w:pPr>
    </w:p>
    <w:p w14:paraId="328EA5D7" w14:textId="77777777" w:rsidR="00873703" w:rsidRDefault="00873703">
      <w:pPr>
        <w:spacing w:before="75"/>
        <w:ind w:right="17"/>
        <w:jc w:val="center"/>
        <w:rPr>
          <w:rFonts w:ascii="Arial" w:eastAsia="Arial" w:hAnsi="Arial" w:cs="Arial"/>
          <w:b/>
          <w:sz w:val="24"/>
          <w:szCs w:val="24"/>
        </w:rPr>
      </w:pPr>
    </w:p>
    <w:p w14:paraId="465461B1" w14:textId="77777777" w:rsidR="00873703" w:rsidRDefault="00873703">
      <w:pPr>
        <w:spacing w:before="75"/>
        <w:ind w:right="17"/>
        <w:jc w:val="center"/>
        <w:rPr>
          <w:rFonts w:ascii="Arial" w:eastAsia="Arial" w:hAnsi="Arial" w:cs="Arial"/>
          <w:b/>
          <w:sz w:val="24"/>
          <w:szCs w:val="24"/>
        </w:rPr>
      </w:pPr>
    </w:p>
    <w:p w14:paraId="33A57DF1" w14:textId="77777777" w:rsidR="00873703" w:rsidRDefault="00873703">
      <w:pPr>
        <w:spacing w:before="75"/>
        <w:ind w:right="17"/>
        <w:jc w:val="center"/>
        <w:rPr>
          <w:rFonts w:ascii="Arial" w:eastAsia="Arial" w:hAnsi="Arial" w:cs="Arial"/>
          <w:b/>
          <w:sz w:val="24"/>
          <w:szCs w:val="24"/>
        </w:rPr>
      </w:pPr>
    </w:p>
    <w:p w14:paraId="3AD0D025" w14:textId="77777777" w:rsidR="00873703" w:rsidRDefault="00873703">
      <w:pPr>
        <w:spacing w:before="75"/>
        <w:ind w:right="17"/>
        <w:jc w:val="center"/>
        <w:rPr>
          <w:rFonts w:ascii="Arial" w:eastAsia="Arial" w:hAnsi="Arial" w:cs="Arial"/>
          <w:b/>
          <w:sz w:val="24"/>
          <w:szCs w:val="24"/>
        </w:rPr>
      </w:pPr>
    </w:p>
    <w:p w14:paraId="2F8D47C4" w14:textId="77777777" w:rsidR="00873703" w:rsidRDefault="00873703">
      <w:pPr>
        <w:spacing w:before="75"/>
        <w:ind w:right="17"/>
        <w:jc w:val="center"/>
        <w:rPr>
          <w:rFonts w:ascii="Arial" w:eastAsia="Arial" w:hAnsi="Arial" w:cs="Arial"/>
          <w:b/>
          <w:sz w:val="24"/>
          <w:szCs w:val="24"/>
        </w:rPr>
      </w:pPr>
    </w:p>
    <w:p w14:paraId="5839026E" w14:textId="77777777" w:rsidR="00873703" w:rsidRDefault="00873703">
      <w:pPr>
        <w:spacing w:before="75"/>
        <w:ind w:right="17"/>
        <w:jc w:val="center"/>
        <w:rPr>
          <w:rFonts w:ascii="Arial" w:eastAsia="Arial" w:hAnsi="Arial" w:cs="Arial"/>
          <w:b/>
          <w:sz w:val="24"/>
          <w:szCs w:val="24"/>
        </w:rPr>
      </w:pPr>
    </w:p>
    <w:p w14:paraId="2812C421" w14:textId="77777777" w:rsidR="00873703" w:rsidRDefault="00873703">
      <w:pPr>
        <w:spacing w:before="75"/>
        <w:ind w:right="17"/>
        <w:jc w:val="center"/>
        <w:rPr>
          <w:rFonts w:ascii="Arial" w:eastAsia="Arial" w:hAnsi="Arial" w:cs="Arial"/>
          <w:b/>
          <w:sz w:val="24"/>
          <w:szCs w:val="24"/>
        </w:rPr>
      </w:pPr>
    </w:p>
    <w:p w14:paraId="20FEC7A8" w14:textId="77777777" w:rsidR="00873703" w:rsidRDefault="00873703">
      <w:pPr>
        <w:spacing w:before="75"/>
        <w:ind w:right="17"/>
        <w:jc w:val="center"/>
        <w:rPr>
          <w:rFonts w:ascii="Arial" w:eastAsia="Arial" w:hAnsi="Arial" w:cs="Arial"/>
          <w:b/>
          <w:sz w:val="24"/>
          <w:szCs w:val="24"/>
        </w:rPr>
      </w:pPr>
    </w:p>
    <w:p w14:paraId="3B53902D" w14:textId="77777777" w:rsidR="0058024A" w:rsidRDefault="0058024A">
      <w:pPr>
        <w:pStyle w:val="Ttulo1"/>
        <w:spacing w:before="74" w:line="252" w:lineRule="auto"/>
        <w:ind w:left="2286" w:right="2035" w:firstLine="66"/>
      </w:pPr>
    </w:p>
    <w:p w14:paraId="7E32EBAA" w14:textId="088A43B1" w:rsidR="0026225B" w:rsidRDefault="00834B47">
      <w:pPr>
        <w:pStyle w:val="Ttulo1"/>
        <w:spacing w:before="74" w:line="252" w:lineRule="auto"/>
        <w:ind w:left="2286" w:right="2035" w:firstLine="66"/>
      </w:pPr>
      <w:r>
        <w:lastRenderedPageBreak/>
        <w:t>Recaudación por tributo: octubre 2023 (en millones de soles y variación % real)</w:t>
      </w:r>
    </w:p>
    <w:p w14:paraId="0287D5B4" w14:textId="77777777" w:rsidR="0026225B" w:rsidRDefault="0026225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301E1CB4" w14:textId="77777777" w:rsidR="0026225B" w:rsidRDefault="0026225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0E3FF5B8" w14:textId="45C01FC5" w:rsidR="0026225B" w:rsidRDefault="0058024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  <w:r w:rsidRPr="00D04BD7">
        <w:rPr>
          <w:noProof/>
        </w:rPr>
        <w:drawing>
          <wp:inline distT="0" distB="0" distL="0" distR="0" wp14:anchorId="768F95BE" wp14:editId="7D708E4F">
            <wp:extent cx="5400040" cy="4626591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589" cy="463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25388" w14:textId="77777777" w:rsidR="0026225B" w:rsidRDefault="0026225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6"/>
          <w:szCs w:val="26"/>
        </w:rPr>
      </w:pPr>
    </w:p>
    <w:p w14:paraId="6084763A" w14:textId="77777777" w:rsidR="0026225B" w:rsidRDefault="0026225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Arial" w:eastAsia="Arial" w:hAnsi="Arial" w:cs="Arial"/>
          <w:b/>
          <w:color w:val="000000"/>
          <w:sz w:val="27"/>
          <w:szCs w:val="27"/>
        </w:rPr>
      </w:pPr>
    </w:p>
    <w:p w14:paraId="54B87486" w14:textId="77777777" w:rsidR="0026225B" w:rsidRDefault="00834B47">
      <w:pPr>
        <w:ind w:left="10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Gerencia de Comunicaciones e Imagen Institucional</w:t>
      </w:r>
    </w:p>
    <w:p w14:paraId="435B1045" w14:textId="77777777" w:rsidR="0026225B" w:rsidRDefault="00834B47">
      <w:pPr>
        <w:pBdr>
          <w:top w:val="nil"/>
          <w:left w:val="nil"/>
          <w:bottom w:val="nil"/>
          <w:right w:val="nil"/>
          <w:between w:val="nil"/>
        </w:pBdr>
        <w:spacing w:before="14"/>
        <w:ind w:left="102"/>
        <w:rPr>
          <w:color w:val="000000"/>
        </w:rPr>
      </w:pPr>
      <w:r>
        <w:rPr>
          <w:color w:val="000000"/>
        </w:rPr>
        <w:t>Lima, viernes 3 de noviembre del 2023.</w:t>
      </w:r>
    </w:p>
    <w:sectPr w:rsidR="0026225B">
      <w:pgSz w:w="11910" w:h="16840"/>
      <w:pgMar w:top="1460" w:right="1580" w:bottom="1520" w:left="1600" w:header="485" w:footer="12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C5EAE" w14:textId="77777777" w:rsidR="004B2472" w:rsidRDefault="004B2472">
      <w:r>
        <w:separator/>
      </w:r>
    </w:p>
  </w:endnote>
  <w:endnote w:type="continuationSeparator" w:id="0">
    <w:p w14:paraId="6AD24A1A" w14:textId="77777777" w:rsidR="004B2472" w:rsidRDefault="004B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1CEBE" w14:textId="49A44251" w:rsidR="0026225B" w:rsidRDefault="007921E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7FD84B0" wp14:editId="78E378F5">
              <wp:simplePos x="0" y="0"/>
              <wp:positionH relativeFrom="margin">
                <wp:posOffset>337185</wp:posOffset>
              </wp:positionH>
              <wp:positionV relativeFrom="paragraph">
                <wp:posOffset>168275</wp:posOffset>
              </wp:positionV>
              <wp:extent cx="902335" cy="165735"/>
              <wp:effectExtent l="381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3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C1FD9" w14:textId="77777777" w:rsidR="00667075" w:rsidRDefault="00834B4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@SUNATOficial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D84B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6.55pt;margin-top:13.25pt;width:71.05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" filled="f" stroked="f">
              <v:textbox inset="0,0,0,0">
                <w:txbxContent>
                  <w:p w14:paraId="424C1FD9" w14:textId="77777777" w:rsidR="00667075" w:rsidRDefault="00834B4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@SUNATOficial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34B47">
      <w:rPr>
        <w:noProof/>
      </w:rPr>
      <w:drawing>
        <wp:anchor distT="0" distB="0" distL="0" distR="0" simplePos="0" relativeHeight="251657728" behindDoc="1" locked="0" layoutInCell="1" hidden="0" allowOverlap="1" wp14:anchorId="53D83EDC" wp14:editId="29F05F8E">
          <wp:simplePos x="0" y="0"/>
          <wp:positionH relativeFrom="column">
            <wp:posOffset>64135</wp:posOffset>
          </wp:positionH>
          <wp:positionV relativeFrom="paragraph">
            <wp:posOffset>0</wp:posOffset>
          </wp:positionV>
          <wp:extent cx="276225" cy="276224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225" cy="2762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AD8CA" w14:textId="77777777" w:rsidR="004B2472" w:rsidRDefault="004B2472">
      <w:r>
        <w:separator/>
      </w:r>
    </w:p>
  </w:footnote>
  <w:footnote w:type="continuationSeparator" w:id="0">
    <w:p w14:paraId="23C34A1E" w14:textId="77777777" w:rsidR="004B2472" w:rsidRDefault="004B2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8F09" w14:textId="77777777" w:rsidR="0026225B" w:rsidRDefault="00834B4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6704" behindDoc="1" locked="0" layoutInCell="1" hidden="0" allowOverlap="1" wp14:anchorId="027EE06B" wp14:editId="587412AE">
          <wp:simplePos x="0" y="0"/>
          <wp:positionH relativeFrom="page">
            <wp:posOffset>1189938</wp:posOffset>
          </wp:positionH>
          <wp:positionV relativeFrom="page">
            <wp:posOffset>307847</wp:posOffset>
          </wp:positionV>
          <wp:extent cx="2017643" cy="626363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7643" cy="6263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C21C5"/>
    <w:multiLevelType w:val="multilevel"/>
    <w:tmpl w:val="93186CA2"/>
    <w:lvl w:ilvl="0">
      <w:numFmt w:val="bullet"/>
      <w:lvlText w:val="●"/>
      <w:lvlJc w:val="left"/>
      <w:pPr>
        <w:ind w:left="529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1340" w:hanging="360"/>
      </w:pPr>
    </w:lvl>
    <w:lvl w:ilvl="2">
      <w:numFmt w:val="bullet"/>
      <w:lvlText w:val="•"/>
      <w:lvlJc w:val="left"/>
      <w:pPr>
        <w:ind w:left="2161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802" w:hanging="360"/>
      </w:pPr>
    </w:lvl>
    <w:lvl w:ilvl="5">
      <w:numFmt w:val="bullet"/>
      <w:lvlText w:val="•"/>
      <w:lvlJc w:val="left"/>
      <w:pPr>
        <w:ind w:left="4623" w:hanging="360"/>
      </w:pPr>
    </w:lvl>
    <w:lvl w:ilvl="6">
      <w:numFmt w:val="bullet"/>
      <w:lvlText w:val="•"/>
      <w:lvlJc w:val="left"/>
      <w:pPr>
        <w:ind w:left="5443" w:hanging="360"/>
      </w:pPr>
    </w:lvl>
    <w:lvl w:ilvl="7">
      <w:numFmt w:val="bullet"/>
      <w:lvlText w:val="•"/>
      <w:lvlJc w:val="left"/>
      <w:pPr>
        <w:ind w:left="6264" w:hanging="360"/>
      </w:pPr>
    </w:lvl>
    <w:lvl w:ilvl="8">
      <w:numFmt w:val="bullet"/>
      <w:lvlText w:val="•"/>
      <w:lvlJc w:val="left"/>
      <w:pPr>
        <w:ind w:left="7085" w:hanging="360"/>
      </w:pPr>
    </w:lvl>
  </w:abstractNum>
  <w:abstractNum w:abstractNumId="1" w15:restartNumberingAfterBreak="0">
    <w:nsid w:val="77F6714F"/>
    <w:multiLevelType w:val="hybridMultilevel"/>
    <w:tmpl w:val="E2267E60"/>
    <w:lvl w:ilvl="0" w:tplc="28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1822693663">
    <w:abstractNumId w:val="0"/>
  </w:num>
  <w:num w:numId="2" w16cid:durableId="943417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2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25B"/>
    <w:rsid w:val="001F111D"/>
    <w:rsid w:val="00256BC6"/>
    <w:rsid w:val="0026225B"/>
    <w:rsid w:val="00311A33"/>
    <w:rsid w:val="003A3BD4"/>
    <w:rsid w:val="004B2472"/>
    <w:rsid w:val="0058024A"/>
    <w:rsid w:val="00736E5A"/>
    <w:rsid w:val="007921EA"/>
    <w:rsid w:val="00834B47"/>
    <w:rsid w:val="00873703"/>
    <w:rsid w:val="009F66BA"/>
    <w:rsid w:val="00B24A55"/>
    <w:rsid w:val="00B40D2E"/>
    <w:rsid w:val="00D342CE"/>
    <w:rsid w:val="00DA1AB2"/>
    <w:rsid w:val="00E9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2"/>
    <o:shapelayout v:ext="edit">
      <o:idmap v:ext="edit" data="2"/>
    </o:shapelayout>
  </w:shapeDefaults>
  <w:decimalSymbol w:val="."/>
  <w:listSeparator w:val=";"/>
  <w14:docId w14:val="1AC6FCB3"/>
  <w15:docId w15:val="{A2E38507-B963-49C3-AD54-95CD0227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es-E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2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80"/>
      <w:ind w:left="966" w:firstLine="50"/>
    </w:pPr>
    <w:rPr>
      <w:rFonts w:ascii="Arial" w:eastAsia="Arial" w:hAnsi="Arial" w:cs="Arial"/>
      <w:b/>
      <w:sz w:val="36"/>
      <w:szCs w:val="3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873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687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 Lizarbe Carlos Gary</dc:creator>
  <cp:lastModifiedBy>Manzaneda Miranda Gardy Raul</cp:lastModifiedBy>
  <cp:revision>10</cp:revision>
  <dcterms:created xsi:type="dcterms:W3CDTF">2023-11-03T13:04:00Z</dcterms:created>
  <dcterms:modified xsi:type="dcterms:W3CDTF">2023-11-06T14:26:00Z</dcterms:modified>
</cp:coreProperties>
</file>