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588F" w14:textId="5C1D8F1E" w:rsidR="001C7C8D" w:rsidRDefault="001C7C8D" w:rsidP="001C7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 Nova" w:eastAsia="Arial" w:hAnsi="Arial Nova" w:cs="Arial"/>
          <w:bCs/>
          <w:iCs/>
          <w:caps/>
          <w:sz w:val="24"/>
          <w:szCs w:val="24"/>
        </w:rPr>
      </w:pPr>
      <w:r w:rsidRPr="001C7C8D">
        <w:rPr>
          <w:rFonts w:ascii="Arial Nova" w:eastAsia="Arial" w:hAnsi="Arial Nova" w:cs="Arial"/>
          <w:bCs/>
          <w:iCs/>
          <w:sz w:val="24"/>
          <w:szCs w:val="24"/>
        </w:rPr>
        <w:t xml:space="preserve">Nota de prensa </w:t>
      </w:r>
      <w:proofErr w:type="spellStart"/>
      <w:r w:rsidRPr="001C7C8D">
        <w:rPr>
          <w:rFonts w:ascii="Arial Nova" w:eastAsia="Arial" w:hAnsi="Arial Nova" w:cs="Arial"/>
          <w:bCs/>
          <w:iCs/>
          <w:sz w:val="24"/>
          <w:szCs w:val="24"/>
        </w:rPr>
        <w:t>n°</w:t>
      </w:r>
      <w:proofErr w:type="spellEnd"/>
      <w:r w:rsidRPr="001C7C8D">
        <w:rPr>
          <w:rFonts w:ascii="Arial Nova" w:eastAsia="Arial" w:hAnsi="Arial Nova" w:cs="Arial"/>
          <w:bCs/>
          <w:iCs/>
          <w:sz w:val="24"/>
          <w:szCs w:val="24"/>
        </w:rPr>
        <w:t xml:space="preserve"> 0</w:t>
      </w:r>
      <w:r w:rsidR="00D80916">
        <w:rPr>
          <w:rFonts w:ascii="Arial Nova" w:eastAsia="Arial" w:hAnsi="Arial Nova" w:cs="Arial"/>
          <w:bCs/>
          <w:iCs/>
          <w:caps/>
          <w:sz w:val="24"/>
          <w:szCs w:val="24"/>
        </w:rPr>
        <w:t>64</w:t>
      </w:r>
    </w:p>
    <w:p w14:paraId="5F28DC9D" w14:textId="77777777" w:rsidR="001C7C8D" w:rsidRPr="001C7C8D" w:rsidRDefault="001C7C8D" w:rsidP="001C7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 Nova" w:eastAsia="Arial" w:hAnsi="Arial Nova" w:cs="Arial"/>
          <w:bCs/>
          <w:iCs/>
          <w:caps/>
          <w:sz w:val="24"/>
          <w:szCs w:val="24"/>
        </w:rPr>
      </w:pPr>
    </w:p>
    <w:p w14:paraId="32C6453D" w14:textId="4D5935BA" w:rsidR="009162C5" w:rsidRPr="00D51A32" w:rsidRDefault="0021750A" w:rsidP="00D51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/>
          <w:iCs/>
          <w:caps/>
          <w:sz w:val="36"/>
          <w:szCs w:val="36"/>
        </w:rPr>
      </w:pPr>
      <w:r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INGRESOS </w:t>
      </w:r>
      <w:r w:rsidR="00754A2C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TRIBUTARIOS </w:t>
      </w:r>
      <w:r w:rsidR="003D5D5B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DE </w:t>
      </w:r>
      <w:r w:rsidR="00EF5573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Septiembre</w:t>
      </w:r>
      <w:r w:rsidR="003D5D5B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 ALCANZA</w:t>
      </w:r>
      <w:r w:rsidR="00C87538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R</w:t>
      </w:r>
      <w:r w:rsidR="003D5D5B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ON LOS s/ </w:t>
      </w:r>
      <w:r w:rsidR="003B282C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1</w:t>
      </w:r>
      <w:r w:rsidR="00B52A53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1</w:t>
      </w:r>
      <w:r w:rsidR="00A566AC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 </w:t>
      </w:r>
      <w:r w:rsidR="000B2297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0</w:t>
      </w:r>
      <w:r w:rsidR="008625AF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55</w:t>
      </w:r>
      <w:r w:rsidR="00A566AC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 </w:t>
      </w:r>
      <w:r w:rsidR="003D5D5B" w:rsidRPr="00D51A32">
        <w:rPr>
          <w:rFonts w:ascii="Arial Nova" w:eastAsia="Arial" w:hAnsi="Arial Nova" w:cs="Arial"/>
          <w:b/>
          <w:iCs/>
          <w:caps/>
          <w:sz w:val="36"/>
          <w:szCs w:val="36"/>
        </w:rPr>
        <w:t>MILLONES</w:t>
      </w:r>
    </w:p>
    <w:p w14:paraId="30769E98" w14:textId="77777777" w:rsidR="007C3C0A" w:rsidRPr="00D51A32" w:rsidRDefault="007C3C0A" w:rsidP="00D51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" w:eastAsia="Arial" w:hAnsi="Arial" w:cs="Arial"/>
          <w:b/>
          <w:iCs/>
          <w:caps/>
        </w:rPr>
      </w:pPr>
    </w:p>
    <w:p w14:paraId="4BA428BE" w14:textId="4694195F" w:rsidR="009162C5" w:rsidRDefault="00A17FBA" w:rsidP="00D51A32">
      <w:pPr>
        <w:spacing w:after="0" w:line="240" w:lineRule="auto"/>
        <w:jc w:val="both"/>
        <w:rPr>
          <w:rFonts w:ascii="Arial" w:hAnsi="Arial" w:cs="Arial"/>
          <w:noProof/>
        </w:rPr>
      </w:pPr>
      <w:r w:rsidRPr="00D51A32">
        <w:rPr>
          <w:rFonts w:ascii="Arial" w:hAnsi="Arial" w:cs="Arial"/>
          <w:noProof/>
        </w:rPr>
        <w:t>L</w:t>
      </w:r>
      <w:r w:rsidR="007E3BA2" w:rsidRPr="00D51A32">
        <w:rPr>
          <w:rFonts w:ascii="Arial" w:hAnsi="Arial" w:cs="Arial"/>
          <w:noProof/>
        </w:rPr>
        <w:t xml:space="preserve">a recaudación de </w:t>
      </w:r>
      <w:r w:rsidR="00EF5573" w:rsidRPr="00D51A32">
        <w:rPr>
          <w:rFonts w:ascii="Arial" w:hAnsi="Arial" w:cs="Arial"/>
          <w:noProof/>
        </w:rPr>
        <w:t>septiembre</w:t>
      </w:r>
      <w:r w:rsidR="00B52A53" w:rsidRPr="00D51A32">
        <w:rPr>
          <w:rFonts w:ascii="Arial" w:hAnsi="Arial" w:cs="Arial"/>
          <w:noProof/>
        </w:rPr>
        <w:t xml:space="preserve"> </w:t>
      </w:r>
      <w:r w:rsidR="007E3BA2" w:rsidRPr="00D51A32">
        <w:rPr>
          <w:rFonts w:ascii="Arial" w:hAnsi="Arial" w:cs="Arial"/>
          <w:noProof/>
        </w:rPr>
        <w:t xml:space="preserve">del 2023 alcanzó los S/ </w:t>
      </w:r>
      <w:r w:rsidR="003B282C" w:rsidRPr="00D51A32">
        <w:rPr>
          <w:rFonts w:ascii="Arial" w:hAnsi="Arial" w:cs="Arial"/>
          <w:noProof/>
        </w:rPr>
        <w:t>1</w:t>
      </w:r>
      <w:r w:rsidR="00B52A53" w:rsidRPr="00D51A32">
        <w:rPr>
          <w:rFonts w:ascii="Arial" w:hAnsi="Arial" w:cs="Arial"/>
          <w:noProof/>
        </w:rPr>
        <w:t>1</w:t>
      </w:r>
      <w:r w:rsidR="007E3BA2" w:rsidRPr="00D51A32">
        <w:rPr>
          <w:rFonts w:ascii="Arial" w:hAnsi="Arial" w:cs="Arial"/>
          <w:noProof/>
        </w:rPr>
        <w:t xml:space="preserve"> </w:t>
      </w:r>
      <w:r w:rsidR="00A96007" w:rsidRPr="00D51A32">
        <w:rPr>
          <w:rFonts w:ascii="Arial" w:hAnsi="Arial" w:cs="Arial"/>
          <w:noProof/>
        </w:rPr>
        <w:t>0</w:t>
      </w:r>
      <w:r w:rsidR="008625AF" w:rsidRPr="00D51A32">
        <w:rPr>
          <w:rFonts w:ascii="Arial" w:hAnsi="Arial" w:cs="Arial"/>
          <w:noProof/>
        </w:rPr>
        <w:t>55</w:t>
      </w:r>
      <w:r w:rsidR="007E3BA2" w:rsidRPr="00D51A32">
        <w:rPr>
          <w:rFonts w:ascii="Arial" w:hAnsi="Arial" w:cs="Arial"/>
          <w:noProof/>
        </w:rPr>
        <w:t xml:space="preserve"> millones de </w:t>
      </w:r>
      <w:r w:rsidR="0057744F" w:rsidRPr="00D51A32">
        <w:rPr>
          <w:rFonts w:ascii="Arial" w:hAnsi="Arial" w:cs="Arial"/>
          <w:noProof/>
        </w:rPr>
        <w:t>I</w:t>
      </w:r>
      <w:r w:rsidR="007E3BA2" w:rsidRPr="00D51A32">
        <w:rPr>
          <w:rFonts w:ascii="Arial" w:hAnsi="Arial" w:cs="Arial"/>
          <w:noProof/>
        </w:rPr>
        <w:t xml:space="preserve">ngresos </w:t>
      </w:r>
      <w:r w:rsidR="0057744F" w:rsidRPr="00D51A32">
        <w:rPr>
          <w:rFonts w:ascii="Arial" w:hAnsi="Arial" w:cs="Arial"/>
          <w:noProof/>
        </w:rPr>
        <w:t>T</w:t>
      </w:r>
      <w:r w:rsidR="007E3BA2" w:rsidRPr="00D51A32">
        <w:rPr>
          <w:rFonts w:ascii="Arial" w:hAnsi="Arial" w:cs="Arial"/>
          <w:noProof/>
        </w:rPr>
        <w:t xml:space="preserve">ributarios del Gobierno Central </w:t>
      </w:r>
      <w:r w:rsidR="0057744F" w:rsidRPr="00D51A32">
        <w:rPr>
          <w:rFonts w:ascii="Arial" w:hAnsi="Arial" w:cs="Arial"/>
          <w:noProof/>
        </w:rPr>
        <w:t xml:space="preserve">netos de </w:t>
      </w:r>
      <w:r w:rsidR="007E3BA2" w:rsidRPr="00D51A32">
        <w:rPr>
          <w:rFonts w:ascii="Arial" w:hAnsi="Arial" w:cs="Arial"/>
          <w:noProof/>
        </w:rPr>
        <w:t xml:space="preserve">las devoluciones de impuestos. </w:t>
      </w:r>
      <w:r w:rsidRPr="00D51A32">
        <w:rPr>
          <w:rFonts w:ascii="Arial" w:hAnsi="Arial" w:cs="Arial"/>
          <w:noProof/>
        </w:rPr>
        <w:t>El</w:t>
      </w:r>
      <w:r w:rsidR="007E3BA2" w:rsidRPr="00D51A32">
        <w:rPr>
          <w:rFonts w:ascii="Arial" w:hAnsi="Arial" w:cs="Arial"/>
          <w:noProof/>
        </w:rPr>
        <w:t xml:space="preserve"> resultado </w:t>
      </w:r>
      <w:r w:rsidRPr="00D51A32">
        <w:rPr>
          <w:rFonts w:ascii="Arial" w:hAnsi="Arial" w:cs="Arial"/>
          <w:noProof/>
        </w:rPr>
        <w:t>del mes se explica por la evolución de la economía, los menores coeficientes utilizados para el cálculo del pago del Impuesto a la Renta y la mayor aplicación de los saldos a favor de los contribuyentes.</w:t>
      </w:r>
    </w:p>
    <w:p w14:paraId="1CE6AEA1" w14:textId="77777777" w:rsidR="00D51A32" w:rsidRPr="00D51A32" w:rsidRDefault="00D51A32" w:rsidP="00D51A3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A716A7C" w14:textId="58C61D5F" w:rsidR="009162C5" w:rsidRPr="00D51A32" w:rsidRDefault="009162C5" w:rsidP="00D51A32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D51A32">
        <w:rPr>
          <w:rFonts w:ascii="Arial" w:eastAsia="Arial" w:hAnsi="Arial" w:cs="Arial"/>
          <w:b/>
          <w:color w:val="000000" w:themeColor="text1"/>
        </w:rPr>
        <w:t>Factores determinantes de</w:t>
      </w:r>
      <w:r w:rsidR="004A32EF" w:rsidRPr="00D51A32">
        <w:rPr>
          <w:rFonts w:ascii="Arial" w:eastAsia="Arial" w:hAnsi="Arial" w:cs="Arial"/>
          <w:b/>
          <w:color w:val="000000" w:themeColor="text1"/>
        </w:rPr>
        <w:t xml:space="preserve"> </w:t>
      </w:r>
      <w:r w:rsidRPr="00D51A32">
        <w:rPr>
          <w:rFonts w:ascii="Arial" w:eastAsia="Arial" w:hAnsi="Arial" w:cs="Arial"/>
          <w:b/>
          <w:color w:val="000000" w:themeColor="text1"/>
        </w:rPr>
        <w:t>l</w:t>
      </w:r>
      <w:r w:rsidR="004A32EF" w:rsidRPr="00D51A32">
        <w:rPr>
          <w:rFonts w:ascii="Arial" w:eastAsia="Arial" w:hAnsi="Arial" w:cs="Arial"/>
          <w:b/>
          <w:color w:val="000000" w:themeColor="text1"/>
        </w:rPr>
        <w:t>a</w:t>
      </w:r>
      <w:r w:rsidRPr="00D51A32">
        <w:rPr>
          <w:rFonts w:ascii="Arial" w:eastAsia="Arial" w:hAnsi="Arial" w:cs="Arial"/>
          <w:b/>
          <w:color w:val="000000" w:themeColor="text1"/>
        </w:rPr>
        <w:t xml:space="preserve"> recaudación de</w:t>
      </w:r>
      <w:r w:rsidR="00211D90" w:rsidRPr="00D51A32">
        <w:rPr>
          <w:rFonts w:ascii="Arial" w:eastAsia="Arial" w:hAnsi="Arial" w:cs="Arial"/>
          <w:b/>
          <w:color w:val="000000" w:themeColor="text1"/>
        </w:rPr>
        <w:t xml:space="preserve"> </w:t>
      </w:r>
      <w:r w:rsidR="00EF5573" w:rsidRPr="00D51A32">
        <w:rPr>
          <w:rFonts w:ascii="Arial" w:eastAsia="Arial" w:hAnsi="Arial" w:cs="Arial"/>
          <w:b/>
          <w:color w:val="000000" w:themeColor="text1"/>
        </w:rPr>
        <w:t>septiembre</w:t>
      </w:r>
    </w:p>
    <w:p w14:paraId="436198E8" w14:textId="77777777" w:rsidR="00D51A32" w:rsidRPr="00D51A32" w:rsidRDefault="00D51A32" w:rsidP="00D51A32">
      <w:pPr>
        <w:spacing w:after="0" w:line="240" w:lineRule="auto"/>
        <w:jc w:val="both"/>
        <w:rPr>
          <w:rFonts w:ascii="Arial" w:eastAsia="Arial" w:hAnsi="Arial" w:cs="Arial"/>
          <w:b/>
          <w:color w:val="0070C0"/>
        </w:rPr>
      </w:pPr>
    </w:p>
    <w:p w14:paraId="16ACCE80" w14:textId="3A9E2AC1" w:rsidR="006D5363" w:rsidRDefault="006D5363" w:rsidP="00D51A32">
      <w:pPr>
        <w:spacing w:after="0" w:line="240" w:lineRule="auto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 xml:space="preserve">El desempeño de la recaudación en septiembre se explica por varios factores, entre los que se </w:t>
      </w:r>
      <w:r w:rsidRPr="00D51A32">
        <w:rPr>
          <w:rFonts w:ascii="Arial" w:hAnsi="Arial" w:cs="Arial"/>
          <w:noProof/>
        </w:rPr>
        <w:t>destacan</w:t>
      </w:r>
      <w:r w:rsidRPr="00D51A32">
        <w:rPr>
          <w:rFonts w:ascii="Arial" w:hAnsi="Arial" w:cs="Arial"/>
          <w:bCs/>
        </w:rPr>
        <w:t xml:space="preserve"> los siguientes:</w:t>
      </w:r>
    </w:p>
    <w:p w14:paraId="60DAEE66" w14:textId="77777777" w:rsidR="00D51A32" w:rsidRPr="00D51A32" w:rsidRDefault="00D51A32" w:rsidP="00D51A32">
      <w:pPr>
        <w:spacing w:after="0" w:line="240" w:lineRule="auto"/>
        <w:jc w:val="both"/>
        <w:rPr>
          <w:rFonts w:ascii="Arial" w:hAnsi="Arial" w:cs="Arial"/>
          <w:bCs/>
        </w:rPr>
      </w:pPr>
    </w:p>
    <w:p w14:paraId="5613E188" w14:textId="49F8B96A" w:rsidR="00F601EE" w:rsidRDefault="00F601EE" w:rsidP="00D51A3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D51A32">
        <w:rPr>
          <w:rFonts w:ascii="Arial" w:eastAsia="Arial" w:hAnsi="Arial" w:cs="Arial"/>
        </w:rPr>
        <w:t>La menor dinámica de la actividad económica</w:t>
      </w:r>
      <w:r w:rsidR="005839F7" w:rsidRPr="00D51A32">
        <w:rPr>
          <w:rFonts w:ascii="Arial" w:eastAsia="Arial" w:hAnsi="Arial" w:cs="Arial"/>
        </w:rPr>
        <w:t xml:space="preserve"> de agosto</w:t>
      </w:r>
      <w:r w:rsidR="00EF5573" w:rsidRPr="00D51A32">
        <w:rPr>
          <w:rFonts w:ascii="Arial" w:eastAsia="Arial" w:hAnsi="Arial" w:cs="Arial"/>
        </w:rPr>
        <w:t xml:space="preserve">, tanto </w:t>
      </w:r>
      <w:r w:rsidR="005839F7" w:rsidRPr="00D51A32">
        <w:rPr>
          <w:rFonts w:ascii="Arial" w:eastAsia="Arial" w:hAnsi="Arial" w:cs="Arial"/>
        </w:rPr>
        <w:t xml:space="preserve">en </w:t>
      </w:r>
      <w:r w:rsidRPr="00D51A32">
        <w:rPr>
          <w:rFonts w:ascii="Arial" w:eastAsia="Arial" w:hAnsi="Arial" w:cs="Arial"/>
        </w:rPr>
        <w:t>el Producto Bruto Interno</w:t>
      </w:r>
      <w:r w:rsidR="00EF5573" w:rsidRPr="00D51A32">
        <w:rPr>
          <w:rFonts w:ascii="Arial" w:eastAsia="Arial" w:hAnsi="Arial" w:cs="Arial"/>
        </w:rPr>
        <w:t xml:space="preserve"> como en</w:t>
      </w:r>
      <w:r w:rsidRPr="00D51A32">
        <w:rPr>
          <w:rFonts w:ascii="Arial" w:eastAsia="Arial" w:hAnsi="Arial" w:cs="Arial"/>
        </w:rPr>
        <w:t xml:space="preserve"> la </w:t>
      </w:r>
      <w:r w:rsidR="00A17FBA" w:rsidRPr="00D51A32">
        <w:rPr>
          <w:rFonts w:ascii="Arial" w:eastAsia="Arial" w:hAnsi="Arial" w:cs="Arial"/>
        </w:rPr>
        <w:t>d</w:t>
      </w:r>
      <w:r w:rsidRPr="00D51A32">
        <w:rPr>
          <w:rFonts w:ascii="Arial" w:eastAsia="Arial" w:hAnsi="Arial" w:cs="Arial"/>
        </w:rPr>
        <w:t xml:space="preserve">emanda </w:t>
      </w:r>
      <w:r w:rsidR="00A17FBA" w:rsidRPr="00D51A32">
        <w:rPr>
          <w:rFonts w:ascii="Arial" w:eastAsia="Arial" w:hAnsi="Arial" w:cs="Arial"/>
        </w:rPr>
        <w:t>i</w:t>
      </w:r>
      <w:r w:rsidRPr="00D51A32">
        <w:rPr>
          <w:rFonts w:ascii="Arial" w:eastAsia="Arial" w:hAnsi="Arial" w:cs="Arial"/>
        </w:rPr>
        <w:t xml:space="preserve">nterna, según </w:t>
      </w:r>
      <w:r w:rsidR="00EF5573" w:rsidRPr="00D51A32">
        <w:rPr>
          <w:rFonts w:ascii="Arial" w:eastAsia="Arial" w:hAnsi="Arial" w:cs="Arial"/>
        </w:rPr>
        <w:t xml:space="preserve">las </w:t>
      </w:r>
      <w:r w:rsidRPr="00D51A32">
        <w:rPr>
          <w:rFonts w:ascii="Arial" w:eastAsia="Arial" w:hAnsi="Arial" w:cs="Arial"/>
        </w:rPr>
        <w:t>estimaciones del BCRP.</w:t>
      </w:r>
    </w:p>
    <w:p w14:paraId="65EDE2BC" w14:textId="77777777" w:rsidR="00D51A32" w:rsidRPr="00D51A32" w:rsidRDefault="00D51A32" w:rsidP="00D51A3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53C0128B" w14:textId="4D9A62F3" w:rsidR="00F601EE" w:rsidRDefault="006D5363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51A32">
        <w:rPr>
          <w:rFonts w:ascii="Arial" w:eastAsia="Arial" w:hAnsi="Arial" w:cs="Arial"/>
        </w:rPr>
        <w:t>Adicionalmente, las importaciones experimentaron una contracción de aproximadamente el 10% en septiembre, lo que impactó negativamente en la recaudación de los tributos aduaneros</w:t>
      </w:r>
      <w:r w:rsidR="00D51A32">
        <w:rPr>
          <w:rFonts w:ascii="Arial" w:eastAsia="Arial" w:hAnsi="Arial" w:cs="Arial"/>
        </w:rPr>
        <w:t>.</w:t>
      </w:r>
    </w:p>
    <w:p w14:paraId="36D2DA25" w14:textId="77777777" w:rsidR="00D51A32" w:rsidRPr="00D51A32" w:rsidRDefault="00D51A32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A944D2B" w14:textId="52079D6C" w:rsidR="00F601EE" w:rsidRDefault="006D5363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 xml:space="preserve">También influyó la depreciación del tipo de cambio en un 4,8% con respecto </w:t>
      </w:r>
      <w:r w:rsidR="00A17FBA" w:rsidRPr="00D51A32">
        <w:rPr>
          <w:rFonts w:ascii="Arial" w:hAnsi="Arial" w:cs="Arial"/>
          <w:bCs/>
        </w:rPr>
        <w:t>de similar mes</w:t>
      </w:r>
      <w:r w:rsidRPr="00D51A32">
        <w:rPr>
          <w:rFonts w:ascii="Arial" w:hAnsi="Arial" w:cs="Arial"/>
          <w:bCs/>
        </w:rPr>
        <w:t xml:space="preserve"> del año pasado, que redujo tanto los ingresos de los exportadores como los montos a pagar en impuestos de importación, expresados en la moneda local.</w:t>
      </w:r>
    </w:p>
    <w:p w14:paraId="092F2C3A" w14:textId="77777777" w:rsidR="00D51A32" w:rsidRP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79DCB1D0" w14:textId="71C06770" w:rsidR="00D52B0B" w:rsidRDefault="003D1546" w:rsidP="00D51A3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D51A32">
        <w:rPr>
          <w:rFonts w:ascii="Arial" w:eastAsia="Arial" w:hAnsi="Arial" w:cs="Arial"/>
        </w:rPr>
        <w:t>La recaudación del Impuesto a la Renta siguió siendo afectada por la disminución de los coeficientes de pago utilizados para calcular los pagos a cuenta de la Tercera Categoría, en comparación con los utilizados en el año 2022. Esto se vio agravado por el ajuste de coeficientes realizado por algunos contribuyentes en agosto, conforme a la normativa vigente.</w:t>
      </w:r>
    </w:p>
    <w:p w14:paraId="7D4D20A1" w14:textId="77777777" w:rsidR="00D51A32" w:rsidRPr="00D51A32" w:rsidRDefault="00D51A32" w:rsidP="00D51A3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766128F5" w14:textId="1FC10EF4" w:rsidR="00F601EE" w:rsidRDefault="00D51A32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</w:t>
      </w:r>
      <w:r w:rsidR="00D52B0B" w:rsidRPr="00D51A32">
        <w:rPr>
          <w:rFonts w:ascii="Arial" w:eastAsia="Arial" w:hAnsi="Arial" w:cs="Arial"/>
        </w:rPr>
        <w:t>, l</w:t>
      </w:r>
      <w:r w:rsidR="00F601EE" w:rsidRPr="00D51A32">
        <w:rPr>
          <w:rFonts w:ascii="Arial" w:eastAsia="Arial" w:hAnsi="Arial" w:cs="Arial"/>
        </w:rPr>
        <w:t xml:space="preserve">os mayores saldos a favor de los contribuyentes informados en la declaración anual </w:t>
      </w:r>
      <w:r w:rsidR="001528CE" w:rsidRPr="00D51A32">
        <w:rPr>
          <w:rFonts w:ascii="Arial" w:eastAsia="Arial" w:hAnsi="Arial" w:cs="Arial"/>
        </w:rPr>
        <w:t>continúan</w:t>
      </w:r>
      <w:r w:rsidR="00F601EE" w:rsidRPr="00D51A32">
        <w:rPr>
          <w:rFonts w:ascii="Arial" w:eastAsia="Arial" w:hAnsi="Arial" w:cs="Arial"/>
        </w:rPr>
        <w:t xml:space="preserve"> siendo aplicados </w:t>
      </w:r>
      <w:r w:rsidR="00345651" w:rsidRPr="00D51A32">
        <w:rPr>
          <w:rFonts w:ascii="Arial" w:eastAsia="Arial" w:hAnsi="Arial" w:cs="Arial"/>
        </w:rPr>
        <w:t xml:space="preserve">por un grupo importante de contribuyentes </w:t>
      </w:r>
      <w:r w:rsidR="00F601EE" w:rsidRPr="00D51A32">
        <w:rPr>
          <w:rFonts w:ascii="Arial" w:eastAsia="Arial" w:hAnsi="Arial" w:cs="Arial"/>
        </w:rPr>
        <w:t xml:space="preserve">contra las obligaciones tributarias corrientes, reduciendo la recaudación del </w:t>
      </w:r>
      <w:r w:rsidR="008D3332" w:rsidRPr="00D51A32">
        <w:rPr>
          <w:rFonts w:ascii="Arial" w:eastAsia="Arial" w:hAnsi="Arial" w:cs="Arial"/>
        </w:rPr>
        <w:t>año</w:t>
      </w:r>
      <w:r w:rsidR="00F601EE" w:rsidRPr="00D51A32">
        <w:rPr>
          <w:rFonts w:ascii="Arial" w:eastAsia="Arial" w:hAnsi="Arial" w:cs="Arial"/>
        </w:rPr>
        <w:t>.</w:t>
      </w:r>
    </w:p>
    <w:p w14:paraId="2D3310CF" w14:textId="77777777" w:rsidR="00D51A32" w:rsidRPr="00D51A32" w:rsidRDefault="00D51A32" w:rsidP="00D51A32">
      <w:pPr>
        <w:spacing w:after="0" w:line="240" w:lineRule="auto"/>
        <w:jc w:val="both"/>
        <w:rPr>
          <w:rFonts w:ascii="Arial" w:eastAsia="Arial" w:hAnsi="Arial" w:cs="Arial"/>
        </w:rPr>
      </w:pPr>
    </w:p>
    <w:p w14:paraId="0F1F3EB3" w14:textId="03BEB17D" w:rsidR="00BA5604" w:rsidRPr="00D51A32" w:rsidRDefault="0057744F" w:rsidP="00D51A3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eastAsia="Arial" w:hAnsi="Arial" w:cs="Arial"/>
        </w:rPr>
        <w:t xml:space="preserve">Con </w:t>
      </w:r>
      <w:r w:rsidR="00D52B0B" w:rsidRPr="00D51A32">
        <w:rPr>
          <w:rFonts w:ascii="Arial" w:eastAsia="Arial" w:hAnsi="Arial" w:cs="Arial"/>
        </w:rPr>
        <w:t>respecto a los</w:t>
      </w:r>
      <w:r w:rsidR="00BA5604" w:rsidRPr="00D51A32">
        <w:rPr>
          <w:rFonts w:ascii="Arial" w:eastAsia="Arial" w:hAnsi="Arial" w:cs="Arial"/>
        </w:rPr>
        <w:t xml:space="preserve"> pagos extraordinarios recibidos en </w:t>
      </w:r>
      <w:r w:rsidR="00EF5573" w:rsidRPr="00D51A32">
        <w:rPr>
          <w:rFonts w:ascii="Arial" w:eastAsia="Arial" w:hAnsi="Arial" w:cs="Arial"/>
        </w:rPr>
        <w:t>septiembre</w:t>
      </w:r>
      <w:r w:rsidR="00D52B0B" w:rsidRPr="00D51A32">
        <w:rPr>
          <w:rFonts w:ascii="Arial" w:eastAsia="Arial" w:hAnsi="Arial" w:cs="Arial"/>
        </w:rPr>
        <w:t xml:space="preserve"> </w:t>
      </w:r>
      <w:r w:rsidRPr="00D51A32">
        <w:rPr>
          <w:rFonts w:ascii="Arial" w:eastAsia="Arial" w:hAnsi="Arial" w:cs="Arial"/>
        </w:rPr>
        <w:t>é</w:t>
      </w:r>
      <w:r w:rsidR="00D52B0B" w:rsidRPr="00D51A32">
        <w:rPr>
          <w:rFonts w:ascii="Arial" w:eastAsia="Arial" w:hAnsi="Arial" w:cs="Arial"/>
        </w:rPr>
        <w:t xml:space="preserve">stos alcanzaron </w:t>
      </w:r>
      <w:r w:rsidR="00BA5604" w:rsidRPr="00D51A32">
        <w:rPr>
          <w:rFonts w:ascii="Arial" w:eastAsia="Arial" w:hAnsi="Arial" w:cs="Arial"/>
        </w:rPr>
        <w:t xml:space="preserve">un monto total de S/ 109 millones, </w:t>
      </w:r>
      <w:r w:rsidR="00D52B0B" w:rsidRPr="00D51A32">
        <w:rPr>
          <w:rFonts w:ascii="Arial" w:eastAsia="Arial" w:hAnsi="Arial" w:cs="Arial"/>
        </w:rPr>
        <w:t xml:space="preserve">principalmente como resultado de </w:t>
      </w:r>
      <w:r w:rsidR="00D51A32">
        <w:rPr>
          <w:rFonts w:ascii="Arial" w:eastAsia="Arial" w:hAnsi="Arial" w:cs="Arial"/>
        </w:rPr>
        <w:t xml:space="preserve">las </w:t>
      </w:r>
      <w:r w:rsidR="00D52B0B" w:rsidRPr="00D51A32">
        <w:rPr>
          <w:rFonts w:ascii="Arial" w:eastAsia="Arial" w:hAnsi="Arial" w:cs="Arial"/>
        </w:rPr>
        <w:t xml:space="preserve">acciones de control llevadas a cabo por la SUNAT. No obstante, dicho importe resulta inferior a los </w:t>
      </w:r>
      <w:r w:rsidR="00BA5604" w:rsidRPr="00D51A32">
        <w:rPr>
          <w:rFonts w:ascii="Arial" w:eastAsia="Arial" w:hAnsi="Arial" w:cs="Arial"/>
        </w:rPr>
        <w:t xml:space="preserve">S/ 201 millones registrados en </w:t>
      </w:r>
      <w:r w:rsidR="00A17FBA" w:rsidRPr="00D51A32">
        <w:rPr>
          <w:rFonts w:ascii="Arial" w:eastAsia="Arial" w:hAnsi="Arial" w:cs="Arial"/>
        </w:rPr>
        <w:t xml:space="preserve">el mismo mes </w:t>
      </w:r>
      <w:r w:rsidR="00BA5604" w:rsidRPr="00D51A32">
        <w:rPr>
          <w:rFonts w:ascii="Arial" w:eastAsia="Arial" w:hAnsi="Arial" w:cs="Arial"/>
        </w:rPr>
        <w:t xml:space="preserve">del año </w:t>
      </w:r>
      <w:r w:rsidR="003D1546" w:rsidRPr="00D51A32">
        <w:rPr>
          <w:rFonts w:ascii="Arial" w:eastAsia="Arial" w:hAnsi="Arial" w:cs="Arial"/>
        </w:rPr>
        <w:t>anterior</w:t>
      </w:r>
      <w:r w:rsidR="00BA5604" w:rsidRPr="00D51A32">
        <w:rPr>
          <w:rFonts w:ascii="Arial" w:eastAsia="Arial" w:hAnsi="Arial" w:cs="Arial"/>
        </w:rPr>
        <w:t>.</w:t>
      </w:r>
    </w:p>
    <w:p w14:paraId="0242D73E" w14:textId="4BC607EB" w:rsidR="00A17FBA" w:rsidRPr="00D51A32" w:rsidRDefault="00A17FBA" w:rsidP="00D51A32">
      <w:pPr>
        <w:spacing w:after="0" w:line="240" w:lineRule="auto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72AAF8C" wp14:editId="431E3EAC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561965" cy="2668270"/>
            <wp:effectExtent l="0" t="0" r="635" b="0"/>
            <wp:wrapTopAndBottom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4099E" w14:textId="77777777" w:rsidR="00D51A32" w:rsidRDefault="00D51A32" w:rsidP="00D51A3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257EAAD7" w14:textId="66818624" w:rsidR="00FF3382" w:rsidRPr="00D51A32" w:rsidRDefault="00021229" w:rsidP="00D51A3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51A32">
        <w:rPr>
          <w:rFonts w:ascii="Arial" w:hAnsi="Arial" w:cs="Arial"/>
          <w:b/>
          <w:color w:val="000000" w:themeColor="text1"/>
        </w:rPr>
        <w:t>Resultados por tributos</w:t>
      </w:r>
    </w:p>
    <w:p w14:paraId="6AAF69FA" w14:textId="77777777" w:rsidR="00D51A32" w:rsidRPr="00D51A32" w:rsidRDefault="00D51A32" w:rsidP="00D51A3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0302B1DA" w14:textId="3FF1B383" w:rsidR="009162C5" w:rsidRPr="00D51A32" w:rsidRDefault="009162C5" w:rsidP="00D51A3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D51A32">
        <w:rPr>
          <w:rFonts w:ascii="Arial" w:hAnsi="Arial" w:cs="Arial"/>
          <w:b/>
        </w:rPr>
        <w:t xml:space="preserve">Impuesto a la Renta: </w:t>
      </w:r>
      <w:r w:rsidR="005F6357" w:rsidRPr="00D51A32">
        <w:rPr>
          <w:rFonts w:ascii="Arial" w:hAnsi="Arial" w:cs="Arial"/>
          <w:bCs/>
        </w:rPr>
        <w:t xml:space="preserve">En </w:t>
      </w:r>
      <w:r w:rsidR="00EF5573" w:rsidRPr="00D51A32">
        <w:rPr>
          <w:rFonts w:ascii="Arial" w:hAnsi="Arial" w:cs="Arial"/>
          <w:bCs/>
        </w:rPr>
        <w:t>septiembre</w:t>
      </w:r>
      <w:r w:rsidR="005F6357" w:rsidRPr="00D51A32">
        <w:rPr>
          <w:rFonts w:ascii="Arial" w:hAnsi="Arial" w:cs="Arial"/>
          <w:bCs/>
        </w:rPr>
        <w:t xml:space="preserve">, se recaudaron S/ </w:t>
      </w:r>
      <w:r w:rsidR="00214115" w:rsidRPr="00D51A32">
        <w:rPr>
          <w:rFonts w:ascii="Arial" w:hAnsi="Arial" w:cs="Arial"/>
          <w:bCs/>
        </w:rPr>
        <w:t>3</w:t>
      </w:r>
      <w:r w:rsidR="004B6BB0" w:rsidRPr="00D51A32">
        <w:rPr>
          <w:rFonts w:ascii="Arial" w:hAnsi="Arial" w:cs="Arial"/>
          <w:bCs/>
        </w:rPr>
        <w:t xml:space="preserve"> </w:t>
      </w:r>
      <w:r w:rsidR="00F863B3" w:rsidRPr="00D51A32">
        <w:rPr>
          <w:rFonts w:ascii="Arial" w:hAnsi="Arial" w:cs="Arial"/>
          <w:bCs/>
        </w:rPr>
        <w:t>9</w:t>
      </w:r>
      <w:r w:rsidR="0004487B" w:rsidRPr="00D51A32">
        <w:rPr>
          <w:rFonts w:ascii="Arial" w:hAnsi="Arial" w:cs="Arial"/>
          <w:bCs/>
        </w:rPr>
        <w:t>32</w:t>
      </w:r>
      <w:r w:rsidR="005F6357" w:rsidRPr="00D51A32">
        <w:rPr>
          <w:rFonts w:ascii="Arial" w:hAnsi="Arial" w:cs="Arial"/>
          <w:bCs/>
        </w:rPr>
        <w:t xml:space="preserve"> millones por este </w:t>
      </w:r>
      <w:r w:rsidR="001B7703" w:rsidRPr="00D51A32">
        <w:rPr>
          <w:rFonts w:ascii="Arial" w:hAnsi="Arial" w:cs="Arial"/>
          <w:bCs/>
        </w:rPr>
        <w:t>concepto</w:t>
      </w:r>
      <w:r w:rsidR="005F6357" w:rsidRPr="00D51A32">
        <w:rPr>
          <w:rFonts w:ascii="Arial" w:hAnsi="Arial" w:cs="Arial"/>
          <w:bCs/>
        </w:rPr>
        <w:t xml:space="preserve">, lo que representa una disminución del </w:t>
      </w:r>
      <w:r w:rsidR="00214115" w:rsidRPr="00D51A32">
        <w:rPr>
          <w:rFonts w:ascii="Arial" w:hAnsi="Arial" w:cs="Arial"/>
          <w:bCs/>
        </w:rPr>
        <w:t>14,</w:t>
      </w:r>
      <w:r w:rsidR="0004487B" w:rsidRPr="00D51A32">
        <w:rPr>
          <w:rFonts w:ascii="Arial" w:hAnsi="Arial" w:cs="Arial"/>
          <w:bCs/>
        </w:rPr>
        <w:t>3</w:t>
      </w:r>
      <w:r w:rsidR="005F6357" w:rsidRPr="00D51A32">
        <w:rPr>
          <w:rFonts w:ascii="Arial" w:hAnsi="Arial" w:cs="Arial"/>
          <w:bCs/>
        </w:rPr>
        <w:t>% en comparación con el mismo mes del año 2022.</w:t>
      </w:r>
    </w:p>
    <w:p w14:paraId="36807C83" w14:textId="77777777" w:rsidR="00D51A32" w:rsidRPr="00D51A32" w:rsidRDefault="00D51A32" w:rsidP="00D51A3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351631AA" w14:textId="7A3571D9" w:rsidR="00312F8B" w:rsidRDefault="005F6357" w:rsidP="00D51A32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0" w:name="_Hlk131425485"/>
      <w:r w:rsidRPr="00D51A32">
        <w:rPr>
          <w:rFonts w:ascii="Arial" w:hAnsi="Arial" w:cs="Arial"/>
        </w:rPr>
        <w:t xml:space="preserve">La disminución se debió </w:t>
      </w:r>
      <w:r w:rsidR="00884313" w:rsidRPr="00D51A32">
        <w:rPr>
          <w:rFonts w:ascii="Arial" w:hAnsi="Arial" w:cs="Arial"/>
        </w:rPr>
        <w:t xml:space="preserve">principalmente </w:t>
      </w:r>
      <w:r w:rsidRPr="00D51A32">
        <w:rPr>
          <w:rFonts w:ascii="Arial" w:hAnsi="Arial" w:cs="Arial"/>
        </w:rPr>
        <w:t>a los menores pagos a cuenta de Tercera Categoría</w:t>
      </w:r>
      <w:r w:rsidR="00884313" w:rsidRPr="00D51A32">
        <w:rPr>
          <w:rFonts w:ascii="Arial" w:hAnsi="Arial" w:cs="Arial"/>
        </w:rPr>
        <w:t>,</w:t>
      </w:r>
      <w:r w:rsidRPr="00D51A32">
        <w:rPr>
          <w:rFonts w:ascii="Arial" w:hAnsi="Arial" w:cs="Arial"/>
        </w:rPr>
        <w:t xml:space="preserve"> tanto del Régimen General (-</w:t>
      </w:r>
      <w:r w:rsidR="006222F0" w:rsidRPr="00D51A32">
        <w:rPr>
          <w:rFonts w:ascii="Arial" w:hAnsi="Arial" w:cs="Arial"/>
        </w:rPr>
        <w:t>1</w:t>
      </w:r>
      <w:r w:rsidR="0004487B" w:rsidRPr="00D51A32">
        <w:rPr>
          <w:rFonts w:ascii="Arial" w:hAnsi="Arial" w:cs="Arial"/>
        </w:rPr>
        <w:t>7,</w:t>
      </w:r>
      <w:r w:rsidR="005F0714" w:rsidRPr="00D51A32">
        <w:rPr>
          <w:rFonts w:ascii="Arial" w:hAnsi="Arial" w:cs="Arial"/>
        </w:rPr>
        <w:t>8</w:t>
      </w:r>
      <w:r w:rsidRPr="00D51A32">
        <w:rPr>
          <w:rFonts w:ascii="Arial" w:hAnsi="Arial" w:cs="Arial"/>
        </w:rPr>
        <w:t>%) como del Régimen MYPE Tributario (-</w:t>
      </w:r>
      <w:r w:rsidR="00214115" w:rsidRPr="00D51A32">
        <w:rPr>
          <w:rFonts w:ascii="Arial" w:hAnsi="Arial" w:cs="Arial"/>
        </w:rPr>
        <w:t>1</w:t>
      </w:r>
      <w:r w:rsidR="0004487B" w:rsidRPr="00D51A32">
        <w:rPr>
          <w:rFonts w:ascii="Arial" w:hAnsi="Arial" w:cs="Arial"/>
        </w:rPr>
        <w:t>0</w:t>
      </w:r>
      <w:r w:rsidRPr="00D51A32">
        <w:rPr>
          <w:rFonts w:ascii="Arial" w:hAnsi="Arial" w:cs="Arial"/>
        </w:rPr>
        <w:t>,</w:t>
      </w:r>
      <w:r w:rsidR="0004487B" w:rsidRPr="00D51A32">
        <w:rPr>
          <w:rFonts w:ascii="Arial" w:hAnsi="Arial" w:cs="Arial"/>
        </w:rPr>
        <w:t>8</w:t>
      </w:r>
      <w:r w:rsidRPr="00D51A32">
        <w:rPr>
          <w:rFonts w:ascii="Arial" w:hAnsi="Arial" w:cs="Arial"/>
        </w:rPr>
        <w:t xml:space="preserve">%), </w:t>
      </w:r>
      <w:r w:rsidR="004D57FE" w:rsidRPr="00D51A32">
        <w:rPr>
          <w:rFonts w:ascii="Arial" w:hAnsi="Arial" w:cs="Arial"/>
        </w:rPr>
        <w:t>la Segunda Categoría (-1</w:t>
      </w:r>
      <w:r w:rsidR="0004487B" w:rsidRPr="00D51A32">
        <w:rPr>
          <w:rFonts w:ascii="Arial" w:hAnsi="Arial" w:cs="Arial"/>
        </w:rPr>
        <w:t>3</w:t>
      </w:r>
      <w:r w:rsidR="004D57FE" w:rsidRPr="00D51A32">
        <w:rPr>
          <w:rFonts w:ascii="Arial" w:hAnsi="Arial" w:cs="Arial"/>
        </w:rPr>
        <w:t>,</w:t>
      </w:r>
      <w:r w:rsidR="0004487B" w:rsidRPr="00D51A32">
        <w:rPr>
          <w:rFonts w:ascii="Arial" w:hAnsi="Arial" w:cs="Arial"/>
        </w:rPr>
        <w:t>1</w:t>
      </w:r>
      <w:r w:rsidR="004D57FE" w:rsidRPr="00D51A32">
        <w:rPr>
          <w:rFonts w:ascii="Arial" w:hAnsi="Arial" w:cs="Arial"/>
        </w:rPr>
        <w:t xml:space="preserve">%), </w:t>
      </w:r>
      <w:r w:rsidRPr="00D51A32">
        <w:rPr>
          <w:rFonts w:ascii="Arial" w:hAnsi="Arial" w:cs="Arial"/>
        </w:rPr>
        <w:t>Cuarta Categoría (-</w:t>
      </w:r>
      <w:r w:rsidR="005F0714" w:rsidRPr="00D51A32">
        <w:rPr>
          <w:rFonts w:ascii="Arial" w:hAnsi="Arial" w:cs="Arial"/>
        </w:rPr>
        <w:t>9</w:t>
      </w:r>
      <w:r w:rsidR="0004487B" w:rsidRPr="00D51A32">
        <w:rPr>
          <w:rFonts w:ascii="Arial" w:hAnsi="Arial" w:cs="Arial"/>
        </w:rPr>
        <w:t>,1</w:t>
      </w:r>
      <w:r w:rsidRPr="00D51A32">
        <w:rPr>
          <w:rFonts w:ascii="Arial" w:hAnsi="Arial" w:cs="Arial"/>
        </w:rPr>
        <w:t>%), Quinta Categoría (-</w:t>
      </w:r>
      <w:r w:rsidR="00F863B3" w:rsidRPr="00D51A32">
        <w:rPr>
          <w:rFonts w:ascii="Arial" w:hAnsi="Arial" w:cs="Arial"/>
        </w:rPr>
        <w:t>4</w:t>
      </w:r>
      <w:r w:rsidR="00214115" w:rsidRPr="00D51A32">
        <w:rPr>
          <w:rFonts w:ascii="Arial" w:hAnsi="Arial" w:cs="Arial"/>
        </w:rPr>
        <w:t>,</w:t>
      </w:r>
      <w:r w:rsidR="0004487B" w:rsidRPr="00D51A32">
        <w:rPr>
          <w:rFonts w:ascii="Arial" w:hAnsi="Arial" w:cs="Arial"/>
        </w:rPr>
        <w:t>1</w:t>
      </w:r>
      <w:r w:rsidRPr="00D51A32">
        <w:rPr>
          <w:rFonts w:ascii="Arial" w:hAnsi="Arial" w:cs="Arial"/>
        </w:rPr>
        <w:t>%)</w:t>
      </w:r>
      <w:r w:rsidR="006222F0" w:rsidRPr="00D51A32">
        <w:rPr>
          <w:rFonts w:ascii="Arial" w:hAnsi="Arial" w:cs="Arial"/>
        </w:rPr>
        <w:t xml:space="preserve">, </w:t>
      </w:r>
      <w:r w:rsidR="00D56DD8" w:rsidRPr="00D51A32">
        <w:rPr>
          <w:rFonts w:ascii="Arial" w:hAnsi="Arial" w:cs="Arial"/>
        </w:rPr>
        <w:t>Rentas de no domiciliados (-</w:t>
      </w:r>
      <w:r w:rsidR="00214115" w:rsidRPr="00D51A32">
        <w:rPr>
          <w:rFonts w:ascii="Arial" w:hAnsi="Arial" w:cs="Arial"/>
        </w:rPr>
        <w:t>28,</w:t>
      </w:r>
      <w:r w:rsidR="0004487B" w:rsidRPr="00D51A32">
        <w:rPr>
          <w:rFonts w:ascii="Arial" w:hAnsi="Arial" w:cs="Arial"/>
        </w:rPr>
        <w:t>0</w:t>
      </w:r>
      <w:r w:rsidR="00D56DD8" w:rsidRPr="00D51A32">
        <w:rPr>
          <w:rFonts w:ascii="Arial" w:hAnsi="Arial" w:cs="Arial"/>
        </w:rPr>
        <w:t>%)</w:t>
      </w:r>
      <w:r w:rsidR="00F863B3" w:rsidRPr="00D51A32">
        <w:rPr>
          <w:rFonts w:ascii="Arial" w:hAnsi="Arial" w:cs="Arial"/>
        </w:rPr>
        <w:t>, Otras Rentas (</w:t>
      </w:r>
      <w:r w:rsidR="005F0714" w:rsidRPr="00D51A32">
        <w:rPr>
          <w:rFonts w:ascii="Arial" w:hAnsi="Arial" w:cs="Arial"/>
        </w:rPr>
        <w:t>-</w:t>
      </w:r>
      <w:r w:rsidR="00F863B3" w:rsidRPr="00D51A32">
        <w:rPr>
          <w:rFonts w:ascii="Arial" w:hAnsi="Arial" w:cs="Arial"/>
        </w:rPr>
        <w:t>3</w:t>
      </w:r>
      <w:r w:rsidR="0004487B" w:rsidRPr="00D51A32">
        <w:rPr>
          <w:rFonts w:ascii="Arial" w:hAnsi="Arial" w:cs="Arial"/>
        </w:rPr>
        <w:t>5</w:t>
      </w:r>
      <w:r w:rsidR="00F863B3" w:rsidRPr="00D51A32">
        <w:rPr>
          <w:rFonts w:ascii="Arial" w:hAnsi="Arial" w:cs="Arial"/>
        </w:rPr>
        <w:t>,</w:t>
      </w:r>
      <w:r w:rsidR="0004487B" w:rsidRPr="00D51A32">
        <w:rPr>
          <w:rFonts w:ascii="Arial" w:hAnsi="Arial" w:cs="Arial"/>
        </w:rPr>
        <w:t>5</w:t>
      </w:r>
      <w:r w:rsidR="00F863B3" w:rsidRPr="00D51A32">
        <w:rPr>
          <w:rFonts w:ascii="Arial" w:hAnsi="Arial" w:cs="Arial"/>
        </w:rPr>
        <w:t>%)</w:t>
      </w:r>
      <w:r w:rsidR="005F0714" w:rsidRPr="00D51A32">
        <w:rPr>
          <w:rFonts w:ascii="Arial" w:hAnsi="Arial" w:cs="Arial"/>
        </w:rPr>
        <w:t>, Primera Categoría (-2,</w:t>
      </w:r>
      <w:r w:rsidR="0004487B" w:rsidRPr="00D51A32">
        <w:rPr>
          <w:rFonts w:ascii="Arial" w:hAnsi="Arial" w:cs="Arial"/>
        </w:rPr>
        <w:t>0</w:t>
      </w:r>
      <w:r w:rsidR="005F0714" w:rsidRPr="00D51A32">
        <w:rPr>
          <w:rFonts w:ascii="Arial" w:hAnsi="Arial" w:cs="Arial"/>
        </w:rPr>
        <w:t>%)</w:t>
      </w:r>
      <w:r w:rsidR="004D57FE" w:rsidRPr="00D51A32">
        <w:rPr>
          <w:rFonts w:ascii="Arial" w:hAnsi="Arial" w:cs="Arial"/>
        </w:rPr>
        <w:t xml:space="preserve"> y</w:t>
      </w:r>
      <w:r w:rsidR="00D56DD8" w:rsidRPr="00D51A32">
        <w:rPr>
          <w:rFonts w:ascii="Arial" w:hAnsi="Arial" w:cs="Arial"/>
        </w:rPr>
        <w:t xml:space="preserve"> </w:t>
      </w:r>
      <w:r w:rsidR="00A17FBA" w:rsidRPr="00D51A32">
        <w:rPr>
          <w:rFonts w:ascii="Arial" w:hAnsi="Arial" w:cs="Arial"/>
        </w:rPr>
        <w:t xml:space="preserve">el </w:t>
      </w:r>
      <w:r w:rsidR="006222F0" w:rsidRPr="00D51A32">
        <w:rPr>
          <w:rFonts w:ascii="Arial" w:hAnsi="Arial" w:cs="Arial"/>
        </w:rPr>
        <w:t>Régimen Especial de Renta (-</w:t>
      </w:r>
      <w:r w:rsidR="00214115" w:rsidRPr="00D51A32">
        <w:rPr>
          <w:rFonts w:ascii="Arial" w:hAnsi="Arial" w:cs="Arial"/>
        </w:rPr>
        <w:t>6,</w:t>
      </w:r>
      <w:r w:rsidR="0004487B" w:rsidRPr="00D51A32">
        <w:rPr>
          <w:rFonts w:ascii="Arial" w:hAnsi="Arial" w:cs="Arial"/>
        </w:rPr>
        <w:t>6</w:t>
      </w:r>
      <w:r w:rsidR="006222F0" w:rsidRPr="00D51A32">
        <w:rPr>
          <w:rFonts w:ascii="Arial" w:hAnsi="Arial" w:cs="Arial"/>
        </w:rPr>
        <w:t>%)</w:t>
      </w:r>
      <w:r w:rsidRPr="00D51A32">
        <w:rPr>
          <w:rFonts w:ascii="Arial" w:hAnsi="Arial" w:cs="Arial"/>
        </w:rPr>
        <w:t xml:space="preserve">. </w:t>
      </w:r>
      <w:r w:rsidR="00884313" w:rsidRPr="00D51A32">
        <w:rPr>
          <w:rFonts w:ascii="Arial" w:hAnsi="Arial" w:cs="Arial"/>
        </w:rPr>
        <w:t>Por el contrario</w:t>
      </w:r>
      <w:r w:rsidRPr="00D51A32">
        <w:rPr>
          <w:rFonts w:ascii="Arial" w:hAnsi="Arial" w:cs="Arial"/>
        </w:rPr>
        <w:t>, se registraron incrementos en</w:t>
      </w:r>
      <w:r w:rsidR="00D56DD8" w:rsidRPr="00D51A32">
        <w:rPr>
          <w:rFonts w:ascii="Arial" w:hAnsi="Arial" w:cs="Arial"/>
        </w:rPr>
        <w:t xml:space="preserve"> </w:t>
      </w:r>
      <w:r w:rsidR="00D52B0B" w:rsidRPr="00D51A32">
        <w:rPr>
          <w:rFonts w:ascii="Arial" w:hAnsi="Arial" w:cs="Arial"/>
        </w:rPr>
        <w:t xml:space="preserve">los pagos por </w:t>
      </w:r>
      <w:r w:rsidR="00346E5F" w:rsidRPr="00D51A32">
        <w:rPr>
          <w:rFonts w:ascii="Arial" w:hAnsi="Arial" w:cs="Arial"/>
        </w:rPr>
        <w:t>Regularización (</w:t>
      </w:r>
      <w:r w:rsidR="00F863B3" w:rsidRPr="00D51A32">
        <w:rPr>
          <w:rFonts w:ascii="Arial" w:hAnsi="Arial" w:cs="Arial"/>
        </w:rPr>
        <w:t>3</w:t>
      </w:r>
      <w:r w:rsidR="005F0714" w:rsidRPr="00D51A32">
        <w:rPr>
          <w:rFonts w:ascii="Arial" w:hAnsi="Arial" w:cs="Arial"/>
        </w:rPr>
        <w:t>8</w:t>
      </w:r>
      <w:r w:rsidR="00214115" w:rsidRPr="00D51A32">
        <w:rPr>
          <w:rFonts w:ascii="Arial" w:hAnsi="Arial" w:cs="Arial"/>
        </w:rPr>
        <w:t>,</w:t>
      </w:r>
      <w:r w:rsidR="0004487B" w:rsidRPr="00D51A32">
        <w:rPr>
          <w:rFonts w:ascii="Arial" w:hAnsi="Arial" w:cs="Arial"/>
        </w:rPr>
        <w:t>9</w:t>
      </w:r>
      <w:r w:rsidR="00346E5F" w:rsidRPr="00D51A32">
        <w:rPr>
          <w:rFonts w:ascii="Arial" w:hAnsi="Arial" w:cs="Arial"/>
        </w:rPr>
        <w:t>%)</w:t>
      </w:r>
      <w:r w:rsidR="005F0714" w:rsidRPr="00D51A32">
        <w:rPr>
          <w:rFonts w:ascii="Arial" w:hAnsi="Arial" w:cs="Arial"/>
        </w:rPr>
        <w:t>.</w:t>
      </w:r>
    </w:p>
    <w:p w14:paraId="6F5D7DE0" w14:textId="77777777" w:rsidR="00D51A32" w:rsidRP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</w:rPr>
      </w:pPr>
    </w:p>
    <w:bookmarkEnd w:id="0"/>
    <w:p w14:paraId="37E5D56A" w14:textId="77777777" w:rsidR="00D51A32" w:rsidRDefault="00A17FBA" w:rsidP="00D51A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1A32">
        <w:rPr>
          <w:rFonts w:ascii="Arial" w:hAnsi="Arial" w:cs="Arial"/>
        </w:rPr>
        <w:t>L</w:t>
      </w:r>
      <w:r w:rsidR="00F004FF" w:rsidRPr="00D51A32">
        <w:rPr>
          <w:rFonts w:ascii="Arial" w:hAnsi="Arial" w:cs="Arial"/>
        </w:rPr>
        <w:t>a contracción experimentada en los pagos</w:t>
      </w:r>
      <w:r w:rsidR="005F6357" w:rsidRPr="00D51A32">
        <w:rPr>
          <w:rFonts w:ascii="Arial" w:hAnsi="Arial" w:cs="Arial"/>
        </w:rPr>
        <w:t xml:space="preserve"> </w:t>
      </w:r>
      <w:r w:rsidR="00D51A32">
        <w:rPr>
          <w:rFonts w:ascii="Arial" w:hAnsi="Arial" w:cs="Arial"/>
        </w:rPr>
        <w:t xml:space="preserve">a </w:t>
      </w:r>
      <w:r w:rsidR="005F6357" w:rsidRPr="00D51A32">
        <w:rPr>
          <w:rFonts w:ascii="Arial" w:hAnsi="Arial" w:cs="Arial"/>
        </w:rPr>
        <w:t>cuenta</w:t>
      </w:r>
      <w:r w:rsidRPr="00D51A32">
        <w:rPr>
          <w:rFonts w:ascii="Arial" w:hAnsi="Arial" w:cs="Arial"/>
        </w:rPr>
        <w:t xml:space="preserve"> </w:t>
      </w:r>
      <w:r w:rsidR="005F6357" w:rsidRPr="00D51A32">
        <w:rPr>
          <w:rFonts w:ascii="Arial" w:hAnsi="Arial" w:cs="Arial"/>
        </w:rPr>
        <w:t>mensuales</w:t>
      </w:r>
      <w:r w:rsidRPr="00D51A32">
        <w:rPr>
          <w:rFonts w:ascii="Arial" w:hAnsi="Arial" w:cs="Arial"/>
        </w:rPr>
        <w:t>,</w:t>
      </w:r>
      <w:r w:rsidR="00D52B0B" w:rsidRPr="00D51A32">
        <w:rPr>
          <w:rFonts w:ascii="Arial" w:hAnsi="Arial" w:cs="Arial"/>
        </w:rPr>
        <w:t xml:space="preserve"> que </w:t>
      </w:r>
      <w:r w:rsidR="008008E1" w:rsidRPr="00D51A32">
        <w:rPr>
          <w:rFonts w:ascii="Arial" w:hAnsi="Arial" w:cs="Arial"/>
        </w:rPr>
        <w:t xml:space="preserve">se registra </w:t>
      </w:r>
      <w:r w:rsidR="00DF658D" w:rsidRPr="00D51A32">
        <w:rPr>
          <w:rFonts w:ascii="Arial" w:hAnsi="Arial" w:cs="Arial"/>
        </w:rPr>
        <w:t>desde</w:t>
      </w:r>
      <w:r w:rsidR="00F004FF" w:rsidRPr="00D51A32">
        <w:rPr>
          <w:rFonts w:ascii="Arial" w:hAnsi="Arial" w:cs="Arial"/>
        </w:rPr>
        <w:t xml:space="preserve"> abril pasado</w:t>
      </w:r>
      <w:r w:rsidR="00D52B0B" w:rsidRPr="00D51A32">
        <w:rPr>
          <w:rFonts w:ascii="Arial" w:hAnsi="Arial" w:cs="Arial"/>
        </w:rPr>
        <w:t>,</w:t>
      </w:r>
      <w:r w:rsidR="008008E1" w:rsidRPr="00D51A32">
        <w:rPr>
          <w:rFonts w:ascii="Arial" w:hAnsi="Arial" w:cs="Arial"/>
        </w:rPr>
        <w:t xml:space="preserve"> </w:t>
      </w:r>
      <w:r w:rsidR="005F6357" w:rsidRPr="00D51A32">
        <w:rPr>
          <w:rFonts w:ascii="Arial" w:hAnsi="Arial" w:cs="Arial"/>
        </w:rPr>
        <w:t>se debe tanto a la reducción de los coeficientes utilizados para su cálculo</w:t>
      </w:r>
      <w:r w:rsidR="00A452C6" w:rsidRPr="00D51A32">
        <w:rPr>
          <w:rFonts w:ascii="Arial" w:hAnsi="Arial" w:cs="Arial"/>
        </w:rPr>
        <w:t xml:space="preserve"> -en comparación a aquellos empleados el año anterior- </w:t>
      </w:r>
      <w:r w:rsidR="005F6357" w:rsidRPr="00D51A32">
        <w:rPr>
          <w:rFonts w:ascii="Arial" w:hAnsi="Arial" w:cs="Arial"/>
        </w:rPr>
        <w:t>como al uso de los mayores saldos a favor declarados por parte de los contribuyentes</w:t>
      </w:r>
      <w:r w:rsidR="0084782C" w:rsidRPr="00D51A32">
        <w:rPr>
          <w:rFonts w:ascii="Arial" w:hAnsi="Arial" w:cs="Arial"/>
        </w:rPr>
        <w:t xml:space="preserve">. </w:t>
      </w:r>
    </w:p>
    <w:p w14:paraId="348F57DC" w14:textId="77777777" w:rsid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0E66EEC" w14:textId="77777777" w:rsidR="00D51A32" w:rsidRDefault="0084782C" w:rsidP="00D51A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1A32">
        <w:rPr>
          <w:rFonts w:ascii="Arial" w:hAnsi="Arial" w:cs="Arial"/>
        </w:rPr>
        <w:t>Al respecto, se espera que dichos factores -propios de la forma en que se determina el Impuesto a la Renta y de la evolución de la economía-</w:t>
      </w:r>
      <w:r w:rsidR="00884313" w:rsidRPr="00D51A32">
        <w:rPr>
          <w:rFonts w:ascii="Arial" w:hAnsi="Arial" w:cs="Arial"/>
        </w:rPr>
        <w:t xml:space="preserve"> </w:t>
      </w:r>
      <w:r w:rsidR="005F6357" w:rsidRPr="00D51A32">
        <w:rPr>
          <w:rFonts w:ascii="Arial" w:hAnsi="Arial" w:cs="Arial"/>
        </w:rPr>
        <w:t xml:space="preserve">seguirán afectando la recaudación en los </w:t>
      </w:r>
      <w:r w:rsidR="00F863B3" w:rsidRPr="00D51A32">
        <w:rPr>
          <w:rFonts w:ascii="Arial" w:hAnsi="Arial" w:cs="Arial"/>
        </w:rPr>
        <w:t>meses restantes</w:t>
      </w:r>
      <w:r w:rsidR="005F6357" w:rsidRPr="00D51A32">
        <w:rPr>
          <w:rFonts w:ascii="Arial" w:hAnsi="Arial" w:cs="Arial"/>
        </w:rPr>
        <w:t xml:space="preserve"> del año. </w:t>
      </w:r>
    </w:p>
    <w:p w14:paraId="136D1D37" w14:textId="77777777" w:rsid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8A925BF" w14:textId="733A020A" w:rsidR="008A39FA" w:rsidRDefault="005F6357" w:rsidP="00D51A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1A32">
        <w:rPr>
          <w:rFonts w:ascii="Arial" w:hAnsi="Arial" w:cs="Arial"/>
        </w:rPr>
        <w:t>A</w:t>
      </w:r>
      <w:r w:rsidR="00884313" w:rsidRPr="00D51A32">
        <w:rPr>
          <w:rFonts w:ascii="Arial" w:hAnsi="Arial" w:cs="Arial"/>
        </w:rPr>
        <w:t xml:space="preserve"> lo anterior </w:t>
      </w:r>
      <w:r w:rsidRPr="00D51A32">
        <w:rPr>
          <w:rFonts w:ascii="Arial" w:hAnsi="Arial" w:cs="Arial"/>
        </w:rPr>
        <w:t>se añade el impacto de las menores cotizaciones internacionales de algunos productos exportados</w:t>
      </w:r>
      <w:r w:rsidR="00AF10FB" w:rsidRPr="00D51A32">
        <w:rPr>
          <w:rFonts w:ascii="Arial" w:hAnsi="Arial" w:cs="Arial"/>
        </w:rPr>
        <w:t xml:space="preserve">, como es el caso del </w:t>
      </w:r>
      <w:r w:rsidR="0084782C" w:rsidRPr="00D51A32">
        <w:rPr>
          <w:rFonts w:ascii="Arial" w:hAnsi="Arial" w:cs="Arial"/>
        </w:rPr>
        <w:t>g</w:t>
      </w:r>
      <w:r w:rsidR="00AF10FB" w:rsidRPr="00D51A32">
        <w:rPr>
          <w:rFonts w:ascii="Arial" w:hAnsi="Arial" w:cs="Arial"/>
        </w:rPr>
        <w:t>as.</w:t>
      </w:r>
    </w:p>
    <w:p w14:paraId="46C6BB97" w14:textId="77777777" w:rsidR="00D51A32" w:rsidRPr="00D51A32" w:rsidRDefault="00D51A32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23BBC11" w14:textId="5C0689E4" w:rsidR="00312F8B" w:rsidRDefault="00312F8B" w:rsidP="00D51A3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/>
        </w:rPr>
        <w:t>Impuesto General a las Ventas (IGV):</w:t>
      </w:r>
      <w:r w:rsidRPr="00D51A32">
        <w:rPr>
          <w:rFonts w:ascii="Arial" w:hAnsi="Arial" w:cs="Arial"/>
          <w:bCs/>
        </w:rPr>
        <w:t xml:space="preserve"> </w:t>
      </w:r>
      <w:r w:rsidR="005F6357" w:rsidRPr="00D51A32">
        <w:rPr>
          <w:rFonts w:ascii="Arial" w:hAnsi="Arial" w:cs="Arial"/>
          <w:bCs/>
        </w:rPr>
        <w:t xml:space="preserve">La recaudación del IGV alcanzó los S/ </w:t>
      </w:r>
      <w:r w:rsidR="006A4795" w:rsidRPr="00D51A32">
        <w:rPr>
          <w:rFonts w:ascii="Arial" w:hAnsi="Arial" w:cs="Arial"/>
          <w:bCs/>
        </w:rPr>
        <w:t>6</w:t>
      </w:r>
      <w:r w:rsidR="008008E1" w:rsidRPr="00D51A32">
        <w:rPr>
          <w:rFonts w:ascii="Arial" w:hAnsi="Arial" w:cs="Arial"/>
          <w:bCs/>
        </w:rPr>
        <w:t xml:space="preserve"> </w:t>
      </w:r>
      <w:r w:rsidR="005F0714" w:rsidRPr="00D51A32">
        <w:rPr>
          <w:rFonts w:ascii="Arial" w:hAnsi="Arial" w:cs="Arial"/>
          <w:bCs/>
        </w:rPr>
        <w:t>8</w:t>
      </w:r>
      <w:r w:rsidR="006C6EF6" w:rsidRPr="00D51A32">
        <w:rPr>
          <w:rFonts w:ascii="Arial" w:hAnsi="Arial" w:cs="Arial"/>
          <w:bCs/>
        </w:rPr>
        <w:t>78</w:t>
      </w:r>
      <w:r w:rsidR="005F6357" w:rsidRPr="00D51A32">
        <w:rPr>
          <w:rFonts w:ascii="Arial" w:hAnsi="Arial" w:cs="Arial"/>
          <w:bCs/>
        </w:rPr>
        <w:t xml:space="preserve"> millones, lo que representa una disminución del </w:t>
      </w:r>
      <w:r w:rsidR="006A4795" w:rsidRPr="00D51A32">
        <w:rPr>
          <w:rFonts w:ascii="Arial" w:hAnsi="Arial" w:cs="Arial"/>
          <w:bCs/>
        </w:rPr>
        <w:t>16,</w:t>
      </w:r>
      <w:r w:rsidR="005F0714" w:rsidRPr="00D51A32">
        <w:rPr>
          <w:rFonts w:ascii="Arial" w:hAnsi="Arial" w:cs="Arial"/>
          <w:bCs/>
        </w:rPr>
        <w:t>9</w:t>
      </w:r>
      <w:r w:rsidR="005F6357" w:rsidRPr="00D51A32">
        <w:rPr>
          <w:rFonts w:ascii="Arial" w:hAnsi="Arial" w:cs="Arial"/>
          <w:bCs/>
        </w:rPr>
        <w:t>% en comparación con el mismo mes del año 2022.</w:t>
      </w:r>
    </w:p>
    <w:p w14:paraId="01E4D18A" w14:textId="77777777" w:rsidR="00D51A32" w:rsidRPr="00D51A32" w:rsidRDefault="00D51A32" w:rsidP="00D51A3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43D091A8" w14:textId="77777777" w:rsidR="00D51A32" w:rsidRDefault="00312F8B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>El</w:t>
      </w:r>
      <w:r w:rsidR="005F6357" w:rsidRPr="00D51A32">
        <w:rPr>
          <w:rFonts w:ascii="Arial" w:hAnsi="Arial" w:cs="Arial"/>
          <w:bCs/>
        </w:rPr>
        <w:t xml:space="preserve"> IGV Interno disminuyó en un </w:t>
      </w:r>
      <w:r w:rsidR="006A4795" w:rsidRPr="00D51A32">
        <w:rPr>
          <w:rFonts w:ascii="Arial" w:hAnsi="Arial" w:cs="Arial"/>
          <w:bCs/>
        </w:rPr>
        <w:t>8</w:t>
      </w:r>
      <w:r w:rsidR="005F6357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3</w:t>
      </w:r>
      <w:r w:rsidR="005F6357" w:rsidRPr="00D51A32">
        <w:rPr>
          <w:rFonts w:ascii="Arial" w:hAnsi="Arial" w:cs="Arial"/>
          <w:bCs/>
        </w:rPr>
        <w:t xml:space="preserve">% y recaudó S/ </w:t>
      </w:r>
      <w:r w:rsidR="00F863B3" w:rsidRPr="00D51A32">
        <w:rPr>
          <w:rFonts w:ascii="Arial" w:hAnsi="Arial" w:cs="Arial"/>
          <w:bCs/>
        </w:rPr>
        <w:t>3</w:t>
      </w:r>
      <w:r w:rsidR="008008E1" w:rsidRPr="00D51A32">
        <w:rPr>
          <w:rFonts w:ascii="Arial" w:hAnsi="Arial" w:cs="Arial"/>
          <w:bCs/>
        </w:rPr>
        <w:t xml:space="preserve"> </w:t>
      </w:r>
      <w:r w:rsidR="005F6F98" w:rsidRPr="00D51A32">
        <w:rPr>
          <w:rFonts w:ascii="Arial" w:hAnsi="Arial" w:cs="Arial"/>
          <w:bCs/>
        </w:rPr>
        <w:t>899</w:t>
      </w:r>
      <w:r w:rsidR="006A4795" w:rsidRPr="00D51A32">
        <w:rPr>
          <w:rFonts w:ascii="Arial" w:hAnsi="Arial" w:cs="Arial"/>
          <w:bCs/>
        </w:rPr>
        <w:t xml:space="preserve"> </w:t>
      </w:r>
      <w:r w:rsidR="005F6357" w:rsidRPr="00D51A32">
        <w:rPr>
          <w:rFonts w:ascii="Arial" w:hAnsi="Arial" w:cs="Arial"/>
          <w:bCs/>
        </w:rPr>
        <w:t>millones, lo que refleja</w:t>
      </w:r>
      <w:r w:rsidR="00B16FC9" w:rsidRPr="00D51A32">
        <w:rPr>
          <w:rFonts w:ascii="Arial" w:hAnsi="Arial" w:cs="Arial"/>
          <w:bCs/>
        </w:rPr>
        <w:t>ría</w:t>
      </w:r>
      <w:r w:rsidR="005F6357" w:rsidRPr="00D51A32">
        <w:rPr>
          <w:rFonts w:ascii="Arial" w:hAnsi="Arial" w:cs="Arial"/>
          <w:bCs/>
        </w:rPr>
        <w:t xml:space="preserve"> principalmente la menor </w:t>
      </w:r>
      <w:r w:rsidR="00A17FBA" w:rsidRPr="00D51A32">
        <w:rPr>
          <w:rFonts w:ascii="Arial" w:hAnsi="Arial" w:cs="Arial"/>
          <w:bCs/>
        </w:rPr>
        <w:t>d</w:t>
      </w:r>
      <w:r w:rsidR="005F6357" w:rsidRPr="00D51A32">
        <w:rPr>
          <w:rFonts w:ascii="Arial" w:hAnsi="Arial" w:cs="Arial"/>
          <w:bCs/>
        </w:rPr>
        <w:t xml:space="preserve">emanda </w:t>
      </w:r>
      <w:r w:rsidR="00A17FBA" w:rsidRPr="00D51A32">
        <w:rPr>
          <w:rFonts w:ascii="Arial" w:hAnsi="Arial" w:cs="Arial"/>
          <w:bCs/>
        </w:rPr>
        <w:t>i</w:t>
      </w:r>
      <w:r w:rsidR="005F6357" w:rsidRPr="00D51A32">
        <w:rPr>
          <w:rFonts w:ascii="Arial" w:hAnsi="Arial" w:cs="Arial"/>
          <w:bCs/>
        </w:rPr>
        <w:t>nterna</w:t>
      </w:r>
      <w:r w:rsidR="00F863B3" w:rsidRPr="00D51A32">
        <w:rPr>
          <w:rFonts w:ascii="Arial" w:hAnsi="Arial" w:cs="Arial"/>
          <w:bCs/>
        </w:rPr>
        <w:t xml:space="preserve"> y</w:t>
      </w:r>
      <w:r w:rsidR="005F6357" w:rsidRPr="00D51A32">
        <w:rPr>
          <w:rFonts w:ascii="Arial" w:hAnsi="Arial" w:cs="Arial"/>
          <w:bCs/>
        </w:rPr>
        <w:t xml:space="preserve"> la menor cotización internacional del </w:t>
      </w:r>
      <w:r w:rsidR="00A17FBA" w:rsidRPr="00D51A32">
        <w:rPr>
          <w:rFonts w:ascii="Arial" w:hAnsi="Arial" w:cs="Arial"/>
          <w:bCs/>
        </w:rPr>
        <w:t>g</w:t>
      </w:r>
      <w:r w:rsidR="005F6357" w:rsidRPr="00D51A32">
        <w:rPr>
          <w:rFonts w:ascii="Arial" w:hAnsi="Arial" w:cs="Arial"/>
          <w:bCs/>
        </w:rPr>
        <w:t>as</w:t>
      </w:r>
      <w:r w:rsidR="00F863B3" w:rsidRPr="00D51A32">
        <w:rPr>
          <w:rFonts w:ascii="Arial" w:hAnsi="Arial" w:cs="Arial"/>
          <w:bCs/>
        </w:rPr>
        <w:t>.</w:t>
      </w:r>
      <w:r w:rsidR="005F6357" w:rsidRPr="00D51A32">
        <w:rPr>
          <w:rFonts w:ascii="Arial" w:hAnsi="Arial" w:cs="Arial"/>
          <w:bCs/>
        </w:rPr>
        <w:t xml:space="preserve"> </w:t>
      </w:r>
    </w:p>
    <w:p w14:paraId="078B8E59" w14:textId="77777777" w:rsid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5E1287FB" w14:textId="5D3EA44F" w:rsidR="005F6357" w:rsidRDefault="005F6357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lastRenderedPageBreak/>
        <w:t xml:space="preserve">Por su parte, el IGV que grava a las importaciones recaudó S/ </w:t>
      </w:r>
      <w:r w:rsidR="005F6F98" w:rsidRPr="00D51A32">
        <w:rPr>
          <w:rFonts w:ascii="Arial" w:hAnsi="Arial" w:cs="Arial"/>
          <w:bCs/>
        </w:rPr>
        <w:t>2 9</w:t>
      </w:r>
      <w:r w:rsidR="006C6EF6" w:rsidRPr="00D51A32">
        <w:rPr>
          <w:rFonts w:ascii="Arial" w:hAnsi="Arial" w:cs="Arial"/>
          <w:bCs/>
        </w:rPr>
        <w:t xml:space="preserve">79 </w:t>
      </w:r>
      <w:r w:rsidRPr="00D51A32">
        <w:rPr>
          <w:rFonts w:ascii="Arial" w:hAnsi="Arial" w:cs="Arial"/>
          <w:bCs/>
        </w:rPr>
        <w:t xml:space="preserve">millones, lo que representa una disminución del </w:t>
      </w:r>
      <w:r w:rsidR="006A4795" w:rsidRPr="00D51A32">
        <w:rPr>
          <w:rFonts w:ascii="Arial" w:hAnsi="Arial" w:cs="Arial"/>
          <w:bCs/>
        </w:rPr>
        <w:t>2</w:t>
      </w:r>
      <w:r w:rsidR="006C6EF6" w:rsidRPr="00D51A32">
        <w:rPr>
          <w:rFonts w:ascii="Arial" w:hAnsi="Arial" w:cs="Arial"/>
          <w:bCs/>
        </w:rPr>
        <w:t>6</w:t>
      </w:r>
      <w:r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0</w:t>
      </w:r>
      <w:r w:rsidRPr="00D51A32">
        <w:rPr>
          <w:rFonts w:ascii="Arial" w:hAnsi="Arial" w:cs="Arial"/>
          <w:bCs/>
        </w:rPr>
        <w:t xml:space="preserve">% en comparación con </w:t>
      </w:r>
      <w:r w:rsidR="00EF5573" w:rsidRPr="00D51A32">
        <w:rPr>
          <w:rFonts w:ascii="Arial" w:hAnsi="Arial" w:cs="Arial"/>
          <w:bCs/>
        </w:rPr>
        <w:t>septiembre</w:t>
      </w:r>
      <w:r w:rsidRPr="00D51A32">
        <w:rPr>
          <w:rFonts w:ascii="Arial" w:hAnsi="Arial" w:cs="Arial"/>
          <w:bCs/>
        </w:rPr>
        <w:t xml:space="preserve"> del año 2022, en un contexto de contracción de las importaciones (-</w:t>
      </w:r>
      <w:r w:rsidR="00DF658D" w:rsidRPr="00D51A32">
        <w:rPr>
          <w:rFonts w:ascii="Arial" w:hAnsi="Arial" w:cs="Arial"/>
          <w:bCs/>
        </w:rPr>
        <w:t>10%</w:t>
      </w:r>
      <w:r w:rsidRPr="00D51A32">
        <w:rPr>
          <w:rFonts w:ascii="Arial" w:hAnsi="Arial" w:cs="Arial"/>
          <w:bCs/>
        </w:rPr>
        <w:t>) y menor tipo de cambio (-</w:t>
      </w:r>
      <w:r w:rsidR="00C33337" w:rsidRPr="00D51A32">
        <w:rPr>
          <w:rFonts w:ascii="Arial" w:hAnsi="Arial" w:cs="Arial"/>
          <w:bCs/>
        </w:rPr>
        <w:t>4</w:t>
      </w:r>
      <w:r w:rsidRPr="00D51A32">
        <w:rPr>
          <w:rFonts w:ascii="Arial" w:hAnsi="Arial" w:cs="Arial"/>
          <w:bCs/>
        </w:rPr>
        <w:t>,</w:t>
      </w:r>
      <w:r w:rsidR="006A4795" w:rsidRPr="00D51A32">
        <w:rPr>
          <w:rFonts w:ascii="Arial" w:hAnsi="Arial" w:cs="Arial"/>
          <w:bCs/>
        </w:rPr>
        <w:t>8</w:t>
      </w:r>
      <w:r w:rsidRPr="00D51A32">
        <w:rPr>
          <w:rFonts w:ascii="Arial" w:hAnsi="Arial" w:cs="Arial"/>
          <w:bCs/>
        </w:rPr>
        <w:t>%) en comparación con el mismo mes del año anterior.</w:t>
      </w:r>
    </w:p>
    <w:p w14:paraId="47325236" w14:textId="77777777" w:rsidR="00D51A32" w:rsidRPr="00D51A32" w:rsidRDefault="00D51A32" w:rsidP="00D51A32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79C9F66" w14:textId="77777777" w:rsidR="008E674E" w:rsidRDefault="00312F8B" w:rsidP="00D51A3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/>
        </w:rPr>
        <w:t>Impuesto Selectivo al Consumo (ISC):</w:t>
      </w:r>
      <w:r w:rsidRPr="00D51A32">
        <w:rPr>
          <w:rFonts w:ascii="Arial" w:hAnsi="Arial" w:cs="Arial"/>
          <w:bCs/>
        </w:rPr>
        <w:t xml:space="preserve"> La </w:t>
      </w:r>
      <w:r w:rsidR="006968B6" w:rsidRPr="00D51A32">
        <w:rPr>
          <w:rFonts w:ascii="Arial" w:hAnsi="Arial" w:cs="Arial"/>
          <w:bCs/>
        </w:rPr>
        <w:t xml:space="preserve">recaudación del ISC alcanzó los S/ </w:t>
      </w:r>
      <w:r w:rsidR="006A4795" w:rsidRPr="00D51A32">
        <w:rPr>
          <w:rFonts w:ascii="Arial" w:hAnsi="Arial" w:cs="Arial"/>
          <w:bCs/>
        </w:rPr>
        <w:t>7</w:t>
      </w:r>
      <w:r w:rsidR="00222E0F" w:rsidRPr="00D51A32">
        <w:rPr>
          <w:rFonts w:ascii="Arial" w:hAnsi="Arial" w:cs="Arial"/>
          <w:bCs/>
        </w:rPr>
        <w:t>7</w:t>
      </w:r>
      <w:r w:rsidR="006C6EF6" w:rsidRPr="00D51A32">
        <w:rPr>
          <w:rFonts w:ascii="Arial" w:hAnsi="Arial" w:cs="Arial"/>
          <w:bCs/>
        </w:rPr>
        <w:t>2</w:t>
      </w:r>
      <w:r w:rsidR="006968B6" w:rsidRPr="00D51A32">
        <w:rPr>
          <w:rFonts w:ascii="Arial" w:hAnsi="Arial" w:cs="Arial"/>
          <w:bCs/>
        </w:rPr>
        <w:t xml:space="preserve"> millones, lo que representa un</w:t>
      </w:r>
      <w:r w:rsidR="00C33337" w:rsidRPr="00D51A32">
        <w:rPr>
          <w:rFonts w:ascii="Arial" w:hAnsi="Arial" w:cs="Arial"/>
          <w:bCs/>
        </w:rPr>
        <w:t>a</w:t>
      </w:r>
      <w:r w:rsidR="006968B6" w:rsidRPr="00D51A32">
        <w:rPr>
          <w:rFonts w:ascii="Arial" w:hAnsi="Arial" w:cs="Arial"/>
          <w:bCs/>
        </w:rPr>
        <w:t xml:space="preserve"> </w:t>
      </w:r>
      <w:r w:rsidR="00C33337" w:rsidRPr="00D51A32">
        <w:rPr>
          <w:rFonts w:ascii="Arial" w:hAnsi="Arial" w:cs="Arial"/>
          <w:bCs/>
        </w:rPr>
        <w:t>disminución</w:t>
      </w:r>
      <w:r w:rsidR="006968B6" w:rsidRPr="00D51A32">
        <w:rPr>
          <w:rFonts w:ascii="Arial" w:hAnsi="Arial" w:cs="Arial"/>
          <w:bCs/>
        </w:rPr>
        <w:t xml:space="preserve"> del </w:t>
      </w:r>
      <w:r w:rsidR="006A4795" w:rsidRPr="00D51A32">
        <w:rPr>
          <w:rFonts w:ascii="Arial" w:hAnsi="Arial" w:cs="Arial"/>
          <w:bCs/>
        </w:rPr>
        <w:t>1</w:t>
      </w:r>
      <w:r w:rsidR="00222E0F" w:rsidRPr="00D51A32">
        <w:rPr>
          <w:rFonts w:ascii="Arial" w:hAnsi="Arial" w:cs="Arial"/>
          <w:bCs/>
        </w:rPr>
        <w:t>2</w:t>
      </w:r>
      <w:r w:rsidR="006A4795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8</w:t>
      </w:r>
      <w:r w:rsidR="006968B6" w:rsidRPr="00D51A32">
        <w:rPr>
          <w:rFonts w:ascii="Arial" w:hAnsi="Arial" w:cs="Arial"/>
          <w:bCs/>
        </w:rPr>
        <w:t xml:space="preserve">%. </w:t>
      </w:r>
    </w:p>
    <w:p w14:paraId="20789537" w14:textId="77777777" w:rsidR="008E674E" w:rsidRDefault="008E674E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4038E121" w14:textId="77777777" w:rsidR="008E674E" w:rsidRDefault="006968B6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 xml:space="preserve">El ISC Interno </w:t>
      </w:r>
      <w:r w:rsidR="00C33337" w:rsidRPr="00D51A32">
        <w:rPr>
          <w:rFonts w:ascii="Arial" w:hAnsi="Arial" w:cs="Arial"/>
          <w:bCs/>
        </w:rPr>
        <w:t>disminuyó</w:t>
      </w:r>
      <w:r w:rsidRPr="00D51A32">
        <w:rPr>
          <w:rFonts w:ascii="Arial" w:hAnsi="Arial" w:cs="Arial"/>
          <w:bCs/>
        </w:rPr>
        <w:t xml:space="preserve"> en un </w:t>
      </w:r>
      <w:r w:rsidR="006C6EF6" w:rsidRPr="00D51A32">
        <w:rPr>
          <w:rFonts w:ascii="Arial" w:hAnsi="Arial" w:cs="Arial"/>
          <w:bCs/>
        </w:rPr>
        <w:t>6</w:t>
      </w:r>
      <w:r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1</w:t>
      </w:r>
      <w:r w:rsidRPr="00D51A32">
        <w:rPr>
          <w:rFonts w:ascii="Arial" w:hAnsi="Arial" w:cs="Arial"/>
          <w:bCs/>
        </w:rPr>
        <w:t>%</w:t>
      </w:r>
      <w:r w:rsidR="003369C6" w:rsidRPr="00D51A32">
        <w:rPr>
          <w:rFonts w:ascii="Arial" w:hAnsi="Arial" w:cs="Arial"/>
          <w:bCs/>
        </w:rPr>
        <w:t>. P</w:t>
      </w:r>
      <w:r w:rsidRPr="00D51A32">
        <w:rPr>
          <w:rFonts w:ascii="Arial" w:hAnsi="Arial" w:cs="Arial"/>
          <w:bCs/>
        </w:rPr>
        <w:t xml:space="preserve">or su parte, el ISC que grava a las importaciones </w:t>
      </w:r>
      <w:r w:rsidR="006A4795" w:rsidRPr="00D51A32">
        <w:rPr>
          <w:rFonts w:ascii="Arial" w:hAnsi="Arial" w:cs="Arial"/>
          <w:bCs/>
        </w:rPr>
        <w:t>disminuyó</w:t>
      </w:r>
      <w:r w:rsidRPr="00D51A32">
        <w:rPr>
          <w:rFonts w:ascii="Arial" w:hAnsi="Arial" w:cs="Arial"/>
          <w:bCs/>
        </w:rPr>
        <w:t xml:space="preserve"> en un </w:t>
      </w:r>
      <w:r w:rsidR="006A4795" w:rsidRPr="00D51A32">
        <w:rPr>
          <w:rFonts w:ascii="Arial" w:hAnsi="Arial" w:cs="Arial"/>
          <w:bCs/>
        </w:rPr>
        <w:t>2</w:t>
      </w:r>
      <w:r w:rsidR="00222E0F" w:rsidRPr="00D51A32">
        <w:rPr>
          <w:rFonts w:ascii="Arial" w:hAnsi="Arial" w:cs="Arial"/>
          <w:bCs/>
        </w:rPr>
        <w:t>1,</w:t>
      </w:r>
      <w:r w:rsidR="006C6EF6" w:rsidRPr="00D51A32">
        <w:rPr>
          <w:rFonts w:ascii="Arial" w:hAnsi="Arial" w:cs="Arial"/>
          <w:bCs/>
        </w:rPr>
        <w:t>1</w:t>
      </w:r>
      <w:r w:rsidRPr="00D51A32">
        <w:rPr>
          <w:rFonts w:ascii="Arial" w:hAnsi="Arial" w:cs="Arial"/>
          <w:bCs/>
        </w:rPr>
        <w:t>%</w:t>
      </w:r>
      <w:r w:rsidR="003369C6" w:rsidRPr="00D51A32">
        <w:rPr>
          <w:rFonts w:ascii="Arial" w:hAnsi="Arial" w:cs="Arial"/>
          <w:bCs/>
        </w:rPr>
        <w:t>,</w:t>
      </w:r>
      <w:r w:rsidR="007E2038" w:rsidRPr="00D51A32">
        <w:rPr>
          <w:rFonts w:ascii="Arial" w:hAnsi="Arial" w:cs="Arial"/>
          <w:bCs/>
        </w:rPr>
        <w:t xml:space="preserve"> principalmente por </w:t>
      </w:r>
      <w:r w:rsidR="0084782C" w:rsidRPr="00D51A32">
        <w:rPr>
          <w:rFonts w:ascii="Arial" w:hAnsi="Arial" w:cs="Arial"/>
          <w:bCs/>
        </w:rPr>
        <w:t xml:space="preserve">los </w:t>
      </w:r>
      <w:r w:rsidR="007E2038" w:rsidRPr="00D51A32">
        <w:rPr>
          <w:rFonts w:ascii="Arial" w:hAnsi="Arial" w:cs="Arial"/>
          <w:bCs/>
        </w:rPr>
        <w:t>m</w:t>
      </w:r>
      <w:r w:rsidR="006A4795" w:rsidRPr="00D51A32">
        <w:rPr>
          <w:rFonts w:ascii="Arial" w:hAnsi="Arial" w:cs="Arial"/>
          <w:bCs/>
        </w:rPr>
        <w:t>enores</w:t>
      </w:r>
      <w:r w:rsidR="007E2038" w:rsidRPr="00D51A32">
        <w:rPr>
          <w:rFonts w:ascii="Arial" w:hAnsi="Arial" w:cs="Arial"/>
          <w:bCs/>
        </w:rPr>
        <w:t xml:space="preserve"> pagos </w:t>
      </w:r>
      <w:r w:rsidR="0084782C" w:rsidRPr="00D51A32">
        <w:rPr>
          <w:rFonts w:ascii="Arial" w:hAnsi="Arial" w:cs="Arial"/>
          <w:bCs/>
        </w:rPr>
        <w:t>correspondientes al</w:t>
      </w:r>
      <w:r w:rsidR="007E2038" w:rsidRPr="00D51A32">
        <w:rPr>
          <w:rFonts w:ascii="Arial" w:hAnsi="Arial" w:cs="Arial"/>
          <w:bCs/>
        </w:rPr>
        <w:t xml:space="preserve"> ISC combustibles,</w:t>
      </w:r>
      <w:r w:rsidR="003369C6" w:rsidRPr="00D51A32">
        <w:rPr>
          <w:rFonts w:ascii="Arial" w:hAnsi="Arial" w:cs="Arial"/>
          <w:bCs/>
        </w:rPr>
        <w:t xml:space="preserve"> </w:t>
      </w:r>
      <w:r w:rsidR="006A4795" w:rsidRPr="00D51A32">
        <w:rPr>
          <w:rFonts w:ascii="Arial" w:hAnsi="Arial" w:cs="Arial"/>
          <w:bCs/>
        </w:rPr>
        <w:t>disminuyendo</w:t>
      </w:r>
      <w:r w:rsidR="003369C6" w:rsidRPr="00D51A32">
        <w:rPr>
          <w:rFonts w:ascii="Arial" w:hAnsi="Arial" w:cs="Arial"/>
          <w:bCs/>
        </w:rPr>
        <w:t xml:space="preserve"> </w:t>
      </w:r>
      <w:r w:rsidR="0084782C" w:rsidRPr="00D51A32">
        <w:rPr>
          <w:rFonts w:ascii="Arial" w:hAnsi="Arial" w:cs="Arial"/>
          <w:bCs/>
        </w:rPr>
        <w:t>asimismo</w:t>
      </w:r>
      <w:r w:rsidR="003369C6" w:rsidRPr="00D51A32">
        <w:rPr>
          <w:rFonts w:ascii="Arial" w:hAnsi="Arial" w:cs="Arial"/>
          <w:bCs/>
        </w:rPr>
        <w:t xml:space="preserve"> la base de cálculo para el IGV que grava </w:t>
      </w:r>
      <w:r w:rsidR="0084782C" w:rsidRPr="00D51A32">
        <w:rPr>
          <w:rFonts w:ascii="Arial" w:hAnsi="Arial" w:cs="Arial"/>
          <w:bCs/>
        </w:rPr>
        <w:t>a estas</w:t>
      </w:r>
      <w:r w:rsidR="003369C6" w:rsidRPr="00D51A32">
        <w:rPr>
          <w:rFonts w:ascii="Arial" w:hAnsi="Arial" w:cs="Arial"/>
          <w:bCs/>
        </w:rPr>
        <w:t xml:space="preserve"> importaciones</w:t>
      </w:r>
      <w:r w:rsidRPr="00D51A32">
        <w:rPr>
          <w:rFonts w:ascii="Arial" w:hAnsi="Arial" w:cs="Arial"/>
          <w:bCs/>
        </w:rPr>
        <w:t>.</w:t>
      </w:r>
      <w:r w:rsidR="001139A1" w:rsidRPr="00D51A32">
        <w:rPr>
          <w:rFonts w:ascii="Arial" w:hAnsi="Arial" w:cs="Arial"/>
          <w:bCs/>
        </w:rPr>
        <w:t xml:space="preserve"> </w:t>
      </w:r>
    </w:p>
    <w:p w14:paraId="5DD5E6D5" w14:textId="77777777" w:rsidR="008E674E" w:rsidRDefault="008E674E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5D0B82E1" w14:textId="55AECAF7" w:rsidR="001139A1" w:rsidRDefault="001139A1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 xml:space="preserve">Cabe indicar que el resultado del ISC combustibles reportado </w:t>
      </w:r>
      <w:r w:rsidR="00884F62" w:rsidRPr="00D51A32">
        <w:rPr>
          <w:rFonts w:ascii="Arial" w:hAnsi="Arial" w:cs="Arial"/>
          <w:bCs/>
        </w:rPr>
        <w:t xml:space="preserve">refleja, entre otros aspectos, los </w:t>
      </w:r>
      <w:r w:rsidRPr="00D51A32">
        <w:rPr>
          <w:rFonts w:ascii="Arial" w:hAnsi="Arial" w:cs="Arial"/>
          <w:bCs/>
        </w:rPr>
        <w:t xml:space="preserve">menores pagos por parte de una </w:t>
      </w:r>
      <w:r w:rsidR="00EB3973" w:rsidRPr="00D51A32">
        <w:rPr>
          <w:rFonts w:ascii="Arial" w:hAnsi="Arial" w:cs="Arial"/>
          <w:bCs/>
        </w:rPr>
        <w:t>empresa estatal</w:t>
      </w:r>
      <w:r w:rsidR="00884F62" w:rsidRPr="00D51A32">
        <w:rPr>
          <w:rFonts w:ascii="Arial" w:hAnsi="Arial" w:cs="Arial"/>
          <w:bCs/>
        </w:rPr>
        <w:t>.</w:t>
      </w:r>
    </w:p>
    <w:p w14:paraId="1CB0E663" w14:textId="77777777" w:rsidR="008E674E" w:rsidRPr="00D51A32" w:rsidRDefault="008E674E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135A94EC" w14:textId="77777777" w:rsidR="008E674E" w:rsidRDefault="00312F8B" w:rsidP="00D51A32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/>
        </w:rPr>
        <w:t>Otros ingresos:</w:t>
      </w:r>
      <w:r w:rsidRPr="00D51A32">
        <w:rPr>
          <w:rFonts w:ascii="Arial" w:hAnsi="Arial" w:cs="Arial"/>
          <w:bCs/>
        </w:rPr>
        <w:t xml:space="preserve"> La recaudación asociada a este rubro ascendió a S/ 1</w:t>
      </w:r>
      <w:r w:rsidR="006A4795" w:rsidRPr="00D51A32">
        <w:rPr>
          <w:rFonts w:ascii="Arial" w:hAnsi="Arial" w:cs="Arial"/>
          <w:bCs/>
        </w:rPr>
        <w:t xml:space="preserve"> </w:t>
      </w:r>
      <w:r w:rsidR="006C6EF6" w:rsidRPr="00D51A32">
        <w:rPr>
          <w:rFonts w:ascii="Arial" w:hAnsi="Arial" w:cs="Arial"/>
          <w:bCs/>
        </w:rPr>
        <w:t>199</w:t>
      </w:r>
      <w:r w:rsidRPr="00D51A32">
        <w:rPr>
          <w:rFonts w:ascii="Arial" w:hAnsi="Arial" w:cs="Arial"/>
          <w:bCs/>
        </w:rPr>
        <w:t xml:space="preserve"> millones, monto </w:t>
      </w:r>
      <w:r w:rsidR="00A17FBA" w:rsidRPr="00D51A32">
        <w:rPr>
          <w:rFonts w:ascii="Arial" w:hAnsi="Arial" w:cs="Arial"/>
          <w:bCs/>
        </w:rPr>
        <w:t>menor</w:t>
      </w:r>
      <w:r w:rsidRPr="00D51A32">
        <w:rPr>
          <w:rFonts w:ascii="Arial" w:hAnsi="Arial" w:cs="Arial"/>
          <w:bCs/>
        </w:rPr>
        <w:t xml:space="preserve"> </w:t>
      </w:r>
      <w:r w:rsidR="00A17FBA" w:rsidRPr="00D51A32">
        <w:rPr>
          <w:rFonts w:ascii="Arial" w:hAnsi="Arial" w:cs="Arial"/>
          <w:bCs/>
        </w:rPr>
        <w:t xml:space="preserve">en </w:t>
      </w:r>
      <w:r w:rsidR="006A4795" w:rsidRPr="00D51A32">
        <w:rPr>
          <w:rFonts w:ascii="Arial" w:hAnsi="Arial" w:cs="Arial"/>
          <w:bCs/>
        </w:rPr>
        <w:t>1</w:t>
      </w:r>
      <w:r w:rsidR="00FD4378" w:rsidRPr="00D51A32">
        <w:rPr>
          <w:rFonts w:ascii="Arial" w:hAnsi="Arial" w:cs="Arial"/>
          <w:bCs/>
        </w:rPr>
        <w:t>2,</w:t>
      </w:r>
      <w:r w:rsidR="006C6EF6" w:rsidRPr="00D51A32">
        <w:rPr>
          <w:rFonts w:ascii="Arial" w:hAnsi="Arial" w:cs="Arial"/>
          <w:bCs/>
        </w:rPr>
        <w:t>8</w:t>
      </w:r>
      <w:r w:rsidRPr="00D51A32">
        <w:rPr>
          <w:rFonts w:ascii="Arial" w:hAnsi="Arial" w:cs="Arial"/>
          <w:bCs/>
        </w:rPr>
        <w:t xml:space="preserve">% con respecto a lo obtenido en </w:t>
      </w:r>
      <w:r w:rsidR="00EF5573" w:rsidRPr="00D51A32">
        <w:rPr>
          <w:rFonts w:ascii="Arial" w:hAnsi="Arial" w:cs="Arial"/>
          <w:bCs/>
        </w:rPr>
        <w:t>septiembre</w:t>
      </w:r>
      <w:r w:rsidRPr="00D51A32">
        <w:rPr>
          <w:rFonts w:ascii="Arial" w:hAnsi="Arial" w:cs="Arial"/>
          <w:bCs/>
        </w:rPr>
        <w:t xml:space="preserve"> del año 2022. Dicho resultado se explicó por</w:t>
      </w:r>
      <w:r w:rsidR="00163024" w:rsidRPr="00D51A32">
        <w:rPr>
          <w:rFonts w:ascii="Arial" w:hAnsi="Arial" w:cs="Arial"/>
          <w:bCs/>
        </w:rPr>
        <w:t xml:space="preserve"> </w:t>
      </w:r>
      <w:r w:rsidRPr="00D51A32">
        <w:rPr>
          <w:rFonts w:ascii="Arial" w:hAnsi="Arial" w:cs="Arial"/>
          <w:bCs/>
        </w:rPr>
        <w:t>los m</w:t>
      </w:r>
      <w:r w:rsidR="006A4795" w:rsidRPr="00D51A32">
        <w:rPr>
          <w:rFonts w:ascii="Arial" w:hAnsi="Arial" w:cs="Arial"/>
          <w:bCs/>
        </w:rPr>
        <w:t>enores</w:t>
      </w:r>
      <w:r w:rsidRPr="00D51A32">
        <w:rPr>
          <w:rFonts w:ascii="Arial" w:hAnsi="Arial" w:cs="Arial"/>
          <w:bCs/>
        </w:rPr>
        <w:t xml:space="preserve"> pagos correspondientes </w:t>
      </w:r>
      <w:r w:rsidR="00CD47DA" w:rsidRPr="00D51A32">
        <w:rPr>
          <w:rFonts w:ascii="Arial" w:hAnsi="Arial" w:cs="Arial"/>
          <w:bCs/>
        </w:rPr>
        <w:t xml:space="preserve">al Impuesto Especial a la Minería (-95,5%), </w:t>
      </w:r>
      <w:r w:rsidRPr="00D51A32">
        <w:rPr>
          <w:rFonts w:ascii="Arial" w:hAnsi="Arial" w:cs="Arial"/>
          <w:bCs/>
        </w:rPr>
        <w:t>a</w:t>
      </w:r>
      <w:r w:rsidR="006673EF" w:rsidRPr="00D51A32">
        <w:rPr>
          <w:rFonts w:ascii="Arial" w:hAnsi="Arial" w:cs="Arial"/>
          <w:bCs/>
        </w:rPr>
        <w:t>l rubro</w:t>
      </w:r>
      <w:r w:rsidR="00163024" w:rsidRPr="00D51A32">
        <w:rPr>
          <w:rFonts w:ascii="Arial" w:hAnsi="Arial" w:cs="Arial"/>
          <w:bCs/>
        </w:rPr>
        <w:t xml:space="preserve"> </w:t>
      </w:r>
      <w:r w:rsidR="00675D9C" w:rsidRPr="00D51A32">
        <w:rPr>
          <w:rFonts w:ascii="Arial" w:hAnsi="Arial" w:cs="Arial"/>
          <w:bCs/>
        </w:rPr>
        <w:t>Otros</w:t>
      </w:r>
      <w:r w:rsidR="00163024" w:rsidRPr="00D51A32">
        <w:rPr>
          <w:rFonts w:ascii="Arial" w:hAnsi="Arial" w:cs="Arial"/>
          <w:bCs/>
        </w:rPr>
        <w:t xml:space="preserve"> (</w:t>
      </w:r>
      <w:r w:rsidR="006A4795" w:rsidRPr="00D51A32">
        <w:rPr>
          <w:rFonts w:ascii="Arial" w:hAnsi="Arial" w:cs="Arial"/>
          <w:bCs/>
        </w:rPr>
        <w:t>-</w:t>
      </w:r>
      <w:r w:rsidR="00FD4378" w:rsidRPr="00D51A32">
        <w:rPr>
          <w:rFonts w:ascii="Arial" w:hAnsi="Arial" w:cs="Arial"/>
          <w:bCs/>
        </w:rPr>
        <w:t>1</w:t>
      </w:r>
      <w:r w:rsidR="00222E0F" w:rsidRPr="00D51A32">
        <w:rPr>
          <w:rFonts w:ascii="Arial" w:hAnsi="Arial" w:cs="Arial"/>
          <w:bCs/>
        </w:rPr>
        <w:t>1</w:t>
      </w:r>
      <w:r w:rsidR="006A4795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2</w:t>
      </w:r>
      <w:r w:rsidR="00163024" w:rsidRPr="00D51A32">
        <w:rPr>
          <w:rFonts w:ascii="Arial" w:hAnsi="Arial" w:cs="Arial"/>
          <w:bCs/>
        </w:rPr>
        <w:t>%)</w:t>
      </w:r>
      <w:r w:rsidR="006673EF" w:rsidRPr="00D51A32">
        <w:rPr>
          <w:rFonts w:ascii="Arial" w:hAnsi="Arial" w:cs="Arial"/>
          <w:bCs/>
        </w:rPr>
        <w:t>,</w:t>
      </w:r>
      <w:r w:rsidR="007036B4" w:rsidRPr="00D51A32">
        <w:rPr>
          <w:rFonts w:ascii="Arial" w:hAnsi="Arial" w:cs="Arial"/>
          <w:bCs/>
        </w:rPr>
        <w:t xml:space="preserve"> </w:t>
      </w:r>
      <w:r w:rsidR="007036B4" w:rsidRPr="00D51A32">
        <w:rPr>
          <w:rFonts w:ascii="Arial" w:hAnsi="Arial" w:cs="Arial"/>
        </w:rPr>
        <w:t xml:space="preserve">los </w:t>
      </w:r>
      <w:r w:rsidR="007036B4" w:rsidRPr="00D51A32">
        <w:rPr>
          <w:rFonts w:ascii="Arial" w:hAnsi="Arial" w:cs="Arial"/>
          <w:bCs/>
        </w:rPr>
        <w:t>Fraccionamientos (-</w:t>
      </w:r>
      <w:r w:rsidR="006C6EF6" w:rsidRPr="00D51A32">
        <w:rPr>
          <w:rFonts w:ascii="Arial" w:hAnsi="Arial" w:cs="Arial"/>
          <w:bCs/>
        </w:rPr>
        <w:t>10</w:t>
      </w:r>
      <w:r w:rsidR="007036B4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3</w:t>
      </w:r>
      <w:r w:rsidR="007036B4" w:rsidRPr="00D51A32">
        <w:rPr>
          <w:rFonts w:ascii="Arial" w:hAnsi="Arial" w:cs="Arial"/>
          <w:bCs/>
        </w:rPr>
        <w:t>%),</w:t>
      </w:r>
      <w:r w:rsidR="00CD47DA" w:rsidRPr="00D51A32">
        <w:rPr>
          <w:rFonts w:ascii="Arial" w:hAnsi="Arial" w:cs="Arial"/>
          <w:bCs/>
        </w:rPr>
        <w:t xml:space="preserve"> Casinos y Tragamonedas (-</w:t>
      </w:r>
      <w:r w:rsidR="006C6EF6" w:rsidRPr="00D51A32">
        <w:rPr>
          <w:rFonts w:ascii="Arial" w:hAnsi="Arial" w:cs="Arial"/>
          <w:bCs/>
        </w:rPr>
        <w:t>12,3</w:t>
      </w:r>
      <w:r w:rsidR="00CD47DA" w:rsidRPr="00D51A32">
        <w:rPr>
          <w:rFonts w:ascii="Arial" w:hAnsi="Arial" w:cs="Arial"/>
          <w:bCs/>
        </w:rPr>
        <w:t>%), el Impuesto a las Transacciones Financieras - ITF (-5,</w:t>
      </w:r>
      <w:r w:rsidR="006C6EF6" w:rsidRPr="00D51A32">
        <w:rPr>
          <w:rFonts w:ascii="Arial" w:hAnsi="Arial" w:cs="Arial"/>
          <w:bCs/>
        </w:rPr>
        <w:t>5</w:t>
      </w:r>
      <w:r w:rsidR="00CD47DA" w:rsidRPr="00D51A32">
        <w:rPr>
          <w:rFonts w:ascii="Arial" w:hAnsi="Arial" w:cs="Arial"/>
          <w:bCs/>
        </w:rPr>
        <w:t>%)</w:t>
      </w:r>
      <w:r w:rsidR="00FD4378" w:rsidRPr="00D51A32">
        <w:rPr>
          <w:rFonts w:ascii="Arial" w:hAnsi="Arial" w:cs="Arial"/>
          <w:bCs/>
        </w:rPr>
        <w:t xml:space="preserve"> </w:t>
      </w:r>
      <w:r w:rsidR="00CD47DA" w:rsidRPr="00D51A32">
        <w:rPr>
          <w:rFonts w:ascii="Arial" w:hAnsi="Arial" w:cs="Arial"/>
          <w:bCs/>
        </w:rPr>
        <w:t xml:space="preserve">y el </w:t>
      </w:r>
      <w:r w:rsidR="007036B4" w:rsidRPr="00D51A32">
        <w:rPr>
          <w:rFonts w:ascii="Arial" w:hAnsi="Arial" w:cs="Arial"/>
          <w:bCs/>
        </w:rPr>
        <w:t>Régimen Único Simplificado (-</w:t>
      </w:r>
      <w:r w:rsidR="006C6EF6" w:rsidRPr="00D51A32">
        <w:rPr>
          <w:rFonts w:ascii="Arial" w:hAnsi="Arial" w:cs="Arial"/>
          <w:bCs/>
        </w:rPr>
        <w:t>5</w:t>
      </w:r>
      <w:r w:rsidR="007036B4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7</w:t>
      </w:r>
      <w:r w:rsidR="007036B4" w:rsidRPr="00D51A32">
        <w:rPr>
          <w:rFonts w:ascii="Arial" w:hAnsi="Arial" w:cs="Arial"/>
          <w:bCs/>
        </w:rPr>
        <w:t>%)</w:t>
      </w:r>
      <w:r w:rsidR="00CD47DA" w:rsidRPr="00D51A32">
        <w:rPr>
          <w:rFonts w:ascii="Arial" w:hAnsi="Arial" w:cs="Arial"/>
          <w:bCs/>
        </w:rPr>
        <w:t>.</w:t>
      </w:r>
      <w:r w:rsidR="007036B4" w:rsidRPr="00D51A32">
        <w:rPr>
          <w:rFonts w:ascii="Arial" w:hAnsi="Arial" w:cs="Arial"/>
          <w:bCs/>
        </w:rPr>
        <w:t xml:space="preserve"> </w:t>
      </w:r>
    </w:p>
    <w:p w14:paraId="1C6D5F0A" w14:textId="77777777" w:rsidR="008E674E" w:rsidRDefault="008E674E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290D7FA5" w14:textId="150FDBBB" w:rsidR="00CF2EDF" w:rsidRDefault="00163024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D51A32">
        <w:rPr>
          <w:rFonts w:ascii="Arial" w:hAnsi="Arial" w:cs="Arial"/>
          <w:bCs/>
        </w:rPr>
        <w:t xml:space="preserve">En contraste, </w:t>
      </w:r>
      <w:r w:rsidRPr="00D51A32">
        <w:rPr>
          <w:rFonts w:ascii="Arial" w:hAnsi="Arial" w:cs="Arial"/>
        </w:rPr>
        <w:t xml:space="preserve">se </w:t>
      </w:r>
      <w:r w:rsidR="00C50FB2" w:rsidRPr="00D51A32">
        <w:rPr>
          <w:rFonts w:ascii="Arial" w:hAnsi="Arial" w:cs="Arial"/>
        </w:rPr>
        <w:t xml:space="preserve">registraron </w:t>
      </w:r>
      <w:r w:rsidR="00CD47DA" w:rsidRPr="00D51A32">
        <w:rPr>
          <w:rFonts w:ascii="Arial" w:hAnsi="Arial" w:cs="Arial"/>
        </w:rPr>
        <w:t>crecimientos</w:t>
      </w:r>
      <w:r w:rsidR="00BB2302" w:rsidRPr="00D51A32">
        <w:rPr>
          <w:rFonts w:ascii="Arial" w:hAnsi="Arial" w:cs="Arial"/>
        </w:rPr>
        <w:t xml:space="preserve"> </w:t>
      </w:r>
      <w:r w:rsidR="00B65D52" w:rsidRPr="00D51A32">
        <w:rPr>
          <w:rFonts w:ascii="Arial" w:hAnsi="Arial" w:cs="Arial"/>
        </w:rPr>
        <w:t>en los</w:t>
      </w:r>
      <w:r w:rsidR="00FD4378" w:rsidRPr="00D51A32">
        <w:rPr>
          <w:rFonts w:ascii="Arial" w:hAnsi="Arial" w:cs="Arial"/>
          <w:bCs/>
        </w:rPr>
        <w:t xml:space="preserve"> Ingresos como Recaudación (44,</w:t>
      </w:r>
      <w:r w:rsidR="006C6EF6" w:rsidRPr="00D51A32">
        <w:rPr>
          <w:rFonts w:ascii="Arial" w:hAnsi="Arial" w:cs="Arial"/>
          <w:bCs/>
        </w:rPr>
        <w:t>0</w:t>
      </w:r>
      <w:r w:rsidR="00FD4378" w:rsidRPr="00D51A32">
        <w:rPr>
          <w:rFonts w:ascii="Arial" w:hAnsi="Arial" w:cs="Arial"/>
          <w:bCs/>
        </w:rPr>
        <w:t xml:space="preserve">%), </w:t>
      </w:r>
      <w:r w:rsidR="00B65D52" w:rsidRPr="00D51A32">
        <w:rPr>
          <w:rFonts w:ascii="Arial" w:hAnsi="Arial" w:cs="Arial"/>
          <w:bCs/>
        </w:rPr>
        <w:t xml:space="preserve">las </w:t>
      </w:r>
      <w:r w:rsidR="00FD4378" w:rsidRPr="00D51A32">
        <w:rPr>
          <w:rFonts w:ascii="Arial" w:hAnsi="Arial" w:cs="Arial"/>
          <w:bCs/>
        </w:rPr>
        <w:t>Multas</w:t>
      </w:r>
      <w:r w:rsidR="0097135E" w:rsidRPr="00D51A32">
        <w:rPr>
          <w:rFonts w:ascii="Arial" w:hAnsi="Arial" w:cs="Arial"/>
          <w:bCs/>
        </w:rPr>
        <w:t xml:space="preserve"> (</w:t>
      </w:r>
      <w:r w:rsidR="00FD4378" w:rsidRPr="00D51A32">
        <w:rPr>
          <w:rFonts w:ascii="Arial" w:hAnsi="Arial" w:cs="Arial"/>
          <w:bCs/>
        </w:rPr>
        <w:t>2</w:t>
      </w:r>
      <w:r w:rsidR="00222E0F" w:rsidRPr="00D51A32">
        <w:rPr>
          <w:rFonts w:ascii="Arial" w:hAnsi="Arial" w:cs="Arial"/>
          <w:bCs/>
        </w:rPr>
        <w:t>9</w:t>
      </w:r>
      <w:r w:rsidR="007036B4" w:rsidRPr="00D51A32">
        <w:rPr>
          <w:rFonts w:ascii="Arial" w:hAnsi="Arial" w:cs="Arial"/>
          <w:bCs/>
        </w:rPr>
        <w:t>,</w:t>
      </w:r>
      <w:r w:rsidR="00222E0F" w:rsidRPr="00D51A32">
        <w:rPr>
          <w:rFonts w:ascii="Arial" w:hAnsi="Arial" w:cs="Arial"/>
          <w:bCs/>
        </w:rPr>
        <w:t>5</w:t>
      </w:r>
      <w:r w:rsidR="0097135E" w:rsidRPr="00D51A32">
        <w:rPr>
          <w:rFonts w:ascii="Arial" w:hAnsi="Arial" w:cs="Arial"/>
          <w:bCs/>
        </w:rPr>
        <w:t>%)</w:t>
      </w:r>
      <w:r w:rsidR="007036B4" w:rsidRPr="00D51A32">
        <w:rPr>
          <w:rFonts w:ascii="Arial" w:hAnsi="Arial" w:cs="Arial"/>
          <w:bCs/>
        </w:rPr>
        <w:t xml:space="preserve"> y el</w:t>
      </w:r>
      <w:r w:rsidR="0097135E" w:rsidRPr="00D51A32">
        <w:rPr>
          <w:rFonts w:ascii="Arial" w:hAnsi="Arial" w:cs="Arial"/>
          <w:bCs/>
        </w:rPr>
        <w:t xml:space="preserve"> </w:t>
      </w:r>
      <w:r w:rsidR="007036B4" w:rsidRPr="00D51A32">
        <w:rPr>
          <w:rFonts w:ascii="Arial" w:hAnsi="Arial" w:cs="Arial"/>
          <w:bCs/>
        </w:rPr>
        <w:t>Impuesto Temporal a los Activos Netos - ITAN (</w:t>
      </w:r>
      <w:r w:rsidR="006C6EF6" w:rsidRPr="00D51A32">
        <w:rPr>
          <w:rFonts w:ascii="Arial" w:hAnsi="Arial" w:cs="Arial"/>
          <w:bCs/>
        </w:rPr>
        <w:t>3</w:t>
      </w:r>
      <w:r w:rsidR="007036B4" w:rsidRPr="00D51A32">
        <w:rPr>
          <w:rFonts w:ascii="Arial" w:hAnsi="Arial" w:cs="Arial"/>
          <w:bCs/>
        </w:rPr>
        <w:t>,</w:t>
      </w:r>
      <w:r w:rsidR="006C6EF6" w:rsidRPr="00D51A32">
        <w:rPr>
          <w:rFonts w:ascii="Arial" w:hAnsi="Arial" w:cs="Arial"/>
          <w:bCs/>
        </w:rPr>
        <w:t>0</w:t>
      </w:r>
      <w:r w:rsidR="007036B4" w:rsidRPr="00D51A32">
        <w:rPr>
          <w:rFonts w:ascii="Arial" w:hAnsi="Arial" w:cs="Arial"/>
          <w:bCs/>
        </w:rPr>
        <w:t>%).</w:t>
      </w:r>
    </w:p>
    <w:p w14:paraId="6CD3BA08" w14:textId="77777777" w:rsidR="008E674E" w:rsidRPr="00D51A32" w:rsidRDefault="008E674E" w:rsidP="008E674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37565CB2" w14:textId="2E0FFFC9" w:rsidR="00EE3FD8" w:rsidRPr="00D51A32" w:rsidRDefault="00312F8B" w:rsidP="00D51A32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D51A32">
        <w:rPr>
          <w:rFonts w:ascii="Arial" w:hAnsi="Arial" w:cs="Arial"/>
          <w:b/>
        </w:rPr>
        <w:t xml:space="preserve">Devoluciones: </w:t>
      </w:r>
      <w:r w:rsidRPr="00D51A32">
        <w:rPr>
          <w:rFonts w:ascii="Arial" w:hAnsi="Arial" w:cs="Arial"/>
          <w:bCs/>
        </w:rPr>
        <w:t xml:space="preserve">Las </w:t>
      </w:r>
      <w:r w:rsidR="006968B6" w:rsidRPr="00D51A32">
        <w:rPr>
          <w:rFonts w:ascii="Arial" w:hAnsi="Arial" w:cs="Arial"/>
          <w:bCs/>
        </w:rPr>
        <w:t xml:space="preserve">devoluciones de impuestos realizadas durante el mes de </w:t>
      </w:r>
      <w:r w:rsidR="00EF5573" w:rsidRPr="00D51A32">
        <w:rPr>
          <w:rFonts w:ascii="Arial" w:hAnsi="Arial" w:cs="Arial"/>
          <w:bCs/>
        </w:rPr>
        <w:t>septiembre</w:t>
      </w:r>
      <w:r w:rsidR="006968B6" w:rsidRPr="00D51A32">
        <w:rPr>
          <w:rFonts w:ascii="Arial" w:hAnsi="Arial" w:cs="Arial"/>
          <w:bCs/>
        </w:rPr>
        <w:t xml:space="preserve"> ascendieron a S/ </w:t>
      </w:r>
      <w:r w:rsidR="00CD47DA" w:rsidRPr="00D51A32">
        <w:rPr>
          <w:rFonts w:ascii="Arial" w:hAnsi="Arial" w:cs="Arial"/>
          <w:bCs/>
        </w:rPr>
        <w:t>1</w:t>
      </w:r>
      <w:r w:rsidR="00B65D52" w:rsidRPr="00D51A32">
        <w:rPr>
          <w:rFonts w:ascii="Arial" w:hAnsi="Arial" w:cs="Arial"/>
          <w:bCs/>
        </w:rPr>
        <w:t xml:space="preserve"> </w:t>
      </w:r>
      <w:r w:rsidR="00CD47DA" w:rsidRPr="00D51A32">
        <w:rPr>
          <w:rFonts w:ascii="Arial" w:hAnsi="Arial" w:cs="Arial"/>
          <w:bCs/>
        </w:rPr>
        <w:t>8</w:t>
      </w:r>
      <w:r w:rsidR="006C6EF6" w:rsidRPr="00D51A32">
        <w:rPr>
          <w:rFonts w:ascii="Arial" w:hAnsi="Arial" w:cs="Arial"/>
          <w:bCs/>
        </w:rPr>
        <w:t>73</w:t>
      </w:r>
      <w:r w:rsidR="006968B6" w:rsidRPr="00D51A32">
        <w:rPr>
          <w:rFonts w:ascii="Arial" w:hAnsi="Arial" w:cs="Arial"/>
          <w:bCs/>
        </w:rPr>
        <w:t xml:space="preserve"> millones, </w:t>
      </w:r>
      <w:r w:rsidR="0084782C" w:rsidRPr="00D51A32">
        <w:rPr>
          <w:rFonts w:ascii="Arial" w:hAnsi="Arial" w:cs="Arial"/>
          <w:bCs/>
        </w:rPr>
        <w:t>monto</w:t>
      </w:r>
      <w:r w:rsidR="006968B6" w:rsidRPr="00D51A32">
        <w:rPr>
          <w:rFonts w:ascii="Arial" w:hAnsi="Arial" w:cs="Arial"/>
          <w:bCs/>
        </w:rPr>
        <w:t xml:space="preserve"> que represent</w:t>
      </w:r>
      <w:r w:rsidR="00B65D52" w:rsidRPr="00D51A32">
        <w:rPr>
          <w:rFonts w:ascii="Arial" w:hAnsi="Arial" w:cs="Arial"/>
          <w:bCs/>
        </w:rPr>
        <w:t>ó</w:t>
      </w:r>
      <w:r w:rsidR="006968B6" w:rsidRPr="00D51A32">
        <w:rPr>
          <w:rFonts w:ascii="Arial" w:hAnsi="Arial" w:cs="Arial"/>
          <w:bCs/>
        </w:rPr>
        <w:t xml:space="preserve"> un </w:t>
      </w:r>
      <w:r w:rsidR="00CD47DA" w:rsidRPr="00D51A32">
        <w:rPr>
          <w:rFonts w:ascii="Arial" w:hAnsi="Arial" w:cs="Arial"/>
          <w:bCs/>
        </w:rPr>
        <w:t>crecimiento</w:t>
      </w:r>
      <w:r w:rsidR="006968B6" w:rsidRPr="00D51A32">
        <w:rPr>
          <w:rFonts w:ascii="Arial" w:hAnsi="Arial" w:cs="Arial"/>
          <w:bCs/>
        </w:rPr>
        <w:t xml:space="preserve"> de </w:t>
      </w:r>
      <w:r w:rsidR="006C6EF6" w:rsidRPr="00D51A32">
        <w:rPr>
          <w:rFonts w:ascii="Arial" w:hAnsi="Arial" w:cs="Arial"/>
          <w:bCs/>
        </w:rPr>
        <w:t>8</w:t>
      </w:r>
      <w:r w:rsidR="00CD47DA" w:rsidRPr="00D51A32">
        <w:rPr>
          <w:rFonts w:ascii="Arial" w:hAnsi="Arial" w:cs="Arial"/>
          <w:bCs/>
        </w:rPr>
        <w:t>,8</w:t>
      </w:r>
      <w:r w:rsidR="006968B6" w:rsidRPr="00D51A32">
        <w:rPr>
          <w:rFonts w:ascii="Arial" w:hAnsi="Arial" w:cs="Arial"/>
          <w:bCs/>
        </w:rPr>
        <w:t xml:space="preserve">% en comparación con </w:t>
      </w:r>
      <w:r w:rsidR="00F601EE" w:rsidRPr="00D51A32">
        <w:rPr>
          <w:rFonts w:ascii="Arial" w:hAnsi="Arial" w:cs="Arial"/>
          <w:bCs/>
        </w:rPr>
        <w:t>similar</w:t>
      </w:r>
      <w:r w:rsidR="006968B6" w:rsidRPr="00D51A32">
        <w:rPr>
          <w:rFonts w:ascii="Arial" w:hAnsi="Arial" w:cs="Arial"/>
          <w:bCs/>
        </w:rPr>
        <w:t xml:space="preserve"> mes del año 2022.</w:t>
      </w:r>
      <w:r w:rsidR="00675BDF" w:rsidRPr="00D51A32">
        <w:rPr>
          <w:rFonts w:ascii="Arial" w:hAnsi="Arial" w:cs="Arial"/>
          <w:bCs/>
        </w:rPr>
        <w:t xml:space="preserve"> </w:t>
      </w:r>
    </w:p>
    <w:p w14:paraId="2EBE14AD" w14:textId="7F90AB02" w:rsidR="006968B6" w:rsidRDefault="006968B6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6BFD7298" w14:textId="75222F9F" w:rsidR="00283028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3B89D116" w14:textId="3127093E" w:rsidR="00283028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19A579B" w14:textId="591FA51B" w:rsidR="00283028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2E0DE7CF" w14:textId="6682B25C" w:rsidR="00283028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3F015C2C" w14:textId="3239DB47" w:rsidR="00283028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709DFDB8" w14:textId="77777777" w:rsidR="00283028" w:rsidRPr="008D3332" w:rsidRDefault="00283028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609AB6B0" w14:textId="3EDAC1A8" w:rsidR="00C329CA" w:rsidRPr="008D3332" w:rsidRDefault="00DB0BC8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8D3332">
        <w:rPr>
          <w:rFonts w:ascii="Arial Nova" w:hAnsi="Arial Nova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 wp14:anchorId="04AB1F4B" wp14:editId="43F91845">
            <wp:simplePos x="0" y="0"/>
            <wp:positionH relativeFrom="margin">
              <wp:posOffset>81915</wp:posOffset>
            </wp:positionH>
            <wp:positionV relativeFrom="paragraph">
              <wp:posOffset>510540</wp:posOffset>
            </wp:positionV>
            <wp:extent cx="5104130" cy="2438400"/>
            <wp:effectExtent l="0" t="0" r="127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8B" w:rsidRPr="008D3332">
        <w:rPr>
          <w:rFonts w:ascii="Arial Nova" w:hAnsi="Arial Nova" w:cs="Arial"/>
          <w:b/>
          <w:sz w:val="24"/>
          <w:szCs w:val="24"/>
        </w:rPr>
        <w:t>ANEXOS</w:t>
      </w:r>
    </w:p>
    <w:p w14:paraId="5C3F07A1" w14:textId="7CBECD66" w:rsidR="00312F8B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  <w:r w:rsidRPr="008D3332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42883FD" wp14:editId="72DA34D5">
            <wp:simplePos x="0" y="0"/>
            <wp:positionH relativeFrom="margin">
              <wp:align>center</wp:align>
            </wp:positionH>
            <wp:positionV relativeFrom="paragraph">
              <wp:posOffset>3008684</wp:posOffset>
            </wp:positionV>
            <wp:extent cx="5043170" cy="2240280"/>
            <wp:effectExtent l="0" t="0" r="5080" b="762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68EA4" w14:textId="77777777" w:rsidR="00E64991" w:rsidRPr="008D3332" w:rsidRDefault="00E64991" w:rsidP="003D5D5B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4E74E7F0" w14:textId="7B969AC4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  <w:r w:rsidRPr="008D3332">
        <w:rPr>
          <w:rFonts w:ascii="Arial Nova" w:hAnsi="Arial Nova" w:cs="Arial"/>
          <w:noProof/>
          <w:kern w:val="24"/>
          <w:sz w:val="24"/>
          <w:szCs w:val="24"/>
          <w:lang w:val="es-ES"/>
        </w:rPr>
        <w:drawing>
          <wp:anchor distT="0" distB="0" distL="114300" distR="114300" simplePos="0" relativeHeight="251695104" behindDoc="0" locked="0" layoutInCell="1" allowOverlap="1" wp14:anchorId="2D3BFADB" wp14:editId="317A3BBF">
            <wp:simplePos x="0" y="0"/>
            <wp:positionH relativeFrom="margin">
              <wp:posOffset>285750</wp:posOffset>
            </wp:positionH>
            <wp:positionV relativeFrom="paragraph">
              <wp:posOffset>71187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1A15C" w14:textId="459E2DEF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463C2B63" w14:textId="2F0F63F7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36FFFD32" w14:textId="15A14ABF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67BD4438" w14:textId="62EF1972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626C416A" w14:textId="3EB402CA" w:rsidR="00EE3FD8" w:rsidRPr="008D3332" w:rsidRDefault="005A2BED" w:rsidP="008E674E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  <w:r w:rsidRPr="008D3332">
        <w:rPr>
          <w:rFonts w:ascii="Arial Nova" w:hAnsi="Arial Nova" w:cs="Arial"/>
          <w:noProof/>
          <w:kern w:val="24"/>
          <w:sz w:val="24"/>
          <w:szCs w:val="24"/>
          <w:lang w:val="es-ES"/>
        </w:rPr>
        <w:lastRenderedPageBreak/>
        <w:drawing>
          <wp:anchor distT="0" distB="0" distL="114300" distR="114300" simplePos="0" relativeHeight="251697152" behindDoc="0" locked="0" layoutInCell="1" allowOverlap="1" wp14:anchorId="79202B26" wp14:editId="68A3A567">
            <wp:simplePos x="0" y="0"/>
            <wp:positionH relativeFrom="margin">
              <wp:posOffset>300355</wp:posOffset>
            </wp:positionH>
            <wp:positionV relativeFrom="paragraph">
              <wp:posOffset>107950</wp:posOffset>
            </wp:positionV>
            <wp:extent cx="4899660" cy="236982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CFD9" w14:textId="04F3AC4A" w:rsidR="001249B7" w:rsidRPr="008D3332" w:rsidRDefault="001249B7" w:rsidP="00283028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8D3332">
        <w:rPr>
          <w:rFonts w:ascii="Arial Nova" w:hAnsi="Arial Nova" w:cs="Arial"/>
          <w:b/>
        </w:rPr>
        <w:t xml:space="preserve">Recaudación por tributo: </w:t>
      </w:r>
      <w:r w:rsidR="00283028">
        <w:rPr>
          <w:rFonts w:ascii="Arial Nova" w:hAnsi="Arial Nova" w:cs="Arial"/>
          <w:b/>
        </w:rPr>
        <w:t>s</w:t>
      </w:r>
      <w:r w:rsidR="00EF5573">
        <w:rPr>
          <w:rFonts w:ascii="Arial Nova" w:hAnsi="Arial Nova" w:cs="Arial"/>
          <w:b/>
        </w:rPr>
        <w:t>eptiembre</w:t>
      </w:r>
      <w:r w:rsidR="004001FE" w:rsidRPr="008D3332">
        <w:rPr>
          <w:rFonts w:ascii="Arial Nova" w:hAnsi="Arial Nova" w:cs="Arial"/>
          <w:b/>
        </w:rPr>
        <w:t xml:space="preserve"> </w:t>
      </w:r>
      <w:r w:rsidRPr="008D3332">
        <w:rPr>
          <w:rFonts w:ascii="Arial Nova" w:hAnsi="Arial Nova" w:cs="Arial"/>
          <w:b/>
        </w:rPr>
        <w:t>2023</w:t>
      </w:r>
    </w:p>
    <w:p w14:paraId="4B732F7E" w14:textId="0CCAD8FD" w:rsidR="001249B7" w:rsidRPr="008D3332" w:rsidRDefault="001249B7" w:rsidP="00283028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8D3332">
        <w:rPr>
          <w:rFonts w:ascii="Arial Nova" w:hAnsi="Arial Nova" w:cs="Arial"/>
          <w:b/>
        </w:rPr>
        <w:t>(</w:t>
      </w:r>
      <w:r w:rsidR="00283028">
        <w:rPr>
          <w:rFonts w:ascii="Arial Nova" w:hAnsi="Arial Nova" w:cs="Arial"/>
          <w:b/>
        </w:rPr>
        <w:t>e</w:t>
      </w:r>
      <w:r w:rsidRPr="008D3332">
        <w:rPr>
          <w:rFonts w:ascii="Arial Nova" w:hAnsi="Arial Nova" w:cs="Arial"/>
          <w:b/>
        </w:rPr>
        <w:t>n millones de soles y variación % real)</w:t>
      </w:r>
    </w:p>
    <w:p w14:paraId="7786355C" w14:textId="7231B70D" w:rsidR="008C4C7F" w:rsidRPr="008D3332" w:rsidRDefault="00BD6C71" w:rsidP="001249B7">
      <w:pPr>
        <w:spacing w:before="24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  <w:r w:rsidRPr="00BD6C71">
        <w:rPr>
          <w:noProof/>
        </w:rPr>
        <w:drawing>
          <wp:inline distT="0" distB="0" distL="0" distR="0" wp14:anchorId="165BEA1A" wp14:editId="2C4A0949">
            <wp:extent cx="5664200" cy="44255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95" cy="443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3151" w14:textId="649BDB63" w:rsidR="00111298" w:rsidRPr="008D3332" w:rsidRDefault="0011129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243A3B00" w14:textId="68F62A91" w:rsidR="00111298" w:rsidRPr="008D3332" w:rsidRDefault="0011129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1075D746" w14:textId="77AFBD97" w:rsidR="001249B7" w:rsidRPr="00283028" w:rsidRDefault="001249B7" w:rsidP="008E674E">
      <w:pPr>
        <w:spacing w:after="0" w:line="240" w:lineRule="auto"/>
        <w:contextualSpacing/>
        <w:jc w:val="both"/>
        <w:rPr>
          <w:rFonts w:ascii="Arial Nova" w:hAnsi="Arial Nova" w:cs="Arial"/>
          <w:b/>
        </w:rPr>
      </w:pPr>
      <w:r w:rsidRPr="00283028">
        <w:rPr>
          <w:rFonts w:ascii="Arial Nova" w:hAnsi="Arial Nova" w:cs="Arial"/>
          <w:b/>
        </w:rPr>
        <w:t>Gerencia de Comunicaciones e Imagen Institucional</w:t>
      </w:r>
    </w:p>
    <w:p w14:paraId="6FB84E64" w14:textId="5EEB7332" w:rsidR="001249B7" w:rsidRPr="008D3332" w:rsidRDefault="001249B7" w:rsidP="008E674E">
      <w:pPr>
        <w:spacing w:after="0" w:line="240" w:lineRule="auto"/>
        <w:contextualSpacing/>
        <w:jc w:val="both"/>
        <w:rPr>
          <w:rFonts w:ascii="Arial Nova" w:hAnsi="Arial Nova" w:cs="Arial"/>
          <w:bCs/>
        </w:rPr>
      </w:pPr>
      <w:r w:rsidRPr="008D3332">
        <w:rPr>
          <w:rFonts w:ascii="Arial Nova" w:hAnsi="Arial Nova" w:cs="Arial"/>
          <w:bCs/>
        </w:rPr>
        <w:t>Lima,</w:t>
      </w:r>
      <w:r w:rsidR="00570A72" w:rsidRPr="008D3332">
        <w:rPr>
          <w:rFonts w:ascii="Arial Nova" w:hAnsi="Arial Nova" w:cs="Arial"/>
          <w:bCs/>
        </w:rPr>
        <w:t xml:space="preserve"> </w:t>
      </w:r>
      <w:r w:rsidR="008E674E">
        <w:rPr>
          <w:rFonts w:ascii="Arial Nova" w:hAnsi="Arial Nova" w:cs="Arial"/>
          <w:bCs/>
        </w:rPr>
        <w:t>domingo</w:t>
      </w:r>
      <w:r w:rsidR="00283028">
        <w:rPr>
          <w:rFonts w:ascii="Arial Nova" w:hAnsi="Arial Nova" w:cs="Arial"/>
          <w:bCs/>
        </w:rPr>
        <w:t xml:space="preserve"> </w:t>
      </w:r>
      <w:r w:rsidR="008E674E">
        <w:rPr>
          <w:rFonts w:ascii="Arial Nova" w:hAnsi="Arial Nova" w:cs="Arial"/>
          <w:bCs/>
        </w:rPr>
        <w:t>8</w:t>
      </w:r>
      <w:r w:rsidR="00BD6C71">
        <w:rPr>
          <w:rFonts w:ascii="Arial Nova" w:hAnsi="Arial Nova" w:cs="Arial"/>
          <w:bCs/>
        </w:rPr>
        <w:t xml:space="preserve"> octubre</w:t>
      </w:r>
      <w:r w:rsidRPr="008D3332">
        <w:rPr>
          <w:rFonts w:ascii="Arial Nova" w:hAnsi="Arial Nova" w:cs="Arial"/>
          <w:bCs/>
        </w:rPr>
        <w:t xml:space="preserve"> del 2023</w:t>
      </w:r>
      <w:r w:rsidR="008E674E">
        <w:rPr>
          <w:rFonts w:ascii="Arial Nova" w:hAnsi="Arial Nova" w:cs="Arial"/>
          <w:bCs/>
        </w:rPr>
        <w:t>.</w:t>
      </w:r>
    </w:p>
    <w:sectPr w:rsidR="001249B7" w:rsidRPr="008D3332" w:rsidSect="00D51A32">
      <w:headerReference w:type="default" r:id="rId14"/>
      <w:footerReference w:type="default" r:id="rId15"/>
      <w:pgSz w:w="11906" w:h="16838"/>
      <w:pgMar w:top="1417" w:right="1701" w:bottom="1417" w:left="1701" w:header="426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AF7B" w14:textId="77777777" w:rsidR="0031719C" w:rsidRDefault="0031719C" w:rsidP="0011247F">
      <w:pPr>
        <w:spacing w:after="0" w:line="240" w:lineRule="auto"/>
      </w:pPr>
      <w:r>
        <w:separator/>
      </w:r>
    </w:p>
  </w:endnote>
  <w:endnote w:type="continuationSeparator" w:id="0">
    <w:p w14:paraId="0DD1E353" w14:textId="77777777" w:rsidR="0031719C" w:rsidRDefault="0031719C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6951" w14:textId="77777777" w:rsidR="0031719C" w:rsidRDefault="0031719C" w:rsidP="0011247F">
      <w:pPr>
        <w:spacing w:after="0" w:line="240" w:lineRule="auto"/>
      </w:pPr>
      <w:r>
        <w:separator/>
      </w:r>
    </w:p>
  </w:footnote>
  <w:footnote w:type="continuationSeparator" w:id="0">
    <w:p w14:paraId="5E7E4282" w14:textId="77777777" w:rsidR="0031719C" w:rsidRDefault="0031719C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10" name="Imagen 10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3B3947D3"/>
    <w:multiLevelType w:val="hybridMultilevel"/>
    <w:tmpl w:val="620CC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D2F46"/>
    <w:multiLevelType w:val="hybridMultilevel"/>
    <w:tmpl w:val="9410B90C"/>
    <w:lvl w:ilvl="0" w:tplc="788AD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89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4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F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03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8B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2D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AD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48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C16532B"/>
    <w:multiLevelType w:val="hybridMultilevel"/>
    <w:tmpl w:val="AB9274B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0597A"/>
    <w:multiLevelType w:val="hybridMultilevel"/>
    <w:tmpl w:val="D72C417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81F93"/>
    <w:multiLevelType w:val="hybridMultilevel"/>
    <w:tmpl w:val="F53C8998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11232697">
    <w:abstractNumId w:val="10"/>
  </w:num>
  <w:num w:numId="2" w16cid:durableId="1571846366">
    <w:abstractNumId w:val="2"/>
  </w:num>
  <w:num w:numId="3" w16cid:durableId="407851884">
    <w:abstractNumId w:val="14"/>
  </w:num>
  <w:num w:numId="4" w16cid:durableId="317802797">
    <w:abstractNumId w:val="13"/>
  </w:num>
  <w:num w:numId="5" w16cid:durableId="1862352472">
    <w:abstractNumId w:val="9"/>
  </w:num>
  <w:num w:numId="6" w16cid:durableId="93599463">
    <w:abstractNumId w:val="5"/>
  </w:num>
  <w:num w:numId="7" w16cid:durableId="1108738282">
    <w:abstractNumId w:val="1"/>
  </w:num>
  <w:num w:numId="8" w16cid:durableId="819612903">
    <w:abstractNumId w:val="3"/>
  </w:num>
  <w:num w:numId="9" w16cid:durableId="1274363450">
    <w:abstractNumId w:val="7"/>
  </w:num>
  <w:num w:numId="10" w16cid:durableId="1766613526">
    <w:abstractNumId w:val="4"/>
  </w:num>
  <w:num w:numId="11" w16cid:durableId="1422869894">
    <w:abstractNumId w:val="15"/>
  </w:num>
  <w:num w:numId="12" w16cid:durableId="753012347">
    <w:abstractNumId w:val="6"/>
  </w:num>
  <w:num w:numId="13" w16cid:durableId="1226379605">
    <w:abstractNumId w:val="0"/>
  </w:num>
  <w:num w:numId="14" w16cid:durableId="989595935">
    <w:abstractNumId w:val="16"/>
  </w:num>
  <w:num w:numId="15" w16cid:durableId="1664384442">
    <w:abstractNumId w:val="11"/>
  </w:num>
  <w:num w:numId="16" w16cid:durableId="1570771778">
    <w:abstractNumId w:val="8"/>
  </w:num>
  <w:num w:numId="17" w16cid:durableId="691494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1587"/>
    <w:rsid w:val="00002A2F"/>
    <w:rsid w:val="00003ABF"/>
    <w:rsid w:val="00003CF9"/>
    <w:rsid w:val="00010AF4"/>
    <w:rsid w:val="0001131C"/>
    <w:rsid w:val="0001133B"/>
    <w:rsid w:val="00011D63"/>
    <w:rsid w:val="00012225"/>
    <w:rsid w:val="00013D77"/>
    <w:rsid w:val="00015DAF"/>
    <w:rsid w:val="00017363"/>
    <w:rsid w:val="00021229"/>
    <w:rsid w:val="0002235C"/>
    <w:rsid w:val="00023847"/>
    <w:rsid w:val="0002392E"/>
    <w:rsid w:val="00025994"/>
    <w:rsid w:val="000260C8"/>
    <w:rsid w:val="00027050"/>
    <w:rsid w:val="0003298E"/>
    <w:rsid w:val="00032EF6"/>
    <w:rsid w:val="0003362E"/>
    <w:rsid w:val="00035A1F"/>
    <w:rsid w:val="00036853"/>
    <w:rsid w:val="00040835"/>
    <w:rsid w:val="00043961"/>
    <w:rsid w:val="0004487B"/>
    <w:rsid w:val="00044FFB"/>
    <w:rsid w:val="0004539E"/>
    <w:rsid w:val="00046A4C"/>
    <w:rsid w:val="00047AC2"/>
    <w:rsid w:val="00051181"/>
    <w:rsid w:val="00052C41"/>
    <w:rsid w:val="000548D2"/>
    <w:rsid w:val="00055B7F"/>
    <w:rsid w:val="00055FB9"/>
    <w:rsid w:val="00057E0B"/>
    <w:rsid w:val="000624F2"/>
    <w:rsid w:val="00062E02"/>
    <w:rsid w:val="00065D6E"/>
    <w:rsid w:val="0006692C"/>
    <w:rsid w:val="00070FFD"/>
    <w:rsid w:val="0007341C"/>
    <w:rsid w:val="00073FAF"/>
    <w:rsid w:val="00074182"/>
    <w:rsid w:val="00074C47"/>
    <w:rsid w:val="00076BF1"/>
    <w:rsid w:val="000817D1"/>
    <w:rsid w:val="00082422"/>
    <w:rsid w:val="00083513"/>
    <w:rsid w:val="000855C4"/>
    <w:rsid w:val="00087280"/>
    <w:rsid w:val="00090BF5"/>
    <w:rsid w:val="00091190"/>
    <w:rsid w:val="0009127C"/>
    <w:rsid w:val="00097198"/>
    <w:rsid w:val="00097B44"/>
    <w:rsid w:val="000A18C1"/>
    <w:rsid w:val="000A20B5"/>
    <w:rsid w:val="000A2390"/>
    <w:rsid w:val="000A59A2"/>
    <w:rsid w:val="000A5D19"/>
    <w:rsid w:val="000A6458"/>
    <w:rsid w:val="000A66E6"/>
    <w:rsid w:val="000A6E8A"/>
    <w:rsid w:val="000B0431"/>
    <w:rsid w:val="000B2297"/>
    <w:rsid w:val="000B24C8"/>
    <w:rsid w:val="000B31D8"/>
    <w:rsid w:val="000B3FF1"/>
    <w:rsid w:val="000B4359"/>
    <w:rsid w:val="000B49D5"/>
    <w:rsid w:val="000B4BFA"/>
    <w:rsid w:val="000B5045"/>
    <w:rsid w:val="000B5521"/>
    <w:rsid w:val="000B6846"/>
    <w:rsid w:val="000B6A5A"/>
    <w:rsid w:val="000C12A7"/>
    <w:rsid w:val="000C3BB3"/>
    <w:rsid w:val="000C4570"/>
    <w:rsid w:val="000C6784"/>
    <w:rsid w:val="000C6A43"/>
    <w:rsid w:val="000D28D5"/>
    <w:rsid w:val="000D2CA6"/>
    <w:rsid w:val="000D338E"/>
    <w:rsid w:val="000D3E26"/>
    <w:rsid w:val="000D3FBD"/>
    <w:rsid w:val="000D421D"/>
    <w:rsid w:val="000D56F1"/>
    <w:rsid w:val="000E060E"/>
    <w:rsid w:val="000E0739"/>
    <w:rsid w:val="000E1868"/>
    <w:rsid w:val="000E26F7"/>
    <w:rsid w:val="000E2D9B"/>
    <w:rsid w:val="000E3C53"/>
    <w:rsid w:val="000E55EB"/>
    <w:rsid w:val="000E5BBF"/>
    <w:rsid w:val="000E639F"/>
    <w:rsid w:val="000E7622"/>
    <w:rsid w:val="000E7C33"/>
    <w:rsid w:val="000F18E2"/>
    <w:rsid w:val="000F50E3"/>
    <w:rsid w:val="000F5E91"/>
    <w:rsid w:val="000F6C3A"/>
    <w:rsid w:val="00100ED9"/>
    <w:rsid w:val="00102D92"/>
    <w:rsid w:val="00104277"/>
    <w:rsid w:val="00104E14"/>
    <w:rsid w:val="001057F8"/>
    <w:rsid w:val="00105ED8"/>
    <w:rsid w:val="00107199"/>
    <w:rsid w:val="00110EA2"/>
    <w:rsid w:val="00111298"/>
    <w:rsid w:val="00111AB7"/>
    <w:rsid w:val="0011247F"/>
    <w:rsid w:val="001139A1"/>
    <w:rsid w:val="001140A5"/>
    <w:rsid w:val="00120DA7"/>
    <w:rsid w:val="00121065"/>
    <w:rsid w:val="001216E5"/>
    <w:rsid w:val="00121B44"/>
    <w:rsid w:val="00124804"/>
    <w:rsid w:val="001249B7"/>
    <w:rsid w:val="00125DA4"/>
    <w:rsid w:val="001269A1"/>
    <w:rsid w:val="00127049"/>
    <w:rsid w:val="00127480"/>
    <w:rsid w:val="00127A61"/>
    <w:rsid w:val="00127ED6"/>
    <w:rsid w:val="001301B5"/>
    <w:rsid w:val="00130B9B"/>
    <w:rsid w:val="00130D01"/>
    <w:rsid w:val="00140CE9"/>
    <w:rsid w:val="00140D58"/>
    <w:rsid w:val="00142628"/>
    <w:rsid w:val="00142CC5"/>
    <w:rsid w:val="00144C6B"/>
    <w:rsid w:val="00144F3E"/>
    <w:rsid w:val="00145FAF"/>
    <w:rsid w:val="0014799B"/>
    <w:rsid w:val="00150E48"/>
    <w:rsid w:val="001528CE"/>
    <w:rsid w:val="0015303A"/>
    <w:rsid w:val="00153400"/>
    <w:rsid w:val="00153E87"/>
    <w:rsid w:val="00154053"/>
    <w:rsid w:val="00154B08"/>
    <w:rsid w:val="001556A0"/>
    <w:rsid w:val="00155D00"/>
    <w:rsid w:val="00161F21"/>
    <w:rsid w:val="00162A47"/>
    <w:rsid w:val="00163024"/>
    <w:rsid w:val="00163075"/>
    <w:rsid w:val="001630E9"/>
    <w:rsid w:val="0016367A"/>
    <w:rsid w:val="00163832"/>
    <w:rsid w:val="00164FBC"/>
    <w:rsid w:val="001654B2"/>
    <w:rsid w:val="00167548"/>
    <w:rsid w:val="00170568"/>
    <w:rsid w:val="00172442"/>
    <w:rsid w:val="00172CA5"/>
    <w:rsid w:val="001740BB"/>
    <w:rsid w:val="00175838"/>
    <w:rsid w:val="00180724"/>
    <w:rsid w:val="00181879"/>
    <w:rsid w:val="0018230B"/>
    <w:rsid w:val="0018430A"/>
    <w:rsid w:val="00184873"/>
    <w:rsid w:val="00185990"/>
    <w:rsid w:val="00185C79"/>
    <w:rsid w:val="00185D6D"/>
    <w:rsid w:val="00185E89"/>
    <w:rsid w:val="001874F2"/>
    <w:rsid w:val="00190C01"/>
    <w:rsid w:val="00191401"/>
    <w:rsid w:val="00192397"/>
    <w:rsid w:val="00192574"/>
    <w:rsid w:val="00192D3A"/>
    <w:rsid w:val="00194ADE"/>
    <w:rsid w:val="001953CD"/>
    <w:rsid w:val="001A1478"/>
    <w:rsid w:val="001A1928"/>
    <w:rsid w:val="001A22B2"/>
    <w:rsid w:val="001A53F2"/>
    <w:rsid w:val="001A582B"/>
    <w:rsid w:val="001A5C1F"/>
    <w:rsid w:val="001A5DE7"/>
    <w:rsid w:val="001B0C18"/>
    <w:rsid w:val="001B40F5"/>
    <w:rsid w:val="001B44EC"/>
    <w:rsid w:val="001B565E"/>
    <w:rsid w:val="001B7703"/>
    <w:rsid w:val="001B7B07"/>
    <w:rsid w:val="001C04DC"/>
    <w:rsid w:val="001C0BA0"/>
    <w:rsid w:val="001C2404"/>
    <w:rsid w:val="001C24A4"/>
    <w:rsid w:val="001C251B"/>
    <w:rsid w:val="001C6094"/>
    <w:rsid w:val="001C6599"/>
    <w:rsid w:val="001C7C8D"/>
    <w:rsid w:val="001D0B25"/>
    <w:rsid w:val="001D10BA"/>
    <w:rsid w:val="001D2BAB"/>
    <w:rsid w:val="001D2CAA"/>
    <w:rsid w:val="001D328F"/>
    <w:rsid w:val="001D43BF"/>
    <w:rsid w:val="001D4A78"/>
    <w:rsid w:val="001D6077"/>
    <w:rsid w:val="001D6590"/>
    <w:rsid w:val="001E0753"/>
    <w:rsid w:val="001E150C"/>
    <w:rsid w:val="001E33F4"/>
    <w:rsid w:val="001E60AA"/>
    <w:rsid w:val="001E7588"/>
    <w:rsid w:val="001E7A6E"/>
    <w:rsid w:val="001F138A"/>
    <w:rsid w:val="001F19EF"/>
    <w:rsid w:val="001F47B5"/>
    <w:rsid w:val="001F4F16"/>
    <w:rsid w:val="001F57FB"/>
    <w:rsid w:val="001F5E43"/>
    <w:rsid w:val="001F75EE"/>
    <w:rsid w:val="001F76D6"/>
    <w:rsid w:val="002001CC"/>
    <w:rsid w:val="00200510"/>
    <w:rsid w:val="002005DB"/>
    <w:rsid w:val="00201A88"/>
    <w:rsid w:val="00203947"/>
    <w:rsid w:val="00206062"/>
    <w:rsid w:val="002116D4"/>
    <w:rsid w:val="00211AF4"/>
    <w:rsid w:val="00211D90"/>
    <w:rsid w:val="002125BB"/>
    <w:rsid w:val="00214047"/>
    <w:rsid w:val="00214115"/>
    <w:rsid w:val="00214363"/>
    <w:rsid w:val="00214D0B"/>
    <w:rsid w:val="0021750A"/>
    <w:rsid w:val="00220021"/>
    <w:rsid w:val="00221957"/>
    <w:rsid w:val="00222E0F"/>
    <w:rsid w:val="00223193"/>
    <w:rsid w:val="00227651"/>
    <w:rsid w:val="0023061E"/>
    <w:rsid w:val="002312B1"/>
    <w:rsid w:val="00232671"/>
    <w:rsid w:val="00232984"/>
    <w:rsid w:val="00235146"/>
    <w:rsid w:val="0023576B"/>
    <w:rsid w:val="002368DB"/>
    <w:rsid w:val="00236ADC"/>
    <w:rsid w:val="00243646"/>
    <w:rsid w:val="002445C7"/>
    <w:rsid w:val="00244866"/>
    <w:rsid w:val="00245296"/>
    <w:rsid w:val="0024545D"/>
    <w:rsid w:val="00246D5C"/>
    <w:rsid w:val="002479CC"/>
    <w:rsid w:val="0025048F"/>
    <w:rsid w:val="002535E7"/>
    <w:rsid w:val="0025484D"/>
    <w:rsid w:val="00254C4B"/>
    <w:rsid w:val="00254CE3"/>
    <w:rsid w:val="00255B29"/>
    <w:rsid w:val="00255DED"/>
    <w:rsid w:val="00256E08"/>
    <w:rsid w:val="00256FFD"/>
    <w:rsid w:val="00257DD7"/>
    <w:rsid w:val="00257EB2"/>
    <w:rsid w:val="002632BA"/>
    <w:rsid w:val="00264369"/>
    <w:rsid w:val="0026600B"/>
    <w:rsid w:val="002662D9"/>
    <w:rsid w:val="002669AA"/>
    <w:rsid w:val="00267332"/>
    <w:rsid w:val="00271C92"/>
    <w:rsid w:val="00272E9B"/>
    <w:rsid w:val="00276BEC"/>
    <w:rsid w:val="0028060B"/>
    <w:rsid w:val="00281D89"/>
    <w:rsid w:val="00282574"/>
    <w:rsid w:val="0028258A"/>
    <w:rsid w:val="00283028"/>
    <w:rsid w:val="002835F4"/>
    <w:rsid w:val="00283E26"/>
    <w:rsid w:val="00284231"/>
    <w:rsid w:val="00285BE0"/>
    <w:rsid w:val="0028668F"/>
    <w:rsid w:val="00293295"/>
    <w:rsid w:val="0029392A"/>
    <w:rsid w:val="002939D8"/>
    <w:rsid w:val="00297C76"/>
    <w:rsid w:val="002A44FE"/>
    <w:rsid w:val="002B0ED8"/>
    <w:rsid w:val="002B12A7"/>
    <w:rsid w:val="002B4701"/>
    <w:rsid w:val="002B5215"/>
    <w:rsid w:val="002B5FB8"/>
    <w:rsid w:val="002B6D3B"/>
    <w:rsid w:val="002C064A"/>
    <w:rsid w:val="002C197B"/>
    <w:rsid w:val="002C24CB"/>
    <w:rsid w:val="002C265F"/>
    <w:rsid w:val="002C4DF4"/>
    <w:rsid w:val="002C55B5"/>
    <w:rsid w:val="002C60C6"/>
    <w:rsid w:val="002C6249"/>
    <w:rsid w:val="002C7C87"/>
    <w:rsid w:val="002D097E"/>
    <w:rsid w:val="002D2662"/>
    <w:rsid w:val="002D54FD"/>
    <w:rsid w:val="002D6B4F"/>
    <w:rsid w:val="002D7B7A"/>
    <w:rsid w:val="002E10AA"/>
    <w:rsid w:val="002E1A40"/>
    <w:rsid w:val="002E26FD"/>
    <w:rsid w:val="002E58A6"/>
    <w:rsid w:val="002E66AC"/>
    <w:rsid w:val="002E76D7"/>
    <w:rsid w:val="002E7935"/>
    <w:rsid w:val="002E79E4"/>
    <w:rsid w:val="002F2F8D"/>
    <w:rsid w:val="002F48B0"/>
    <w:rsid w:val="002F4F96"/>
    <w:rsid w:val="002F5B5D"/>
    <w:rsid w:val="002F74F0"/>
    <w:rsid w:val="002F7B8F"/>
    <w:rsid w:val="003036C0"/>
    <w:rsid w:val="003043FF"/>
    <w:rsid w:val="00305004"/>
    <w:rsid w:val="00305253"/>
    <w:rsid w:val="00307DA5"/>
    <w:rsid w:val="00310207"/>
    <w:rsid w:val="0031026B"/>
    <w:rsid w:val="00310C8C"/>
    <w:rsid w:val="00312F8B"/>
    <w:rsid w:val="003150B4"/>
    <w:rsid w:val="003157B0"/>
    <w:rsid w:val="00316B85"/>
    <w:rsid w:val="0031719C"/>
    <w:rsid w:val="00320785"/>
    <w:rsid w:val="0032531B"/>
    <w:rsid w:val="003262EE"/>
    <w:rsid w:val="00326333"/>
    <w:rsid w:val="00326E99"/>
    <w:rsid w:val="00327F78"/>
    <w:rsid w:val="00330FA4"/>
    <w:rsid w:val="00332800"/>
    <w:rsid w:val="00332AEB"/>
    <w:rsid w:val="003369C6"/>
    <w:rsid w:val="003379F7"/>
    <w:rsid w:val="0034266E"/>
    <w:rsid w:val="00342933"/>
    <w:rsid w:val="0034326C"/>
    <w:rsid w:val="00344EB7"/>
    <w:rsid w:val="00345651"/>
    <w:rsid w:val="00346E5F"/>
    <w:rsid w:val="0035325B"/>
    <w:rsid w:val="00353D2F"/>
    <w:rsid w:val="00354044"/>
    <w:rsid w:val="00354E33"/>
    <w:rsid w:val="00360834"/>
    <w:rsid w:val="00361930"/>
    <w:rsid w:val="003624A2"/>
    <w:rsid w:val="00362A03"/>
    <w:rsid w:val="00365375"/>
    <w:rsid w:val="00366428"/>
    <w:rsid w:val="00370129"/>
    <w:rsid w:val="00372097"/>
    <w:rsid w:val="003731BC"/>
    <w:rsid w:val="003747A3"/>
    <w:rsid w:val="00375EDB"/>
    <w:rsid w:val="003837DB"/>
    <w:rsid w:val="00390AF2"/>
    <w:rsid w:val="00390D2E"/>
    <w:rsid w:val="003919E6"/>
    <w:rsid w:val="00391A29"/>
    <w:rsid w:val="00392B8E"/>
    <w:rsid w:val="00393254"/>
    <w:rsid w:val="00394412"/>
    <w:rsid w:val="00394727"/>
    <w:rsid w:val="0039490A"/>
    <w:rsid w:val="00396C24"/>
    <w:rsid w:val="003A167D"/>
    <w:rsid w:val="003A231D"/>
    <w:rsid w:val="003A396B"/>
    <w:rsid w:val="003A3E2D"/>
    <w:rsid w:val="003A482F"/>
    <w:rsid w:val="003B1F44"/>
    <w:rsid w:val="003B282C"/>
    <w:rsid w:val="003B4F34"/>
    <w:rsid w:val="003B5E31"/>
    <w:rsid w:val="003B79B1"/>
    <w:rsid w:val="003C0259"/>
    <w:rsid w:val="003C1754"/>
    <w:rsid w:val="003C2876"/>
    <w:rsid w:val="003C3127"/>
    <w:rsid w:val="003C405F"/>
    <w:rsid w:val="003C41AA"/>
    <w:rsid w:val="003C563B"/>
    <w:rsid w:val="003C5DB0"/>
    <w:rsid w:val="003C7CC5"/>
    <w:rsid w:val="003D0A56"/>
    <w:rsid w:val="003D0AEA"/>
    <w:rsid w:val="003D1448"/>
    <w:rsid w:val="003D1546"/>
    <w:rsid w:val="003D1A3C"/>
    <w:rsid w:val="003D1E8D"/>
    <w:rsid w:val="003D2D6D"/>
    <w:rsid w:val="003D2E4E"/>
    <w:rsid w:val="003D37BF"/>
    <w:rsid w:val="003D420F"/>
    <w:rsid w:val="003D5D5B"/>
    <w:rsid w:val="003D748E"/>
    <w:rsid w:val="003E084C"/>
    <w:rsid w:val="003E4040"/>
    <w:rsid w:val="003E51C3"/>
    <w:rsid w:val="003E6743"/>
    <w:rsid w:val="003E77BC"/>
    <w:rsid w:val="003F118A"/>
    <w:rsid w:val="003F2049"/>
    <w:rsid w:val="003F6B60"/>
    <w:rsid w:val="003F7849"/>
    <w:rsid w:val="003F7F82"/>
    <w:rsid w:val="004001FE"/>
    <w:rsid w:val="00401B3D"/>
    <w:rsid w:val="00404DC8"/>
    <w:rsid w:val="00404F08"/>
    <w:rsid w:val="00406930"/>
    <w:rsid w:val="0041014F"/>
    <w:rsid w:val="004115B9"/>
    <w:rsid w:val="004125D4"/>
    <w:rsid w:val="004126F6"/>
    <w:rsid w:val="00413774"/>
    <w:rsid w:val="00415951"/>
    <w:rsid w:val="00420279"/>
    <w:rsid w:val="00421589"/>
    <w:rsid w:val="00424968"/>
    <w:rsid w:val="00424F6F"/>
    <w:rsid w:val="00425F00"/>
    <w:rsid w:val="00426911"/>
    <w:rsid w:val="0042770D"/>
    <w:rsid w:val="00427A0D"/>
    <w:rsid w:val="00432054"/>
    <w:rsid w:val="004323B6"/>
    <w:rsid w:val="00433856"/>
    <w:rsid w:val="00433D78"/>
    <w:rsid w:val="00436D33"/>
    <w:rsid w:val="00442A3D"/>
    <w:rsid w:val="00443144"/>
    <w:rsid w:val="0044351F"/>
    <w:rsid w:val="00443910"/>
    <w:rsid w:val="00444660"/>
    <w:rsid w:val="004448D5"/>
    <w:rsid w:val="00446571"/>
    <w:rsid w:val="00450999"/>
    <w:rsid w:val="00452E5E"/>
    <w:rsid w:val="004541DF"/>
    <w:rsid w:val="0045623C"/>
    <w:rsid w:val="004567A7"/>
    <w:rsid w:val="00456C31"/>
    <w:rsid w:val="00460314"/>
    <w:rsid w:val="00460519"/>
    <w:rsid w:val="004622FA"/>
    <w:rsid w:val="00464115"/>
    <w:rsid w:val="00466495"/>
    <w:rsid w:val="00466618"/>
    <w:rsid w:val="00467415"/>
    <w:rsid w:val="00470012"/>
    <w:rsid w:val="00471EE2"/>
    <w:rsid w:val="004721C3"/>
    <w:rsid w:val="00472C88"/>
    <w:rsid w:val="0047439F"/>
    <w:rsid w:val="00475B4C"/>
    <w:rsid w:val="00475CB5"/>
    <w:rsid w:val="004763D7"/>
    <w:rsid w:val="00477AA9"/>
    <w:rsid w:val="004817EA"/>
    <w:rsid w:val="00481CE5"/>
    <w:rsid w:val="00482D14"/>
    <w:rsid w:val="00482EF5"/>
    <w:rsid w:val="00483D63"/>
    <w:rsid w:val="00491012"/>
    <w:rsid w:val="00491B0F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A5F"/>
    <w:rsid w:val="004A7EC8"/>
    <w:rsid w:val="004B0793"/>
    <w:rsid w:val="004B080E"/>
    <w:rsid w:val="004B1F32"/>
    <w:rsid w:val="004B25AC"/>
    <w:rsid w:val="004B3742"/>
    <w:rsid w:val="004B3759"/>
    <w:rsid w:val="004B4904"/>
    <w:rsid w:val="004B4971"/>
    <w:rsid w:val="004B6A54"/>
    <w:rsid w:val="004B6BB0"/>
    <w:rsid w:val="004B71C7"/>
    <w:rsid w:val="004B7758"/>
    <w:rsid w:val="004C0C5B"/>
    <w:rsid w:val="004C1332"/>
    <w:rsid w:val="004C3704"/>
    <w:rsid w:val="004C536B"/>
    <w:rsid w:val="004C5956"/>
    <w:rsid w:val="004D19FD"/>
    <w:rsid w:val="004D2CFC"/>
    <w:rsid w:val="004D57FE"/>
    <w:rsid w:val="004D753D"/>
    <w:rsid w:val="004D7595"/>
    <w:rsid w:val="004D7C21"/>
    <w:rsid w:val="004E0867"/>
    <w:rsid w:val="004E2786"/>
    <w:rsid w:val="004E283F"/>
    <w:rsid w:val="004E2942"/>
    <w:rsid w:val="004E3612"/>
    <w:rsid w:val="004E40E6"/>
    <w:rsid w:val="004E5309"/>
    <w:rsid w:val="004E5A3E"/>
    <w:rsid w:val="004E5E17"/>
    <w:rsid w:val="004E604E"/>
    <w:rsid w:val="004E69EF"/>
    <w:rsid w:val="004E6BA1"/>
    <w:rsid w:val="004E7A48"/>
    <w:rsid w:val="004F026C"/>
    <w:rsid w:val="004F211E"/>
    <w:rsid w:val="004F3971"/>
    <w:rsid w:val="004F4CD8"/>
    <w:rsid w:val="004F509C"/>
    <w:rsid w:val="004F5345"/>
    <w:rsid w:val="004F5774"/>
    <w:rsid w:val="004F6FA7"/>
    <w:rsid w:val="005021C7"/>
    <w:rsid w:val="0050275B"/>
    <w:rsid w:val="00503F68"/>
    <w:rsid w:val="00512FBF"/>
    <w:rsid w:val="005141F0"/>
    <w:rsid w:val="005142C3"/>
    <w:rsid w:val="00516691"/>
    <w:rsid w:val="005176CF"/>
    <w:rsid w:val="00520E2D"/>
    <w:rsid w:val="005210E5"/>
    <w:rsid w:val="005248E3"/>
    <w:rsid w:val="005249BF"/>
    <w:rsid w:val="00531495"/>
    <w:rsid w:val="0053179E"/>
    <w:rsid w:val="0053328D"/>
    <w:rsid w:val="0053357B"/>
    <w:rsid w:val="0053547F"/>
    <w:rsid w:val="00542208"/>
    <w:rsid w:val="00542F33"/>
    <w:rsid w:val="00543C3C"/>
    <w:rsid w:val="005450EE"/>
    <w:rsid w:val="0055090A"/>
    <w:rsid w:val="00550C96"/>
    <w:rsid w:val="0055202F"/>
    <w:rsid w:val="0055300A"/>
    <w:rsid w:val="00553550"/>
    <w:rsid w:val="00553D11"/>
    <w:rsid w:val="005548E8"/>
    <w:rsid w:val="005552A2"/>
    <w:rsid w:val="00555FD7"/>
    <w:rsid w:val="00556FFA"/>
    <w:rsid w:val="0055708F"/>
    <w:rsid w:val="00560B92"/>
    <w:rsid w:val="00562683"/>
    <w:rsid w:val="00562CD2"/>
    <w:rsid w:val="00562E6D"/>
    <w:rsid w:val="00564641"/>
    <w:rsid w:val="00564842"/>
    <w:rsid w:val="00564D7A"/>
    <w:rsid w:val="00564DEC"/>
    <w:rsid w:val="0056540B"/>
    <w:rsid w:val="00565856"/>
    <w:rsid w:val="00565A02"/>
    <w:rsid w:val="005670B5"/>
    <w:rsid w:val="00570A2A"/>
    <w:rsid w:val="00570A72"/>
    <w:rsid w:val="00574058"/>
    <w:rsid w:val="005741E8"/>
    <w:rsid w:val="00576C14"/>
    <w:rsid w:val="0057744F"/>
    <w:rsid w:val="00577832"/>
    <w:rsid w:val="0058040B"/>
    <w:rsid w:val="00582B97"/>
    <w:rsid w:val="005839F7"/>
    <w:rsid w:val="005842C1"/>
    <w:rsid w:val="00584F64"/>
    <w:rsid w:val="00594023"/>
    <w:rsid w:val="005944F8"/>
    <w:rsid w:val="00595CEC"/>
    <w:rsid w:val="005969E4"/>
    <w:rsid w:val="005A16B4"/>
    <w:rsid w:val="005A258D"/>
    <w:rsid w:val="005A2BED"/>
    <w:rsid w:val="005A30B3"/>
    <w:rsid w:val="005A34CA"/>
    <w:rsid w:val="005A5639"/>
    <w:rsid w:val="005B044D"/>
    <w:rsid w:val="005B1A8C"/>
    <w:rsid w:val="005B274D"/>
    <w:rsid w:val="005B2806"/>
    <w:rsid w:val="005B440C"/>
    <w:rsid w:val="005B4923"/>
    <w:rsid w:val="005B6062"/>
    <w:rsid w:val="005B623D"/>
    <w:rsid w:val="005C0064"/>
    <w:rsid w:val="005C0345"/>
    <w:rsid w:val="005C1080"/>
    <w:rsid w:val="005C2789"/>
    <w:rsid w:val="005C5AA7"/>
    <w:rsid w:val="005C6052"/>
    <w:rsid w:val="005C64AF"/>
    <w:rsid w:val="005C71B2"/>
    <w:rsid w:val="005C7819"/>
    <w:rsid w:val="005D1780"/>
    <w:rsid w:val="005D28BD"/>
    <w:rsid w:val="005D56D7"/>
    <w:rsid w:val="005D58F2"/>
    <w:rsid w:val="005D5BD3"/>
    <w:rsid w:val="005D5D96"/>
    <w:rsid w:val="005D66BA"/>
    <w:rsid w:val="005D744D"/>
    <w:rsid w:val="005E0F61"/>
    <w:rsid w:val="005E12F7"/>
    <w:rsid w:val="005E1EEA"/>
    <w:rsid w:val="005E3489"/>
    <w:rsid w:val="005E376D"/>
    <w:rsid w:val="005E4AE9"/>
    <w:rsid w:val="005E56FD"/>
    <w:rsid w:val="005E6C6C"/>
    <w:rsid w:val="005E6F0B"/>
    <w:rsid w:val="005E7E6B"/>
    <w:rsid w:val="005F0714"/>
    <w:rsid w:val="005F123F"/>
    <w:rsid w:val="005F1EA4"/>
    <w:rsid w:val="005F2674"/>
    <w:rsid w:val="005F50D6"/>
    <w:rsid w:val="005F6357"/>
    <w:rsid w:val="005F6F98"/>
    <w:rsid w:val="005F716F"/>
    <w:rsid w:val="00600F9F"/>
    <w:rsid w:val="0060254C"/>
    <w:rsid w:val="00604EDB"/>
    <w:rsid w:val="0060549A"/>
    <w:rsid w:val="006127B5"/>
    <w:rsid w:val="00613BF7"/>
    <w:rsid w:val="00617F7E"/>
    <w:rsid w:val="0062048C"/>
    <w:rsid w:val="006210AE"/>
    <w:rsid w:val="00621E43"/>
    <w:rsid w:val="006222F0"/>
    <w:rsid w:val="00625B4F"/>
    <w:rsid w:val="006261AA"/>
    <w:rsid w:val="006268C2"/>
    <w:rsid w:val="00630170"/>
    <w:rsid w:val="00630345"/>
    <w:rsid w:val="00630535"/>
    <w:rsid w:val="0063070F"/>
    <w:rsid w:val="00632DFB"/>
    <w:rsid w:val="00632FD7"/>
    <w:rsid w:val="00633653"/>
    <w:rsid w:val="006336AF"/>
    <w:rsid w:val="00634397"/>
    <w:rsid w:val="006362BE"/>
    <w:rsid w:val="0063740A"/>
    <w:rsid w:val="0063750E"/>
    <w:rsid w:val="006375F5"/>
    <w:rsid w:val="00637D7A"/>
    <w:rsid w:val="00640E34"/>
    <w:rsid w:val="0064134A"/>
    <w:rsid w:val="006425EE"/>
    <w:rsid w:val="006453C6"/>
    <w:rsid w:val="00645726"/>
    <w:rsid w:val="0064616A"/>
    <w:rsid w:val="006477BB"/>
    <w:rsid w:val="006510D7"/>
    <w:rsid w:val="006513E2"/>
    <w:rsid w:val="00652598"/>
    <w:rsid w:val="00655AA5"/>
    <w:rsid w:val="0065649D"/>
    <w:rsid w:val="0065711D"/>
    <w:rsid w:val="0065793C"/>
    <w:rsid w:val="006612C0"/>
    <w:rsid w:val="006625FD"/>
    <w:rsid w:val="006640AC"/>
    <w:rsid w:val="00664154"/>
    <w:rsid w:val="0066441C"/>
    <w:rsid w:val="006653E5"/>
    <w:rsid w:val="006673EF"/>
    <w:rsid w:val="00671060"/>
    <w:rsid w:val="00672D73"/>
    <w:rsid w:val="00675513"/>
    <w:rsid w:val="00675BDF"/>
    <w:rsid w:val="00675D9C"/>
    <w:rsid w:val="00680396"/>
    <w:rsid w:val="0068093A"/>
    <w:rsid w:val="00681C84"/>
    <w:rsid w:val="006838F9"/>
    <w:rsid w:val="00684F21"/>
    <w:rsid w:val="0068688E"/>
    <w:rsid w:val="00687F9A"/>
    <w:rsid w:val="0069142E"/>
    <w:rsid w:val="00691738"/>
    <w:rsid w:val="00695D23"/>
    <w:rsid w:val="006968B6"/>
    <w:rsid w:val="00697368"/>
    <w:rsid w:val="006A31C5"/>
    <w:rsid w:val="006A3F76"/>
    <w:rsid w:val="006A447A"/>
    <w:rsid w:val="006A4795"/>
    <w:rsid w:val="006A6570"/>
    <w:rsid w:val="006A782E"/>
    <w:rsid w:val="006B036F"/>
    <w:rsid w:val="006B0A41"/>
    <w:rsid w:val="006B15A0"/>
    <w:rsid w:val="006B20E9"/>
    <w:rsid w:val="006B3B86"/>
    <w:rsid w:val="006B3F54"/>
    <w:rsid w:val="006B3FE5"/>
    <w:rsid w:val="006B6BE2"/>
    <w:rsid w:val="006B7130"/>
    <w:rsid w:val="006C11C7"/>
    <w:rsid w:val="006C2048"/>
    <w:rsid w:val="006C5659"/>
    <w:rsid w:val="006C6B6F"/>
    <w:rsid w:val="006C6EF6"/>
    <w:rsid w:val="006D2306"/>
    <w:rsid w:val="006D3F73"/>
    <w:rsid w:val="006D40B4"/>
    <w:rsid w:val="006D5363"/>
    <w:rsid w:val="006D568F"/>
    <w:rsid w:val="006D5898"/>
    <w:rsid w:val="006D6517"/>
    <w:rsid w:val="006D6B0D"/>
    <w:rsid w:val="006D6CD8"/>
    <w:rsid w:val="006E17D7"/>
    <w:rsid w:val="006E1E90"/>
    <w:rsid w:val="006E5CE9"/>
    <w:rsid w:val="006E5F12"/>
    <w:rsid w:val="006E6D9C"/>
    <w:rsid w:val="006E71B1"/>
    <w:rsid w:val="006E73EA"/>
    <w:rsid w:val="006F20D3"/>
    <w:rsid w:val="006F2DA6"/>
    <w:rsid w:val="006F3FB7"/>
    <w:rsid w:val="0070150C"/>
    <w:rsid w:val="007036B4"/>
    <w:rsid w:val="00704A6B"/>
    <w:rsid w:val="00705473"/>
    <w:rsid w:val="007060E8"/>
    <w:rsid w:val="00707DCB"/>
    <w:rsid w:val="007144D6"/>
    <w:rsid w:val="00714F1D"/>
    <w:rsid w:val="00714F70"/>
    <w:rsid w:val="007154FC"/>
    <w:rsid w:val="007156B9"/>
    <w:rsid w:val="00717196"/>
    <w:rsid w:val="00717EB3"/>
    <w:rsid w:val="007206EF"/>
    <w:rsid w:val="00721D35"/>
    <w:rsid w:val="007222F3"/>
    <w:rsid w:val="00723233"/>
    <w:rsid w:val="0072514E"/>
    <w:rsid w:val="00727832"/>
    <w:rsid w:val="007278F1"/>
    <w:rsid w:val="007302F4"/>
    <w:rsid w:val="00730686"/>
    <w:rsid w:val="00732ECF"/>
    <w:rsid w:val="0073301D"/>
    <w:rsid w:val="007333F0"/>
    <w:rsid w:val="00733A6E"/>
    <w:rsid w:val="00733C90"/>
    <w:rsid w:val="00734DF5"/>
    <w:rsid w:val="00734FBF"/>
    <w:rsid w:val="00735326"/>
    <w:rsid w:val="007356D3"/>
    <w:rsid w:val="00736C8E"/>
    <w:rsid w:val="00737232"/>
    <w:rsid w:val="0074031C"/>
    <w:rsid w:val="00742050"/>
    <w:rsid w:val="00742AB5"/>
    <w:rsid w:val="00744B74"/>
    <w:rsid w:val="00745536"/>
    <w:rsid w:val="00745684"/>
    <w:rsid w:val="007474AF"/>
    <w:rsid w:val="00751333"/>
    <w:rsid w:val="00754A2C"/>
    <w:rsid w:val="00756D90"/>
    <w:rsid w:val="00757176"/>
    <w:rsid w:val="00757257"/>
    <w:rsid w:val="0076109C"/>
    <w:rsid w:val="00761415"/>
    <w:rsid w:val="0076306C"/>
    <w:rsid w:val="007644C2"/>
    <w:rsid w:val="00764F01"/>
    <w:rsid w:val="00766A93"/>
    <w:rsid w:val="00770614"/>
    <w:rsid w:val="007738A5"/>
    <w:rsid w:val="00773CE9"/>
    <w:rsid w:val="00775827"/>
    <w:rsid w:val="0077654C"/>
    <w:rsid w:val="00777115"/>
    <w:rsid w:val="00780C15"/>
    <w:rsid w:val="007833BE"/>
    <w:rsid w:val="00784627"/>
    <w:rsid w:val="0078513B"/>
    <w:rsid w:val="00785B82"/>
    <w:rsid w:val="00787C22"/>
    <w:rsid w:val="0079093D"/>
    <w:rsid w:val="00791207"/>
    <w:rsid w:val="00792C24"/>
    <w:rsid w:val="00792D20"/>
    <w:rsid w:val="0079472D"/>
    <w:rsid w:val="007947C9"/>
    <w:rsid w:val="0079652E"/>
    <w:rsid w:val="00797F06"/>
    <w:rsid w:val="007A0207"/>
    <w:rsid w:val="007A02F2"/>
    <w:rsid w:val="007A1342"/>
    <w:rsid w:val="007A1F9C"/>
    <w:rsid w:val="007A24B8"/>
    <w:rsid w:val="007A3DA2"/>
    <w:rsid w:val="007A57A7"/>
    <w:rsid w:val="007A6497"/>
    <w:rsid w:val="007A6BA3"/>
    <w:rsid w:val="007B21CA"/>
    <w:rsid w:val="007B2A42"/>
    <w:rsid w:val="007B471A"/>
    <w:rsid w:val="007B6FED"/>
    <w:rsid w:val="007B70B2"/>
    <w:rsid w:val="007C06E8"/>
    <w:rsid w:val="007C07DF"/>
    <w:rsid w:val="007C285C"/>
    <w:rsid w:val="007C3A6E"/>
    <w:rsid w:val="007C3C0A"/>
    <w:rsid w:val="007C4499"/>
    <w:rsid w:val="007C6409"/>
    <w:rsid w:val="007C7DD1"/>
    <w:rsid w:val="007D1898"/>
    <w:rsid w:val="007D2989"/>
    <w:rsid w:val="007D2E84"/>
    <w:rsid w:val="007D4398"/>
    <w:rsid w:val="007D5629"/>
    <w:rsid w:val="007D631B"/>
    <w:rsid w:val="007D7726"/>
    <w:rsid w:val="007E2038"/>
    <w:rsid w:val="007E2DE2"/>
    <w:rsid w:val="007E3169"/>
    <w:rsid w:val="007E3BA2"/>
    <w:rsid w:val="007E5920"/>
    <w:rsid w:val="007E636D"/>
    <w:rsid w:val="007E7485"/>
    <w:rsid w:val="007E7B0B"/>
    <w:rsid w:val="007F1A2E"/>
    <w:rsid w:val="007F33B7"/>
    <w:rsid w:val="007F6E80"/>
    <w:rsid w:val="00800157"/>
    <w:rsid w:val="00800297"/>
    <w:rsid w:val="008008E1"/>
    <w:rsid w:val="0080165F"/>
    <w:rsid w:val="00801D3A"/>
    <w:rsid w:val="00804B6D"/>
    <w:rsid w:val="008059F9"/>
    <w:rsid w:val="00805A47"/>
    <w:rsid w:val="00806FFC"/>
    <w:rsid w:val="00811039"/>
    <w:rsid w:val="008117BD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4782C"/>
    <w:rsid w:val="0085173D"/>
    <w:rsid w:val="00852BAF"/>
    <w:rsid w:val="00854505"/>
    <w:rsid w:val="008569F0"/>
    <w:rsid w:val="00857187"/>
    <w:rsid w:val="00860A8C"/>
    <w:rsid w:val="00861E98"/>
    <w:rsid w:val="00862385"/>
    <w:rsid w:val="008625AF"/>
    <w:rsid w:val="00862A54"/>
    <w:rsid w:val="008631B5"/>
    <w:rsid w:val="00864251"/>
    <w:rsid w:val="008659C0"/>
    <w:rsid w:val="00865E96"/>
    <w:rsid w:val="008673F6"/>
    <w:rsid w:val="00867D3C"/>
    <w:rsid w:val="0087047B"/>
    <w:rsid w:val="00870C5D"/>
    <w:rsid w:val="00871730"/>
    <w:rsid w:val="00871EF2"/>
    <w:rsid w:val="00872324"/>
    <w:rsid w:val="00872710"/>
    <w:rsid w:val="00873190"/>
    <w:rsid w:val="00873836"/>
    <w:rsid w:val="00873D69"/>
    <w:rsid w:val="00876BFB"/>
    <w:rsid w:val="00884313"/>
    <w:rsid w:val="008843B1"/>
    <w:rsid w:val="00884D36"/>
    <w:rsid w:val="00884F62"/>
    <w:rsid w:val="00885F45"/>
    <w:rsid w:val="00886701"/>
    <w:rsid w:val="00892348"/>
    <w:rsid w:val="00892761"/>
    <w:rsid w:val="0089491B"/>
    <w:rsid w:val="008965B2"/>
    <w:rsid w:val="008A0E24"/>
    <w:rsid w:val="008A39FA"/>
    <w:rsid w:val="008A3BD3"/>
    <w:rsid w:val="008A5E4E"/>
    <w:rsid w:val="008A7CE1"/>
    <w:rsid w:val="008B02D4"/>
    <w:rsid w:val="008B05AC"/>
    <w:rsid w:val="008B4876"/>
    <w:rsid w:val="008B7786"/>
    <w:rsid w:val="008C0C41"/>
    <w:rsid w:val="008C10F6"/>
    <w:rsid w:val="008C125B"/>
    <w:rsid w:val="008C3194"/>
    <w:rsid w:val="008C3F18"/>
    <w:rsid w:val="008C42C9"/>
    <w:rsid w:val="008C4C7F"/>
    <w:rsid w:val="008C56E1"/>
    <w:rsid w:val="008D1D49"/>
    <w:rsid w:val="008D1F40"/>
    <w:rsid w:val="008D3332"/>
    <w:rsid w:val="008D3778"/>
    <w:rsid w:val="008D63B3"/>
    <w:rsid w:val="008D767E"/>
    <w:rsid w:val="008E10D3"/>
    <w:rsid w:val="008E1B89"/>
    <w:rsid w:val="008E2136"/>
    <w:rsid w:val="008E23D9"/>
    <w:rsid w:val="008E31F2"/>
    <w:rsid w:val="008E3A82"/>
    <w:rsid w:val="008E593D"/>
    <w:rsid w:val="008E674E"/>
    <w:rsid w:val="008E6B5B"/>
    <w:rsid w:val="008E75B5"/>
    <w:rsid w:val="008E7FAF"/>
    <w:rsid w:val="008F3C51"/>
    <w:rsid w:val="008F48B4"/>
    <w:rsid w:val="008F4C33"/>
    <w:rsid w:val="008F5D8C"/>
    <w:rsid w:val="008F5FEA"/>
    <w:rsid w:val="008F6952"/>
    <w:rsid w:val="008F7413"/>
    <w:rsid w:val="0090056A"/>
    <w:rsid w:val="009016D1"/>
    <w:rsid w:val="009022EA"/>
    <w:rsid w:val="00903D0E"/>
    <w:rsid w:val="009041BE"/>
    <w:rsid w:val="00904B0B"/>
    <w:rsid w:val="00907F09"/>
    <w:rsid w:val="00910204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34D8"/>
    <w:rsid w:val="009439D4"/>
    <w:rsid w:val="009440B4"/>
    <w:rsid w:val="009440FD"/>
    <w:rsid w:val="0094435F"/>
    <w:rsid w:val="00944382"/>
    <w:rsid w:val="009517FF"/>
    <w:rsid w:val="009526FA"/>
    <w:rsid w:val="00952930"/>
    <w:rsid w:val="00954C2D"/>
    <w:rsid w:val="00955143"/>
    <w:rsid w:val="00960E2F"/>
    <w:rsid w:val="009612C6"/>
    <w:rsid w:val="009622A8"/>
    <w:rsid w:val="0096312D"/>
    <w:rsid w:val="00963A7C"/>
    <w:rsid w:val="009640B3"/>
    <w:rsid w:val="00966CB8"/>
    <w:rsid w:val="0097135E"/>
    <w:rsid w:val="0097151E"/>
    <w:rsid w:val="00972EB0"/>
    <w:rsid w:val="00973B2A"/>
    <w:rsid w:val="00973CF2"/>
    <w:rsid w:val="00974110"/>
    <w:rsid w:val="0097487C"/>
    <w:rsid w:val="009769D2"/>
    <w:rsid w:val="00977A13"/>
    <w:rsid w:val="009811FC"/>
    <w:rsid w:val="009830DE"/>
    <w:rsid w:val="009855D1"/>
    <w:rsid w:val="00987E23"/>
    <w:rsid w:val="009905A8"/>
    <w:rsid w:val="009915B8"/>
    <w:rsid w:val="00993BB1"/>
    <w:rsid w:val="00994408"/>
    <w:rsid w:val="009944AB"/>
    <w:rsid w:val="00994532"/>
    <w:rsid w:val="009962E9"/>
    <w:rsid w:val="009972EA"/>
    <w:rsid w:val="009B18D9"/>
    <w:rsid w:val="009B1CF5"/>
    <w:rsid w:val="009B33B5"/>
    <w:rsid w:val="009B6D2B"/>
    <w:rsid w:val="009C0CC8"/>
    <w:rsid w:val="009C0E64"/>
    <w:rsid w:val="009C253D"/>
    <w:rsid w:val="009C34ED"/>
    <w:rsid w:val="009C5241"/>
    <w:rsid w:val="009D0FE3"/>
    <w:rsid w:val="009D2B90"/>
    <w:rsid w:val="009D3AD9"/>
    <w:rsid w:val="009D44B2"/>
    <w:rsid w:val="009D4D8C"/>
    <w:rsid w:val="009D51D1"/>
    <w:rsid w:val="009D5E26"/>
    <w:rsid w:val="009D69AF"/>
    <w:rsid w:val="009E2BF4"/>
    <w:rsid w:val="009E4965"/>
    <w:rsid w:val="009E7839"/>
    <w:rsid w:val="009E79BA"/>
    <w:rsid w:val="009E7C0D"/>
    <w:rsid w:val="009F0C37"/>
    <w:rsid w:val="009F1830"/>
    <w:rsid w:val="009F2E06"/>
    <w:rsid w:val="009F37E0"/>
    <w:rsid w:val="009F4502"/>
    <w:rsid w:val="009F6A51"/>
    <w:rsid w:val="00A04FE1"/>
    <w:rsid w:val="00A05E4F"/>
    <w:rsid w:val="00A07422"/>
    <w:rsid w:val="00A12C6C"/>
    <w:rsid w:val="00A143C6"/>
    <w:rsid w:val="00A17FBA"/>
    <w:rsid w:val="00A205FB"/>
    <w:rsid w:val="00A217AA"/>
    <w:rsid w:val="00A22609"/>
    <w:rsid w:val="00A25532"/>
    <w:rsid w:val="00A266CC"/>
    <w:rsid w:val="00A26CC1"/>
    <w:rsid w:val="00A26F37"/>
    <w:rsid w:val="00A270FC"/>
    <w:rsid w:val="00A27D40"/>
    <w:rsid w:val="00A27DBB"/>
    <w:rsid w:val="00A305E6"/>
    <w:rsid w:val="00A329B6"/>
    <w:rsid w:val="00A3374F"/>
    <w:rsid w:val="00A36CBE"/>
    <w:rsid w:val="00A37AE7"/>
    <w:rsid w:val="00A416C2"/>
    <w:rsid w:val="00A42012"/>
    <w:rsid w:val="00A42D36"/>
    <w:rsid w:val="00A43644"/>
    <w:rsid w:val="00A43C28"/>
    <w:rsid w:val="00A43D67"/>
    <w:rsid w:val="00A452C6"/>
    <w:rsid w:val="00A45ACA"/>
    <w:rsid w:val="00A45BFF"/>
    <w:rsid w:val="00A461B7"/>
    <w:rsid w:val="00A4626F"/>
    <w:rsid w:val="00A46FF4"/>
    <w:rsid w:val="00A47CE1"/>
    <w:rsid w:val="00A50BE8"/>
    <w:rsid w:val="00A515F9"/>
    <w:rsid w:val="00A52BBE"/>
    <w:rsid w:val="00A53053"/>
    <w:rsid w:val="00A54852"/>
    <w:rsid w:val="00A5584A"/>
    <w:rsid w:val="00A566AC"/>
    <w:rsid w:val="00A5782E"/>
    <w:rsid w:val="00A579D6"/>
    <w:rsid w:val="00A63603"/>
    <w:rsid w:val="00A647F6"/>
    <w:rsid w:val="00A6635A"/>
    <w:rsid w:val="00A6664C"/>
    <w:rsid w:val="00A70906"/>
    <w:rsid w:val="00A718C0"/>
    <w:rsid w:val="00A72182"/>
    <w:rsid w:val="00A72611"/>
    <w:rsid w:val="00A74FB0"/>
    <w:rsid w:val="00A75F69"/>
    <w:rsid w:val="00A75FD1"/>
    <w:rsid w:val="00A77ABA"/>
    <w:rsid w:val="00A82449"/>
    <w:rsid w:val="00A8280D"/>
    <w:rsid w:val="00A82B6B"/>
    <w:rsid w:val="00A8504F"/>
    <w:rsid w:val="00A877C5"/>
    <w:rsid w:val="00A914CD"/>
    <w:rsid w:val="00A91C08"/>
    <w:rsid w:val="00A91EDD"/>
    <w:rsid w:val="00A92AA0"/>
    <w:rsid w:val="00A92E0B"/>
    <w:rsid w:val="00A93ABB"/>
    <w:rsid w:val="00A943CB"/>
    <w:rsid w:val="00A94F7C"/>
    <w:rsid w:val="00A95F91"/>
    <w:rsid w:val="00A96007"/>
    <w:rsid w:val="00A97525"/>
    <w:rsid w:val="00AA14B0"/>
    <w:rsid w:val="00AA39D0"/>
    <w:rsid w:val="00AA50DF"/>
    <w:rsid w:val="00AA6A44"/>
    <w:rsid w:val="00AA7F45"/>
    <w:rsid w:val="00AB308E"/>
    <w:rsid w:val="00AB30C7"/>
    <w:rsid w:val="00AC0388"/>
    <w:rsid w:val="00AC0CC2"/>
    <w:rsid w:val="00AC2AD4"/>
    <w:rsid w:val="00AC5572"/>
    <w:rsid w:val="00AC7B89"/>
    <w:rsid w:val="00AD1612"/>
    <w:rsid w:val="00AD33B3"/>
    <w:rsid w:val="00AD3DDA"/>
    <w:rsid w:val="00AD41C1"/>
    <w:rsid w:val="00AD4338"/>
    <w:rsid w:val="00AD76C7"/>
    <w:rsid w:val="00AE04F0"/>
    <w:rsid w:val="00AE0CED"/>
    <w:rsid w:val="00AE200C"/>
    <w:rsid w:val="00AE2613"/>
    <w:rsid w:val="00AE43B6"/>
    <w:rsid w:val="00AE4FBA"/>
    <w:rsid w:val="00AE59DC"/>
    <w:rsid w:val="00AE5C2E"/>
    <w:rsid w:val="00AF106B"/>
    <w:rsid w:val="00AF10FB"/>
    <w:rsid w:val="00AF1C6A"/>
    <w:rsid w:val="00AF1DE6"/>
    <w:rsid w:val="00AF397C"/>
    <w:rsid w:val="00AF55F2"/>
    <w:rsid w:val="00AF6455"/>
    <w:rsid w:val="00AF731B"/>
    <w:rsid w:val="00B0096B"/>
    <w:rsid w:val="00B01F2B"/>
    <w:rsid w:val="00B05170"/>
    <w:rsid w:val="00B07CF3"/>
    <w:rsid w:val="00B1011F"/>
    <w:rsid w:val="00B110D4"/>
    <w:rsid w:val="00B11810"/>
    <w:rsid w:val="00B11B40"/>
    <w:rsid w:val="00B11BCB"/>
    <w:rsid w:val="00B12FA7"/>
    <w:rsid w:val="00B13B5A"/>
    <w:rsid w:val="00B15D24"/>
    <w:rsid w:val="00B1688D"/>
    <w:rsid w:val="00B16FC9"/>
    <w:rsid w:val="00B21BCB"/>
    <w:rsid w:val="00B22122"/>
    <w:rsid w:val="00B22B9C"/>
    <w:rsid w:val="00B2409B"/>
    <w:rsid w:val="00B24801"/>
    <w:rsid w:val="00B24BD8"/>
    <w:rsid w:val="00B267B2"/>
    <w:rsid w:val="00B27433"/>
    <w:rsid w:val="00B33AC2"/>
    <w:rsid w:val="00B33D1F"/>
    <w:rsid w:val="00B3544F"/>
    <w:rsid w:val="00B3551F"/>
    <w:rsid w:val="00B361F2"/>
    <w:rsid w:val="00B365F8"/>
    <w:rsid w:val="00B374B9"/>
    <w:rsid w:val="00B37D18"/>
    <w:rsid w:val="00B401AF"/>
    <w:rsid w:val="00B41D48"/>
    <w:rsid w:val="00B423D1"/>
    <w:rsid w:val="00B437FC"/>
    <w:rsid w:val="00B43FB2"/>
    <w:rsid w:val="00B46028"/>
    <w:rsid w:val="00B4604F"/>
    <w:rsid w:val="00B46348"/>
    <w:rsid w:val="00B467EE"/>
    <w:rsid w:val="00B47673"/>
    <w:rsid w:val="00B47C26"/>
    <w:rsid w:val="00B47CBF"/>
    <w:rsid w:val="00B5132F"/>
    <w:rsid w:val="00B52A53"/>
    <w:rsid w:val="00B55393"/>
    <w:rsid w:val="00B558E3"/>
    <w:rsid w:val="00B56748"/>
    <w:rsid w:val="00B57DC7"/>
    <w:rsid w:val="00B60F35"/>
    <w:rsid w:val="00B62951"/>
    <w:rsid w:val="00B63694"/>
    <w:rsid w:val="00B642A4"/>
    <w:rsid w:val="00B65B1D"/>
    <w:rsid w:val="00B65D52"/>
    <w:rsid w:val="00B668EA"/>
    <w:rsid w:val="00B67240"/>
    <w:rsid w:val="00B709D6"/>
    <w:rsid w:val="00B715FA"/>
    <w:rsid w:val="00B736B9"/>
    <w:rsid w:val="00B73985"/>
    <w:rsid w:val="00B75FA7"/>
    <w:rsid w:val="00B771F4"/>
    <w:rsid w:val="00B77FEE"/>
    <w:rsid w:val="00B815A9"/>
    <w:rsid w:val="00B81EE0"/>
    <w:rsid w:val="00B82FAC"/>
    <w:rsid w:val="00B8410B"/>
    <w:rsid w:val="00B85C6A"/>
    <w:rsid w:val="00B86E93"/>
    <w:rsid w:val="00B900E4"/>
    <w:rsid w:val="00B90657"/>
    <w:rsid w:val="00B91B4E"/>
    <w:rsid w:val="00B93C7D"/>
    <w:rsid w:val="00B960B5"/>
    <w:rsid w:val="00BA0A95"/>
    <w:rsid w:val="00BA0E07"/>
    <w:rsid w:val="00BA3227"/>
    <w:rsid w:val="00BA41F4"/>
    <w:rsid w:val="00BA4CEA"/>
    <w:rsid w:val="00BA5604"/>
    <w:rsid w:val="00BA6D42"/>
    <w:rsid w:val="00BA7C86"/>
    <w:rsid w:val="00BB0861"/>
    <w:rsid w:val="00BB16AE"/>
    <w:rsid w:val="00BB2302"/>
    <w:rsid w:val="00BB2468"/>
    <w:rsid w:val="00BB520F"/>
    <w:rsid w:val="00BB5544"/>
    <w:rsid w:val="00BB5CD6"/>
    <w:rsid w:val="00BB7C1C"/>
    <w:rsid w:val="00BC02F8"/>
    <w:rsid w:val="00BC0D65"/>
    <w:rsid w:val="00BC16C1"/>
    <w:rsid w:val="00BC424C"/>
    <w:rsid w:val="00BC4311"/>
    <w:rsid w:val="00BC5859"/>
    <w:rsid w:val="00BC76C2"/>
    <w:rsid w:val="00BD0A40"/>
    <w:rsid w:val="00BD2C5D"/>
    <w:rsid w:val="00BD2FFD"/>
    <w:rsid w:val="00BD6C71"/>
    <w:rsid w:val="00BD77DD"/>
    <w:rsid w:val="00BD7CB5"/>
    <w:rsid w:val="00BE0A46"/>
    <w:rsid w:val="00BE266D"/>
    <w:rsid w:val="00BE3AC6"/>
    <w:rsid w:val="00BE4C16"/>
    <w:rsid w:val="00BF0A53"/>
    <w:rsid w:val="00BF15E9"/>
    <w:rsid w:val="00BF3A74"/>
    <w:rsid w:val="00BF3B29"/>
    <w:rsid w:val="00BF5131"/>
    <w:rsid w:val="00C02342"/>
    <w:rsid w:val="00C026D9"/>
    <w:rsid w:val="00C0462E"/>
    <w:rsid w:val="00C04EB3"/>
    <w:rsid w:val="00C052F6"/>
    <w:rsid w:val="00C104EC"/>
    <w:rsid w:val="00C11654"/>
    <w:rsid w:val="00C12908"/>
    <w:rsid w:val="00C12A4B"/>
    <w:rsid w:val="00C1506B"/>
    <w:rsid w:val="00C15B79"/>
    <w:rsid w:val="00C16234"/>
    <w:rsid w:val="00C1634E"/>
    <w:rsid w:val="00C16360"/>
    <w:rsid w:val="00C164BD"/>
    <w:rsid w:val="00C1763B"/>
    <w:rsid w:val="00C20405"/>
    <w:rsid w:val="00C225A1"/>
    <w:rsid w:val="00C240A3"/>
    <w:rsid w:val="00C24E4C"/>
    <w:rsid w:val="00C25F3C"/>
    <w:rsid w:val="00C30533"/>
    <w:rsid w:val="00C308B9"/>
    <w:rsid w:val="00C32934"/>
    <w:rsid w:val="00C329CA"/>
    <w:rsid w:val="00C331BD"/>
    <w:rsid w:val="00C33337"/>
    <w:rsid w:val="00C33EC7"/>
    <w:rsid w:val="00C349EB"/>
    <w:rsid w:val="00C35CA4"/>
    <w:rsid w:val="00C366D6"/>
    <w:rsid w:val="00C36EFF"/>
    <w:rsid w:val="00C3716F"/>
    <w:rsid w:val="00C37D6B"/>
    <w:rsid w:val="00C37D76"/>
    <w:rsid w:val="00C41500"/>
    <w:rsid w:val="00C41698"/>
    <w:rsid w:val="00C41FDD"/>
    <w:rsid w:val="00C42472"/>
    <w:rsid w:val="00C4257E"/>
    <w:rsid w:val="00C42D2E"/>
    <w:rsid w:val="00C42F51"/>
    <w:rsid w:val="00C50FB2"/>
    <w:rsid w:val="00C51513"/>
    <w:rsid w:val="00C5419D"/>
    <w:rsid w:val="00C573A8"/>
    <w:rsid w:val="00C574AD"/>
    <w:rsid w:val="00C574F1"/>
    <w:rsid w:val="00C6304B"/>
    <w:rsid w:val="00C6371A"/>
    <w:rsid w:val="00C65749"/>
    <w:rsid w:val="00C662BC"/>
    <w:rsid w:val="00C70486"/>
    <w:rsid w:val="00C73834"/>
    <w:rsid w:val="00C743E8"/>
    <w:rsid w:val="00C745F8"/>
    <w:rsid w:val="00C74636"/>
    <w:rsid w:val="00C74A57"/>
    <w:rsid w:val="00C762C4"/>
    <w:rsid w:val="00C777B0"/>
    <w:rsid w:val="00C7793C"/>
    <w:rsid w:val="00C80403"/>
    <w:rsid w:val="00C87538"/>
    <w:rsid w:val="00C91BD1"/>
    <w:rsid w:val="00C93D14"/>
    <w:rsid w:val="00C9422A"/>
    <w:rsid w:val="00C958DD"/>
    <w:rsid w:val="00C96E9D"/>
    <w:rsid w:val="00CA198D"/>
    <w:rsid w:val="00CA1B7A"/>
    <w:rsid w:val="00CA2780"/>
    <w:rsid w:val="00CA38F7"/>
    <w:rsid w:val="00CA3D4F"/>
    <w:rsid w:val="00CA45B5"/>
    <w:rsid w:val="00CB0B24"/>
    <w:rsid w:val="00CB0E2B"/>
    <w:rsid w:val="00CB4CB8"/>
    <w:rsid w:val="00CB5000"/>
    <w:rsid w:val="00CB5464"/>
    <w:rsid w:val="00CB6FA5"/>
    <w:rsid w:val="00CC0812"/>
    <w:rsid w:val="00CC1917"/>
    <w:rsid w:val="00CC1F5A"/>
    <w:rsid w:val="00CC1F65"/>
    <w:rsid w:val="00CC2AFD"/>
    <w:rsid w:val="00CC2C58"/>
    <w:rsid w:val="00CC3F8E"/>
    <w:rsid w:val="00CC41CB"/>
    <w:rsid w:val="00CC4580"/>
    <w:rsid w:val="00CC5007"/>
    <w:rsid w:val="00CC70B4"/>
    <w:rsid w:val="00CD17CE"/>
    <w:rsid w:val="00CD306E"/>
    <w:rsid w:val="00CD47DA"/>
    <w:rsid w:val="00CD5EC6"/>
    <w:rsid w:val="00CD7CF7"/>
    <w:rsid w:val="00CE55D7"/>
    <w:rsid w:val="00CE6869"/>
    <w:rsid w:val="00CE6E69"/>
    <w:rsid w:val="00CF2189"/>
    <w:rsid w:val="00CF2EDF"/>
    <w:rsid w:val="00CF3FCF"/>
    <w:rsid w:val="00CF56E3"/>
    <w:rsid w:val="00CF655D"/>
    <w:rsid w:val="00CF6F6A"/>
    <w:rsid w:val="00CF7F26"/>
    <w:rsid w:val="00D00EA2"/>
    <w:rsid w:val="00D01470"/>
    <w:rsid w:val="00D01979"/>
    <w:rsid w:val="00D036E8"/>
    <w:rsid w:val="00D03EC9"/>
    <w:rsid w:val="00D04CD0"/>
    <w:rsid w:val="00D07876"/>
    <w:rsid w:val="00D10DB5"/>
    <w:rsid w:val="00D13F0C"/>
    <w:rsid w:val="00D14CC6"/>
    <w:rsid w:val="00D15A65"/>
    <w:rsid w:val="00D21A23"/>
    <w:rsid w:val="00D22270"/>
    <w:rsid w:val="00D22333"/>
    <w:rsid w:val="00D22CA2"/>
    <w:rsid w:val="00D26164"/>
    <w:rsid w:val="00D31AFD"/>
    <w:rsid w:val="00D321AF"/>
    <w:rsid w:val="00D333CB"/>
    <w:rsid w:val="00D34A2A"/>
    <w:rsid w:val="00D34C9A"/>
    <w:rsid w:val="00D4120B"/>
    <w:rsid w:val="00D45B8F"/>
    <w:rsid w:val="00D5002A"/>
    <w:rsid w:val="00D506C5"/>
    <w:rsid w:val="00D50837"/>
    <w:rsid w:val="00D510D3"/>
    <w:rsid w:val="00D51A32"/>
    <w:rsid w:val="00D51D86"/>
    <w:rsid w:val="00D52B0B"/>
    <w:rsid w:val="00D53D4A"/>
    <w:rsid w:val="00D54E08"/>
    <w:rsid w:val="00D55AC5"/>
    <w:rsid w:val="00D56DD8"/>
    <w:rsid w:val="00D608AE"/>
    <w:rsid w:val="00D60B25"/>
    <w:rsid w:val="00D613DD"/>
    <w:rsid w:val="00D618A2"/>
    <w:rsid w:val="00D64A94"/>
    <w:rsid w:val="00D650C6"/>
    <w:rsid w:val="00D74D12"/>
    <w:rsid w:val="00D76AC9"/>
    <w:rsid w:val="00D77C0B"/>
    <w:rsid w:val="00D77F18"/>
    <w:rsid w:val="00D80916"/>
    <w:rsid w:val="00D81236"/>
    <w:rsid w:val="00D8134D"/>
    <w:rsid w:val="00D81C40"/>
    <w:rsid w:val="00D8302E"/>
    <w:rsid w:val="00D8313C"/>
    <w:rsid w:val="00D84CF7"/>
    <w:rsid w:val="00D85E18"/>
    <w:rsid w:val="00D90B0A"/>
    <w:rsid w:val="00D91717"/>
    <w:rsid w:val="00D931EB"/>
    <w:rsid w:val="00D9501E"/>
    <w:rsid w:val="00DA1C0E"/>
    <w:rsid w:val="00DA24A8"/>
    <w:rsid w:val="00DA36FA"/>
    <w:rsid w:val="00DA3A1C"/>
    <w:rsid w:val="00DA4452"/>
    <w:rsid w:val="00DA5A30"/>
    <w:rsid w:val="00DB0BC8"/>
    <w:rsid w:val="00DB0DB9"/>
    <w:rsid w:val="00DB0FB4"/>
    <w:rsid w:val="00DB1ED4"/>
    <w:rsid w:val="00DB40CF"/>
    <w:rsid w:val="00DB7490"/>
    <w:rsid w:val="00DC0159"/>
    <w:rsid w:val="00DC0CAB"/>
    <w:rsid w:val="00DC30FF"/>
    <w:rsid w:val="00DC6155"/>
    <w:rsid w:val="00DC63F8"/>
    <w:rsid w:val="00DC78B4"/>
    <w:rsid w:val="00DC7997"/>
    <w:rsid w:val="00DC7F06"/>
    <w:rsid w:val="00DD01D9"/>
    <w:rsid w:val="00DD31DC"/>
    <w:rsid w:val="00DD53DC"/>
    <w:rsid w:val="00DD66B3"/>
    <w:rsid w:val="00DD6C5D"/>
    <w:rsid w:val="00DD6FB7"/>
    <w:rsid w:val="00DE18E9"/>
    <w:rsid w:val="00DE2DD2"/>
    <w:rsid w:val="00DE3664"/>
    <w:rsid w:val="00DE4E50"/>
    <w:rsid w:val="00DE5A1B"/>
    <w:rsid w:val="00DF1B7C"/>
    <w:rsid w:val="00DF31F8"/>
    <w:rsid w:val="00DF5853"/>
    <w:rsid w:val="00DF5A0D"/>
    <w:rsid w:val="00DF5FD7"/>
    <w:rsid w:val="00DF658D"/>
    <w:rsid w:val="00E019E6"/>
    <w:rsid w:val="00E0289E"/>
    <w:rsid w:val="00E02A04"/>
    <w:rsid w:val="00E02FA7"/>
    <w:rsid w:val="00E07676"/>
    <w:rsid w:val="00E14E04"/>
    <w:rsid w:val="00E17553"/>
    <w:rsid w:val="00E22433"/>
    <w:rsid w:val="00E2611F"/>
    <w:rsid w:val="00E264ED"/>
    <w:rsid w:val="00E27B4B"/>
    <w:rsid w:val="00E32436"/>
    <w:rsid w:val="00E32F2A"/>
    <w:rsid w:val="00E338FE"/>
    <w:rsid w:val="00E34E80"/>
    <w:rsid w:val="00E35442"/>
    <w:rsid w:val="00E35EE0"/>
    <w:rsid w:val="00E37886"/>
    <w:rsid w:val="00E40B2F"/>
    <w:rsid w:val="00E410E8"/>
    <w:rsid w:val="00E45E85"/>
    <w:rsid w:val="00E45EB4"/>
    <w:rsid w:val="00E475EE"/>
    <w:rsid w:val="00E4770A"/>
    <w:rsid w:val="00E510DB"/>
    <w:rsid w:val="00E510F5"/>
    <w:rsid w:val="00E531A0"/>
    <w:rsid w:val="00E55F0E"/>
    <w:rsid w:val="00E56D56"/>
    <w:rsid w:val="00E56EAC"/>
    <w:rsid w:val="00E61440"/>
    <w:rsid w:val="00E61E21"/>
    <w:rsid w:val="00E636CB"/>
    <w:rsid w:val="00E64400"/>
    <w:rsid w:val="00E64991"/>
    <w:rsid w:val="00E64EE2"/>
    <w:rsid w:val="00E650D6"/>
    <w:rsid w:val="00E65836"/>
    <w:rsid w:val="00E73060"/>
    <w:rsid w:val="00E73697"/>
    <w:rsid w:val="00E749D6"/>
    <w:rsid w:val="00E74F2C"/>
    <w:rsid w:val="00E750BE"/>
    <w:rsid w:val="00E76362"/>
    <w:rsid w:val="00E76B0F"/>
    <w:rsid w:val="00E76BA6"/>
    <w:rsid w:val="00E7737B"/>
    <w:rsid w:val="00E8035C"/>
    <w:rsid w:val="00E846D4"/>
    <w:rsid w:val="00E84BCF"/>
    <w:rsid w:val="00E85E0A"/>
    <w:rsid w:val="00E86FD2"/>
    <w:rsid w:val="00E900EE"/>
    <w:rsid w:val="00E91946"/>
    <w:rsid w:val="00E9261A"/>
    <w:rsid w:val="00E92649"/>
    <w:rsid w:val="00E929C7"/>
    <w:rsid w:val="00E93FAF"/>
    <w:rsid w:val="00E9472B"/>
    <w:rsid w:val="00E94C46"/>
    <w:rsid w:val="00E973D2"/>
    <w:rsid w:val="00E9766C"/>
    <w:rsid w:val="00EA1602"/>
    <w:rsid w:val="00EA30E4"/>
    <w:rsid w:val="00EA5DB0"/>
    <w:rsid w:val="00EA66AD"/>
    <w:rsid w:val="00EA6F79"/>
    <w:rsid w:val="00EB3973"/>
    <w:rsid w:val="00EB3FF7"/>
    <w:rsid w:val="00EB57E5"/>
    <w:rsid w:val="00EB679C"/>
    <w:rsid w:val="00EB6ACA"/>
    <w:rsid w:val="00EC0420"/>
    <w:rsid w:val="00EC1A41"/>
    <w:rsid w:val="00EC36E4"/>
    <w:rsid w:val="00EC6C91"/>
    <w:rsid w:val="00EC7CD4"/>
    <w:rsid w:val="00EC7DEA"/>
    <w:rsid w:val="00ED248B"/>
    <w:rsid w:val="00ED28EA"/>
    <w:rsid w:val="00ED37D3"/>
    <w:rsid w:val="00ED3AFB"/>
    <w:rsid w:val="00ED3DD8"/>
    <w:rsid w:val="00ED41D6"/>
    <w:rsid w:val="00ED6417"/>
    <w:rsid w:val="00ED66F8"/>
    <w:rsid w:val="00EE070D"/>
    <w:rsid w:val="00EE0F4F"/>
    <w:rsid w:val="00EE2524"/>
    <w:rsid w:val="00EE2C1F"/>
    <w:rsid w:val="00EE3FD8"/>
    <w:rsid w:val="00EE449C"/>
    <w:rsid w:val="00EE4B9B"/>
    <w:rsid w:val="00EE60E0"/>
    <w:rsid w:val="00EE6202"/>
    <w:rsid w:val="00EF1832"/>
    <w:rsid w:val="00EF2AD8"/>
    <w:rsid w:val="00EF5573"/>
    <w:rsid w:val="00EF62EB"/>
    <w:rsid w:val="00EF6B83"/>
    <w:rsid w:val="00F004FF"/>
    <w:rsid w:val="00F00994"/>
    <w:rsid w:val="00F0106A"/>
    <w:rsid w:val="00F0170C"/>
    <w:rsid w:val="00F02304"/>
    <w:rsid w:val="00F02C6C"/>
    <w:rsid w:val="00F03765"/>
    <w:rsid w:val="00F039B4"/>
    <w:rsid w:val="00F057F7"/>
    <w:rsid w:val="00F05F12"/>
    <w:rsid w:val="00F063E5"/>
    <w:rsid w:val="00F06F4B"/>
    <w:rsid w:val="00F07838"/>
    <w:rsid w:val="00F1035E"/>
    <w:rsid w:val="00F1064D"/>
    <w:rsid w:val="00F12F7C"/>
    <w:rsid w:val="00F15387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3D00"/>
    <w:rsid w:val="00F342F5"/>
    <w:rsid w:val="00F34BD1"/>
    <w:rsid w:val="00F35809"/>
    <w:rsid w:val="00F36066"/>
    <w:rsid w:val="00F406DF"/>
    <w:rsid w:val="00F41C43"/>
    <w:rsid w:val="00F47988"/>
    <w:rsid w:val="00F47CEF"/>
    <w:rsid w:val="00F47E16"/>
    <w:rsid w:val="00F518EC"/>
    <w:rsid w:val="00F52792"/>
    <w:rsid w:val="00F527D3"/>
    <w:rsid w:val="00F54ADD"/>
    <w:rsid w:val="00F54D8A"/>
    <w:rsid w:val="00F572C6"/>
    <w:rsid w:val="00F601EE"/>
    <w:rsid w:val="00F61EC0"/>
    <w:rsid w:val="00F664C5"/>
    <w:rsid w:val="00F67165"/>
    <w:rsid w:val="00F67BBF"/>
    <w:rsid w:val="00F7053C"/>
    <w:rsid w:val="00F705FE"/>
    <w:rsid w:val="00F70938"/>
    <w:rsid w:val="00F71ED5"/>
    <w:rsid w:val="00F71F54"/>
    <w:rsid w:val="00F73C8F"/>
    <w:rsid w:val="00F74B83"/>
    <w:rsid w:val="00F75122"/>
    <w:rsid w:val="00F762E3"/>
    <w:rsid w:val="00F81C6F"/>
    <w:rsid w:val="00F826A3"/>
    <w:rsid w:val="00F84840"/>
    <w:rsid w:val="00F863B3"/>
    <w:rsid w:val="00F86920"/>
    <w:rsid w:val="00F87FA2"/>
    <w:rsid w:val="00F90DB0"/>
    <w:rsid w:val="00F9502F"/>
    <w:rsid w:val="00F9553F"/>
    <w:rsid w:val="00F95F4B"/>
    <w:rsid w:val="00F9680D"/>
    <w:rsid w:val="00F97367"/>
    <w:rsid w:val="00F97A12"/>
    <w:rsid w:val="00FA1E43"/>
    <w:rsid w:val="00FA23AB"/>
    <w:rsid w:val="00FA6B8A"/>
    <w:rsid w:val="00FB0FBF"/>
    <w:rsid w:val="00FB12EE"/>
    <w:rsid w:val="00FB131D"/>
    <w:rsid w:val="00FB1B75"/>
    <w:rsid w:val="00FB1C9B"/>
    <w:rsid w:val="00FB2591"/>
    <w:rsid w:val="00FB2A16"/>
    <w:rsid w:val="00FB4E20"/>
    <w:rsid w:val="00FB6683"/>
    <w:rsid w:val="00FC2914"/>
    <w:rsid w:val="00FC3EF3"/>
    <w:rsid w:val="00FC58F9"/>
    <w:rsid w:val="00FC64C6"/>
    <w:rsid w:val="00FD0957"/>
    <w:rsid w:val="00FD0C8A"/>
    <w:rsid w:val="00FD1858"/>
    <w:rsid w:val="00FD1B7C"/>
    <w:rsid w:val="00FD1CD0"/>
    <w:rsid w:val="00FD3340"/>
    <w:rsid w:val="00FD352D"/>
    <w:rsid w:val="00FD4378"/>
    <w:rsid w:val="00FD5248"/>
    <w:rsid w:val="00FD5541"/>
    <w:rsid w:val="00FD5DCA"/>
    <w:rsid w:val="00FD73DC"/>
    <w:rsid w:val="00FE0DF0"/>
    <w:rsid w:val="00FE0E45"/>
    <w:rsid w:val="00FE2A73"/>
    <w:rsid w:val="00FE3907"/>
    <w:rsid w:val="00FE4170"/>
    <w:rsid w:val="00FE4F6D"/>
    <w:rsid w:val="00FE55F8"/>
    <w:rsid w:val="00FE70DF"/>
    <w:rsid w:val="00FF25A6"/>
    <w:rsid w:val="00FF3382"/>
    <w:rsid w:val="00FF645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870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50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2021</a:t>
            </a:r>
            <a:r>
              <a:rPr lang="es-PE" baseline="0" dirty="0"/>
              <a:t> - </a:t>
            </a:r>
            <a:r>
              <a:rPr lang="es-PE" dirty="0"/>
              <a:t>2023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0.29092919498774267"/>
          <c:y val="4.58675471372837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10A-4118-B20D-D488B4EA00E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10A-4118-B20D-D488B4EA00E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10A-4118-B20D-D488B4EA00E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10A-4118-B20D-D488B4EA00E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10A-4118-B20D-D488B4EA00E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10A-4118-B20D-D488B4EA00E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10A-4118-B20D-D488B4EA00E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10A-4118-B20D-D488B4EA00E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A10A-4118-B20D-D488B4EA00EA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10A-4118-B20D-D488B4EA00E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10A-4118-B20D-D488B4EA00E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10A-4118-B20D-D488B4EA00E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10A-4118-B20D-D488B4EA00E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10A-4118-B20D-D488B4EA00E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10A-4118-B20D-D488B4EA00E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A10A-4118-B20D-D488B4EA00E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10A-4118-B20D-D488B4EA00E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10A-4118-B20D-D488B4EA00E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10A-4118-B20D-D488B4EA00EA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A10A-4118-B20D-D488B4EA00EA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10A-4118-B20D-D488B4EA00EA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10A-4118-B20D-D488B4EA00EA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10A-4118-B20D-D488B4EA00EA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10A-4118-B20D-D488B4EA00EA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10A-4118-B20D-D488B4EA00EA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A10A-4118-B20D-D488B4EA00EA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10A-4118-B20D-D488B4EA00EA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A10A-4118-B20D-D488B4EA00EA}"/>
              </c:ext>
            </c:extLst>
          </c:dPt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0A-4118-B20D-D488B4EA00EA}"/>
                </c:ext>
              </c:extLst>
            </c:dLbl>
            <c:dLbl>
              <c:idx val="20"/>
              <c:layout>
                <c:manualLayout>
                  <c:x val="2.2833656810137305E-3"/>
                  <c:y val="-2.8557829604950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10A-4118-B20D-D488B4EA00EA}"/>
                </c:ext>
              </c:extLst>
            </c:dLbl>
            <c:dLbl>
              <c:idx val="3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10A-4118-B20D-D488B4EA00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Hoja1!$A$3:$A$70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Hoja1!$B$3:$B$70</c:f>
              <c:numCache>
                <c:formatCode>_ * #,##0_ ;_ * \-#,##0_ ;_ * "-"??_ ;_ @_ </c:formatCode>
                <c:ptCount val="33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12804.692265630001</c:v>
                </c:pt>
                <c:pt idx="13">
                  <c:v>10652.44664561</c:v>
                </c:pt>
                <c:pt idx="14">
                  <c:v>16488.103568888531</c:v>
                </c:pt>
                <c:pt idx="15">
                  <c:v>20914.053360369995</c:v>
                </c:pt>
                <c:pt idx="16">
                  <c:v>12643.416441649999</c:v>
                </c:pt>
                <c:pt idx="17">
                  <c:v>11041.045938049991</c:v>
                </c:pt>
                <c:pt idx="18">
                  <c:v>11273.26116718</c:v>
                </c:pt>
                <c:pt idx="19">
                  <c:v>12509.620812180001</c:v>
                </c:pt>
                <c:pt idx="20">
                  <c:v>12942.473119017004</c:v>
                </c:pt>
                <c:pt idx="21">
                  <c:v>12307.335348053719</c:v>
                </c:pt>
                <c:pt idx="22">
                  <c:v>12215.229231310001</c:v>
                </c:pt>
                <c:pt idx="23">
                  <c:v>11985.288275590829</c:v>
                </c:pt>
                <c:pt idx="24">
                  <c:v>13389.356106259998</c:v>
                </c:pt>
                <c:pt idx="25">
                  <c:v>11851.212694963722</c:v>
                </c:pt>
                <c:pt idx="26">
                  <c:v>15257.13897516</c:v>
                </c:pt>
                <c:pt idx="27">
                  <c:v>16542.7815825</c:v>
                </c:pt>
                <c:pt idx="28">
                  <c:v>11528</c:v>
                </c:pt>
                <c:pt idx="29">
                  <c:v>10102.408845049864</c:v>
                </c:pt>
                <c:pt idx="30">
                  <c:v>10384.761335141799</c:v>
                </c:pt>
                <c:pt idx="31">
                  <c:v>11279.187466271738</c:v>
                </c:pt>
                <c:pt idx="32">
                  <c:v>11054.92230894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A10A-4118-B20D-D488B4EA0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10A-4118-B20D-D488B4EA00EA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10A-4118-B20D-D488B4EA00EA}"/>
                </c:ext>
              </c:extLst>
            </c:dLbl>
            <c:dLbl>
              <c:idx val="32"/>
              <c:layout>
                <c:manualLayout>
                  <c:x val="-4.566731362027629E-2"/>
                  <c:y val="2.3798191337458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10A-4118-B20D-D488B4EA00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Hoja1!$A$3:$A$67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Hoja1!$C$3:$C$70</c:f>
              <c:numCache>
                <c:formatCode>0.0</c:formatCode>
                <c:ptCount val="33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11.31808981975353</c:v>
                </c:pt>
                <c:pt idx="13">
                  <c:v>5.2289299609186379</c:v>
                </c:pt>
                <c:pt idx="14">
                  <c:v>35.975500861394806</c:v>
                </c:pt>
                <c:pt idx="15">
                  <c:v>30.654722809497525</c:v>
                </c:pt>
                <c:pt idx="16">
                  <c:v>17.850529113710856</c:v>
                </c:pt>
                <c:pt idx="17">
                  <c:v>3.5999735893636142</c:v>
                </c:pt>
                <c:pt idx="18">
                  <c:v>0.2868542982429112</c:v>
                </c:pt>
                <c:pt idx="19">
                  <c:v>-17.478657872588688</c:v>
                </c:pt>
                <c:pt idx="20">
                  <c:v>5.0148873098266877</c:v>
                </c:pt>
                <c:pt idx="21">
                  <c:v>1.285764573339665</c:v>
                </c:pt>
                <c:pt idx="22">
                  <c:v>-13.522494995442313</c:v>
                </c:pt>
                <c:pt idx="23">
                  <c:v>-19.364959675063474</c:v>
                </c:pt>
                <c:pt idx="24">
                  <c:v>-3.7714831657014281</c:v>
                </c:pt>
                <c:pt idx="25">
                  <c:v>2.4000075873695126</c:v>
                </c:pt>
                <c:pt idx="26">
                  <c:v>-14.636775149535829</c:v>
                </c:pt>
                <c:pt idx="27">
                  <c:v>-26.736586331632274</c:v>
                </c:pt>
                <c:pt idx="28">
                  <c:v>-15.506310547410962</c:v>
                </c:pt>
                <c:pt idx="29">
                  <c:v>-14.054695427563413</c:v>
                </c:pt>
                <c:pt idx="30">
                  <c:v>-12.998558140259497</c:v>
                </c:pt>
                <c:pt idx="31">
                  <c:v>-14.598035667963183</c:v>
                </c:pt>
                <c:pt idx="32">
                  <c:v>-18.689001418847639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3-A10A-4118-B20D-D488B4EA00EA}"/>
            </c:ext>
          </c:extLst>
        </c:ser>
        <c:ser>
          <c:idx val="1"/>
          <c:order val="2"/>
          <c:tx>
            <c:v>serie</c:v>
          </c:tx>
          <c:spPr>
            <a:ln w="9525">
              <a:solidFill>
                <a:srgbClr val="0070C0"/>
              </a:solidFill>
              <a:prstDash val="dash"/>
            </a:ln>
          </c:spPr>
          <c:marker>
            <c:symbol val="none"/>
          </c:marker>
          <c:val>
            <c:numRef>
              <c:f>Hoja1!$D$38:$D$70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A10A-4118-B20D-D488B4EA0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488837468517428"/>
          <c:y val="0.92207849018872645"/>
          <c:w val="0.7346882984370231"/>
          <c:h val="7.0659640890914338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EE3-4C2E-8A2E-16EE2876F1E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EE3-4C2E-8A2E-16EE2876F1E7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EE3-4C2E-8A2E-16EE2876F1E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EE3-4C2E-8A2E-16EE2876F1E7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EE3-4C2E-8A2E-16EE2876F1E7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9EE3-4C2E-8A2E-16EE2876F1E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EE3-4C2E-8A2E-16EE2876F1E7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EE3-4C2E-8A2E-16EE2876F1E7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9EE3-4C2E-8A2E-16EE2876F1E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9EE3-4C2E-8A2E-16EE2876F1E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9EE3-4C2E-8A2E-16EE2876F1E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9EE3-4C2E-8A2E-16EE2876F1E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EE3-4C2E-8A2E-16EE2876F1E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EE3-4C2E-8A2E-16EE2876F1E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EE3-4C2E-8A2E-16EE2876F1E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EE3-4C2E-8A2E-16EE2876F1E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9EE3-4C2E-8A2E-16EE2876F1E7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9EE3-4C2E-8A2E-16EE2876F1E7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9EE3-4C2E-8A2E-16EE2876F1E7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9EE3-4C2E-8A2E-16EE2876F1E7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9EE3-4C2E-8A2E-16EE2876F1E7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EE3-4C2E-8A2E-16EE2876F1E7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9EE3-4C2E-8A2E-16EE2876F1E7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9EE3-4C2E-8A2E-16EE2876F1E7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9EE3-4C2E-8A2E-16EE2876F1E7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9EE3-4C2E-8A2E-16EE2876F1E7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B453-4B2E-A4BC-9C300AC0F921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65C9-4E83-9372-4999B3485541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F-B886-4D72-955C-F6D97F7BDDE1}"/>
              </c:ext>
            </c:extLst>
          </c:dPt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E3-4C2E-8A2E-16EE2876F1E7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EE3-4C2E-8A2E-16EE2876F1E7}"/>
                </c:ext>
              </c:extLst>
            </c:dLbl>
            <c:dLbl>
              <c:idx val="3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886-4D72-955C-F6D97F7BDD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Hoja1!$B$2:$B$58</c:f>
              <c:numCache>
                <c:formatCode>_ * #,##0_ ;_ * \-#,##0_ ;_ * "-"??_ ;_ @_ </c:formatCode>
                <c:ptCount val="33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5455.3902150000013</c:v>
                </c:pt>
                <c:pt idx="13">
                  <c:v>4269.6271683500017</c:v>
                </c:pt>
                <c:pt idx="14">
                  <c:v>10690.65227156</c:v>
                </c:pt>
                <c:pt idx="15">
                  <c:v>13604.517631609997</c:v>
                </c:pt>
                <c:pt idx="16">
                  <c:v>4678.8152603900007</c:v>
                </c:pt>
                <c:pt idx="17">
                  <c:v>4406.2783848900008</c:v>
                </c:pt>
                <c:pt idx="18">
                  <c:v>4218.2969078699989</c:v>
                </c:pt>
                <c:pt idx="19">
                  <c:v>4219.645626919998</c:v>
                </c:pt>
                <c:pt idx="20">
                  <c:v>4366.6837682200003</c:v>
                </c:pt>
                <c:pt idx="21">
                  <c:v>5011.9027635800003</c:v>
                </c:pt>
                <c:pt idx="22">
                  <c:v>4264.0878449000002</c:v>
                </c:pt>
                <c:pt idx="23">
                  <c:v>4735.6417137999979</c:v>
                </c:pt>
                <c:pt idx="24">
                  <c:v>5886.4057224299986</c:v>
                </c:pt>
                <c:pt idx="25">
                  <c:v>5171.7336311600002</c:v>
                </c:pt>
                <c:pt idx="26">
                  <c:v>8904.57399687</c:v>
                </c:pt>
                <c:pt idx="27">
                  <c:v>9694.011493330001</c:v>
                </c:pt>
                <c:pt idx="28">
                  <c:v>4205.1735714100005</c:v>
                </c:pt>
                <c:pt idx="29">
                  <c:v>3779.2984297100002</c:v>
                </c:pt>
                <c:pt idx="30">
                  <c:v>3959.8356118300007</c:v>
                </c:pt>
                <c:pt idx="31">
                  <c:v>4012.6605158500001</c:v>
                </c:pt>
                <c:pt idx="32">
                  <c:v>3932.3892847399989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886-4D72-955C-F6D97F7BDDE1}"/>
                </c:ext>
              </c:extLst>
            </c:dLbl>
            <c:dLbl>
              <c:idx val="20"/>
              <c:layout>
                <c:manualLayout>
                  <c:x val="-2.2393630256282656E-2"/>
                  <c:y val="-1.041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886-4D72-955C-F6D97F7BDDE1}"/>
                </c:ext>
              </c:extLst>
            </c:dLbl>
            <c:dLbl>
              <c:idx val="32"/>
              <c:layout>
                <c:manualLayout>
                  <c:x val="-5.4739985070913162E-2"/>
                  <c:y val="-5.7291666666666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886-4D72-955C-F6D97F7BDD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Hoja1!$C$2:$C$58</c:f>
              <c:numCache>
                <c:formatCode>0.0</c:formatCode>
                <c:ptCount val="33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15.429346056143501</c:v>
                </c:pt>
                <c:pt idx="13">
                  <c:v>8.8389766073256659</c:v>
                </c:pt>
                <c:pt idx="14">
                  <c:v>73.967188138020461</c:v>
                </c:pt>
                <c:pt idx="15">
                  <c:v>55.084206226302456</c:v>
                </c:pt>
                <c:pt idx="16">
                  <c:v>29.082548546419673</c:v>
                </c:pt>
                <c:pt idx="17">
                  <c:v>10.964996847799991</c:v>
                </c:pt>
                <c:pt idx="18">
                  <c:v>-6.8767816643242945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7.2202642219105995</c:v>
                </c:pt>
                <c:pt idx="22">
                  <c:v>-5.5670083946791848</c:v>
                </c:pt>
                <c:pt idx="23">
                  <c:v>-19.458701312724479</c:v>
                </c:pt>
                <c:pt idx="24">
                  <c:v>-0.70265935607963792</c:v>
                </c:pt>
                <c:pt idx="25">
                  <c:v>11.489189745414885</c:v>
                </c:pt>
                <c:pt idx="26">
                  <c:v>-23.161768330198473</c:v>
                </c:pt>
                <c:pt idx="27">
                  <c:v>-34.001022227376232</c:v>
                </c:pt>
                <c:pt idx="28">
                  <c:v>-16.698812087768356</c:v>
                </c:pt>
                <c:pt idx="29">
                  <c:v>-19.434948998957157</c:v>
                </c:pt>
                <c:pt idx="30">
                  <c:v>-11.341677236016679</c:v>
                </c:pt>
                <c:pt idx="31">
                  <c:v>-9.9278292033239683</c:v>
                </c:pt>
                <c:pt idx="32">
                  <c:v>-14.273393248325339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9EE3-4C2E-8A2E-16EE2876F1E7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Hoja1!$D$2:$D$58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D21-4290-8FD1-491482C27D7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D21-4290-8FD1-491482C27D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D21-4290-8FD1-491482C27D7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D21-4290-8FD1-491482C27D7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D21-4290-8FD1-491482C27D7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D21-4290-8FD1-491482C27D7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D21-4290-8FD1-491482C27D7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D21-4290-8FD1-491482C27D75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DD21-4290-8FD1-491482C27D7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D21-4290-8FD1-491482C27D75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D21-4290-8FD1-491482C27D7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D21-4290-8FD1-491482C27D7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D21-4290-8FD1-491482C27D75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DD21-4290-8FD1-491482C27D75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DD21-4290-8FD1-491482C27D75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DD21-4290-8FD1-491482C27D75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DD21-4290-8FD1-491482C27D7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DD21-4290-8FD1-491482C27D7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DD21-4290-8FD1-491482C27D75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DD21-4290-8FD1-491482C27D75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DD21-4290-8FD1-491482C27D75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DD21-4290-8FD1-491482C27D7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DD21-4290-8FD1-491482C27D75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DD21-4290-8FD1-491482C27D75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DD21-4290-8FD1-491482C27D75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DD21-4290-8FD1-491482C27D75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ADD6-4682-B037-13E444BD62D7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0425-45F9-8381-6FF3EDEBFD9B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F-75F7-4D78-99AE-7D1D24E94A68}"/>
              </c:ext>
            </c:extLst>
          </c:dPt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21-4290-8FD1-491482C27D75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D21-4290-8FD1-491482C27D75}"/>
                </c:ext>
              </c:extLst>
            </c:dLbl>
            <c:dLbl>
              <c:idx val="3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5F7-4D78-99AE-7D1D24E94A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Hoja1!$B$2:$B$58</c:f>
              <c:numCache>
                <c:formatCode>_ * #,##0_ ;_ * \-#,##0_ ;_ * "-"??_ ;_ @_ </c:formatCode>
                <c:ptCount val="33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6495.0821647086941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8248.4253892669476</c:v>
                </c:pt>
                <c:pt idx="20">
                  <c:v>7878.46595897916</c:v>
                </c:pt>
                <c:pt idx="21">
                  <c:v>7570.2773743994903</c:v>
                </c:pt>
                <c:pt idx="22">
                  <c:v>7704.988486291666</c:v>
                </c:pt>
                <c:pt idx="23">
                  <c:v>7051.8799201166976</c:v>
                </c:pt>
                <c:pt idx="24">
                  <c:v>7937.2199861947529</c:v>
                </c:pt>
                <c:pt idx="25">
                  <c:v>6567.5429748180668</c:v>
                </c:pt>
                <c:pt idx="26">
                  <c:v>6907.6321761391991</c:v>
                </c:pt>
                <c:pt idx="27">
                  <c:v>6255.687667849571</c:v>
                </c:pt>
                <c:pt idx="28">
                  <c:v>7081</c:v>
                </c:pt>
                <c:pt idx="29">
                  <c:v>6491.1812952833498</c:v>
                </c:pt>
                <c:pt idx="30">
                  <c:v>6775.0160728558149</c:v>
                </c:pt>
                <c:pt idx="31">
                  <c:v>7104.4114285324122</c:v>
                </c:pt>
                <c:pt idx="32">
                  <c:v>6877.9680582199999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5F7-4D78-99AE-7D1D24E94A68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5F7-4D78-99AE-7D1D24E94A68}"/>
                </c:ext>
              </c:extLst>
            </c:dLbl>
            <c:dLbl>
              <c:idx val="32"/>
              <c:layout>
                <c:manualLayout>
                  <c:x val="-5.5401662049861494E-2"/>
                  <c:y val="-2.834467120181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5F7-4D78-99AE-7D1D24E94A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Hoja1!$C$2:$C$58</c:f>
              <c:numCache>
                <c:formatCode>0.0</c:formatCode>
                <c:ptCount val="33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16.907771790801963</c:v>
                </c:pt>
                <c:pt idx="13">
                  <c:v>8.8078159080318343</c:v>
                </c:pt>
                <c:pt idx="14">
                  <c:v>8.1054737731597992</c:v>
                </c:pt>
                <c:pt idx="15">
                  <c:v>9.3688538410029221</c:v>
                </c:pt>
                <c:pt idx="16">
                  <c:v>15.487155652260153</c:v>
                </c:pt>
                <c:pt idx="17">
                  <c:v>2.7879582382656309</c:v>
                </c:pt>
                <c:pt idx="18">
                  <c:v>4.5337591656852139</c:v>
                </c:pt>
                <c:pt idx="19">
                  <c:v>8.6415623277861453</c:v>
                </c:pt>
                <c:pt idx="20">
                  <c:v>5.7679649106155528</c:v>
                </c:pt>
                <c:pt idx="21">
                  <c:v>6.3447713352839052</c:v>
                </c:pt>
                <c:pt idx="22">
                  <c:v>-5.1131700223851713</c:v>
                </c:pt>
                <c:pt idx="23">
                  <c:v>-16.35682975605728</c:v>
                </c:pt>
                <c:pt idx="24">
                  <c:v>-6.8069850954073807</c:v>
                </c:pt>
                <c:pt idx="25">
                  <c:v>-6.9310449468802933</c:v>
                </c:pt>
                <c:pt idx="26">
                  <c:v>-9.4419996888319151</c:v>
                </c:pt>
                <c:pt idx="27">
                  <c:v>-16.918226350795752</c:v>
                </c:pt>
                <c:pt idx="28">
                  <c:v>-12.7</c:v>
                </c:pt>
                <c:pt idx="29">
                  <c:v>-11.652904122005426</c:v>
                </c:pt>
                <c:pt idx="30">
                  <c:v>-9.7228335702008053</c:v>
                </c:pt>
                <c:pt idx="31">
                  <c:v>-18.418582948978667</c:v>
                </c:pt>
                <c:pt idx="32">
                  <c:v>-16.89457721831673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DD21-4290-8FD1-491482C27D7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Hoja1!$D$2:$D$58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39773814339"/>
          <c:y val="0.25506406373759494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EF-49D9-80BA-BA5E5E0CB65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EF-49D9-80BA-BA5E5E0CB6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8EF-49D9-80BA-BA5E5E0CB65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EF-49D9-80BA-BA5E5E0CB65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8EF-49D9-80BA-BA5E5E0CB65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8EF-49D9-80BA-BA5E5E0CB65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8EF-49D9-80BA-BA5E5E0CB65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8EF-49D9-80BA-BA5E5E0CB65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A8EF-49D9-80BA-BA5E5E0CB65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8EF-49D9-80BA-BA5E5E0CB65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8EF-49D9-80BA-BA5E5E0CB65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8EF-49D9-80BA-BA5E5E0CB65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8EF-49D9-80BA-BA5E5E0CB65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8EF-49D9-80BA-BA5E5E0CB65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8EF-49D9-80BA-BA5E5E0CB65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8EF-49D9-80BA-BA5E5E0CB65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8EF-49D9-80BA-BA5E5E0CB65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8EF-49D9-80BA-BA5E5E0CB65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A8EF-49D9-80BA-BA5E5E0CB65B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A8EF-49D9-80BA-BA5E5E0CB65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8EF-49D9-80BA-BA5E5E0CB65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8EF-49D9-80BA-BA5E5E0CB65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8EF-49D9-80BA-BA5E5E0CB65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8EF-49D9-80BA-BA5E5E0CB65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8EF-49D9-80BA-BA5E5E0CB65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8EF-49D9-80BA-BA5E5E0CB65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24DA-451A-BBE8-33955B88F80F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288D-49A7-855B-EB0E8C3322B9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F-4F49-4597-A511-8EBD09C886BB}"/>
              </c:ext>
            </c:extLst>
          </c:dPt>
          <c:dLbls>
            <c:dLbl>
              <c:idx val="8"/>
              <c:layout>
                <c:manualLayout>
                  <c:x val="0"/>
                  <c:y val="-3.550295857988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EF-49D9-80BA-BA5E5E0CB65B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8EF-49D9-80BA-BA5E5E0CB65B}"/>
                </c:ext>
              </c:extLst>
            </c:dLbl>
            <c:dLbl>
              <c:idx val="3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F49-4597-A511-8EBD09C886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Hoja1!$B$2:$B$58</c:f>
              <c:numCache>
                <c:formatCode>_ * #,##0_ ;_ * \-#,##0_ ;_ * "-"??_ ;_ @_ </c:formatCode>
                <c:ptCount val="33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923.88320605000024</c:v>
                </c:pt>
                <c:pt idx="13">
                  <c:v>803.16341792999981</c:v>
                </c:pt>
                <c:pt idx="14">
                  <c:v>645.61855411466479</c:v>
                </c:pt>
                <c:pt idx="15">
                  <c:v>843.29260213167834</c:v>
                </c:pt>
                <c:pt idx="16">
                  <c:v>572.24213474692351</c:v>
                </c:pt>
                <c:pt idx="17">
                  <c:v>530.68895388178851</c:v>
                </c:pt>
                <c:pt idx="18">
                  <c:v>549.08954829281458</c:v>
                </c:pt>
                <c:pt idx="19">
                  <c:v>812.20006718661091</c:v>
                </c:pt>
                <c:pt idx="20">
                  <c:v>842.70640650652558</c:v>
                </c:pt>
                <c:pt idx="21">
                  <c:v>818.86550608000016</c:v>
                </c:pt>
                <c:pt idx="22">
                  <c:v>861.02382519608875</c:v>
                </c:pt>
                <c:pt idx="23">
                  <c:v>822.8154959200001</c:v>
                </c:pt>
                <c:pt idx="24">
                  <c:v>817.24611390999974</c:v>
                </c:pt>
                <c:pt idx="25">
                  <c:v>756.13355803000002</c:v>
                </c:pt>
                <c:pt idx="26">
                  <c:v>752.44119710408995</c:v>
                </c:pt>
                <c:pt idx="27">
                  <c:v>709.75602995999986</c:v>
                </c:pt>
                <c:pt idx="28">
                  <c:v>711</c:v>
                </c:pt>
                <c:pt idx="29">
                  <c:v>760.82716138522414</c:v>
                </c:pt>
                <c:pt idx="30">
                  <c:v>866.81781383323096</c:v>
                </c:pt>
                <c:pt idx="31">
                  <c:v>824.60252951822588</c:v>
                </c:pt>
                <c:pt idx="32">
                  <c:v>771.80467104000002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F49-4597-A511-8EBD09C886BB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F49-4597-A511-8EBD09C886BB}"/>
                </c:ext>
              </c:extLst>
            </c:dLbl>
            <c:dLbl>
              <c:idx val="32"/>
              <c:layout>
                <c:manualLayout>
                  <c:x val="-4.91654806572650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F49-4597-A511-8EBD09C886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Hoja1!$C$2:$C$58</c:f>
              <c:numCache>
                <c:formatCode>0.0</c:formatCode>
                <c:ptCount val="33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8.5913388348930031</c:v>
                </c:pt>
                <c:pt idx="14">
                  <c:v>-14.815466968212231</c:v>
                </c:pt>
                <c:pt idx="15">
                  <c:v>11.085649163178601</c:v>
                </c:pt>
                <c:pt idx="16">
                  <c:v>-19.8354644386175</c:v>
                </c:pt>
                <c:pt idx="17">
                  <c:v>-28.237554573285518</c:v>
                </c:pt>
                <c:pt idx="18">
                  <c:v>-30.216010330461561</c:v>
                </c:pt>
                <c:pt idx="19">
                  <c:v>-8.5422516829971364</c:v>
                </c:pt>
                <c:pt idx="20">
                  <c:v>4.6720604719719727</c:v>
                </c:pt>
                <c:pt idx="21">
                  <c:v>-5.6924708718805501</c:v>
                </c:pt>
                <c:pt idx="22">
                  <c:v>-6.7552410508057275</c:v>
                </c:pt>
                <c:pt idx="23">
                  <c:v>-12.564390479174293</c:v>
                </c:pt>
                <c:pt idx="24">
                  <c:v>-18.595383140741394</c:v>
                </c:pt>
                <c:pt idx="25">
                  <c:v>-13.347487896693966</c:v>
                </c:pt>
                <c:pt idx="26">
                  <c:v>7.5139903622241988</c:v>
                </c:pt>
                <c:pt idx="27">
                  <c:v>-22.044344628214475</c:v>
                </c:pt>
                <c:pt idx="28">
                  <c:v>15.1</c:v>
                </c:pt>
                <c:pt idx="29">
                  <c:v>34.66458336205487</c:v>
                </c:pt>
                <c:pt idx="30">
                  <c:v>49.095367329674701</c:v>
                </c:pt>
                <c:pt idx="31">
                  <c:v>-3.8352664986270213</c:v>
                </c:pt>
                <c:pt idx="32">
                  <c:v>-12.814958509572417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A8EF-49D9-80BA-BA5E5E0CB65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Hoja1!$D$2:$D$58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71F-47A0-9AF5-A776BE1DC5C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71F-47A0-9AF5-A776BE1DC5C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71F-47A0-9AF5-A776BE1DC5C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71F-47A0-9AF5-A776BE1DC5C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71F-47A0-9AF5-A776BE1DC5C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71F-47A0-9AF5-A776BE1DC5C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71F-47A0-9AF5-A776BE1DC5C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71F-47A0-9AF5-A776BE1DC5C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171F-47A0-9AF5-A776BE1DC5C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71F-47A0-9AF5-A776BE1DC5C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71F-47A0-9AF5-A776BE1DC5C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71F-47A0-9AF5-A776BE1DC5C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71F-47A0-9AF5-A776BE1DC5C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171F-47A0-9AF5-A776BE1DC5C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71F-47A0-9AF5-A776BE1DC5C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71F-47A0-9AF5-A776BE1DC5C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71F-47A0-9AF5-A776BE1DC5C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71F-47A0-9AF5-A776BE1DC5CA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171F-47A0-9AF5-A776BE1DC5CA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71F-47A0-9AF5-A776BE1DC5CA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71F-47A0-9AF5-A776BE1DC5CA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171F-47A0-9AF5-A776BE1DC5CA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71F-47A0-9AF5-A776BE1DC5CA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71F-47A0-9AF5-A776BE1DC5CA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B8CA-4A00-A1F9-1880734DCBCC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057A-4BD7-8A00-7E1DCDB7B3C6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1FEC-4EF7-A258-E9D1D92916AD}"/>
              </c:ext>
            </c:extLst>
          </c:dPt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1F-47A0-9AF5-A776BE1DC5CA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71F-47A0-9AF5-A776BE1DC5CA}"/>
                </c:ext>
              </c:extLst>
            </c:dLbl>
            <c:dLbl>
              <c:idx val="3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FEC-4EF7-A258-E9D1D92916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Hoja1!$B$2:$B$58</c:f>
              <c:numCache>
                <c:formatCode>_ * #,##0_ ;_ * \-#,##0_ ;_ * "-"??_ ;_ @_ </c:formatCode>
                <c:ptCount val="33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2205.9801578299998</c:v>
                </c:pt>
                <c:pt idx="13">
                  <c:v>1743.8910244000001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2155.3456029200001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2487.2657001099997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1958.2098802999999</c:v>
                </c:pt>
                <c:pt idx="25">
                  <c:v>1408.97123031</c:v>
                </c:pt>
                <c:pt idx="26">
                  <c:v>2082.0103981100001</c:v>
                </c:pt>
                <c:pt idx="27">
                  <c:v>2005.6983144200001</c:v>
                </c:pt>
                <c:pt idx="28">
                  <c:v>2081.1999999999998</c:v>
                </c:pt>
                <c:pt idx="29">
                  <c:v>2267.9880878200001</c:v>
                </c:pt>
                <c:pt idx="30">
                  <c:v>2674.60868037</c:v>
                </c:pt>
                <c:pt idx="31">
                  <c:v>2330.1237021699999</c:v>
                </c:pt>
                <c:pt idx="32">
                  <c:v>1872.6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layout>
                <c:manualLayout>
                  <c:x val="-3.8880248833592583E-2"/>
                  <c:y val="1.607717041800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FEC-4EF7-A258-E9D1D92916AD}"/>
                </c:ext>
              </c:extLst>
            </c:dLbl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FEC-4EF7-A258-E9D1D92916AD}"/>
                </c:ext>
              </c:extLst>
            </c:dLbl>
            <c:dLbl>
              <c:idx val="32"/>
              <c:layout>
                <c:manualLayout>
                  <c:x val="-4.4064282011404873E-2"/>
                  <c:y val="-1.607717041800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FEC-4EF7-A258-E9D1D92916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Hoja1!$C$2:$C$58</c:f>
              <c:numCache>
                <c:formatCode>0.0</c:formatCode>
                <c:ptCount val="33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52.231732308452528</c:v>
                </c:pt>
                <c:pt idx="13">
                  <c:v>40.400642007724997</c:v>
                </c:pt>
                <c:pt idx="14">
                  <c:v>44.606948482440686</c:v>
                </c:pt>
                <c:pt idx="15">
                  <c:v>36.806169430291867</c:v>
                </c:pt>
                <c:pt idx="16">
                  <c:v>10.347899665355897</c:v>
                </c:pt>
                <c:pt idx="17">
                  <c:v>-0.11948545414367517</c:v>
                </c:pt>
                <c:pt idx="18">
                  <c:v>-15.175502088740133</c:v>
                </c:pt>
                <c:pt idx="19">
                  <c:v>39.264389885606654</c:v>
                </c:pt>
                <c:pt idx="20">
                  <c:v>-3.5673408504720228</c:v>
                </c:pt>
                <c:pt idx="21">
                  <c:v>34.27014120499463</c:v>
                </c:pt>
                <c:pt idx="22">
                  <c:v>21.323291183201974</c:v>
                </c:pt>
                <c:pt idx="23">
                  <c:v>0.72514948519277755</c:v>
                </c:pt>
                <c:pt idx="24">
                  <c:v>-18.3096266468092</c:v>
                </c:pt>
                <c:pt idx="25">
                  <c:v>-25.634869072656041</c:v>
                </c:pt>
                <c:pt idx="26">
                  <c:v>-33.792202255092519</c:v>
                </c:pt>
                <c:pt idx="27">
                  <c:v>-23.876063112470934</c:v>
                </c:pt>
                <c:pt idx="28">
                  <c:v>12.138332070549328</c:v>
                </c:pt>
                <c:pt idx="29">
                  <c:v>-1.1603309205536649</c:v>
                </c:pt>
                <c:pt idx="30">
                  <c:v>36.99778243681704</c:v>
                </c:pt>
                <c:pt idx="31">
                  <c:v>-3.220252375504451</c:v>
                </c:pt>
                <c:pt idx="32">
                  <c:v>8.8052632815102339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F-171F-47A0-9AF5-A776BE1DC5C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Hoja1!$A$2:$A$58</c:f>
              <c:strCache>
                <c:ptCount val="33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Hoja1!$D$2:$D$58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253B-2A3B-4217-9B72-A124E4E6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8</cp:revision>
  <cp:lastPrinted>2023-02-03T18:20:00Z</cp:lastPrinted>
  <dcterms:created xsi:type="dcterms:W3CDTF">2023-10-09T01:28:00Z</dcterms:created>
  <dcterms:modified xsi:type="dcterms:W3CDTF">2023-10-10T18:53:00Z</dcterms:modified>
</cp:coreProperties>
</file>