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C8FF1" w14:textId="61C4F9F1" w:rsidR="00996A9D" w:rsidRPr="001F6EC8" w:rsidRDefault="001F6EC8" w:rsidP="001F6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contextualSpacing/>
        <w:jc w:val="right"/>
        <w:rPr>
          <w:rFonts w:ascii="Arial" w:eastAsia="Arial" w:hAnsi="Arial" w:cs="Arial"/>
          <w:bCs/>
          <w:iCs/>
          <w:caps/>
          <w:sz w:val="24"/>
          <w:szCs w:val="24"/>
        </w:rPr>
      </w:pPr>
      <w:r w:rsidRPr="001F6EC8">
        <w:rPr>
          <w:rFonts w:ascii="Arial" w:eastAsia="Arial" w:hAnsi="Arial" w:cs="Arial"/>
          <w:bCs/>
          <w:iCs/>
          <w:sz w:val="24"/>
          <w:szCs w:val="24"/>
        </w:rPr>
        <w:t>Nota de prensa n° 05</w:t>
      </w:r>
      <w:r w:rsidR="00FE647D">
        <w:rPr>
          <w:rFonts w:ascii="Arial" w:eastAsia="Arial" w:hAnsi="Arial" w:cs="Arial"/>
          <w:bCs/>
          <w:iCs/>
          <w:sz w:val="24"/>
          <w:szCs w:val="24"/>
        </w:rPr>
        <w:t>9</w:t>
      </w:r>
    </w:p>
    <w:p w14:paraId="631712A2" w14:textId="77777777" w:rsidR="001F6EC8" w:rsidRPr="00996A9D" w:rsidRDefault="001F6EC8" w:rsidP="001F6EC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contextualSpacing/>
        <w:jc w:val="right"/>
        <w:rPr>
          <w:rFonts w:ascii="Arial" w:eastAsia="Arial" w:hAnsi="Arial" w:cs="Arial"/>
          <w:b/>
          <w:iCs/>
          <w:caps/>
          <w:sz w:val="24"/>
          <w:szCs w:val="24"/>
        </w:rPr>
      </w:pPr>
    </w:p>
    <w:p w14:paraId="32C6453D" w14:textId="744E8FB9" w:rsidR="009162C5" w:rsidRPr="00AA607D" w:rsidRDefault="00754A2C" w:rsidP="000A452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68"/>
        <w:contextualSpacing/>
        <w:jc w:val="center"/>
        <w:rPr>
          <w:rFonts w:ascii="Arial" w:eastAsia="Arial" w:hAnsi="Arial" w:cs="Arial"/>
          <w:b/>
          <w:iCs/>
          <w:caps/>
          <w:sz w:val="36"/>
          <w:szCs w:val="36"/>
        </w:rPr>
      </w:pPr>
      <w:r w:rsidRPr="00AA607D">
        <w:rPr>
          <w:rFonts w:ascii="Arial" w:eastAsia="Arial" w:hAnsi="Arial" w:cs="Arial"/>
          <w:b/>
          <w:iCs/>
          <w:caps/>
          <w:sz w:val="36"/>
          <w:szCs w:val="36"/>
        </w:rPr>
        <w:t>LOS</w:t>
      </w:r>
      <w:r w:rsidR="00027050" w:rsidRPr="00AA607D">
        <w:rPr>
          <w:rFonts w:ascii="Arial" w:eastAsia="Arial" w:hAnsi="Arial" w:cs="Arial"/>
          <w:b/>
          <w:iCs/>
          <w:caps/>
          <w:sz w:val="36"/>
          <w:szCs w:val="36"/>
        </w:rPr>
        <w:t xml:space="preserve"> </w:t>
      </w:r>
      <w:r w:rsidR="0021750A" w:rsidRPr="00AA607D">
        <w:rPr>
          <w:rFonts w:ascii="Arial" w:eastAsia="Arial" w:hAnsi="Arial" w:cs="Arial"/>
          <w:b/>
          <w:iCs/>
          <w:caps/>
          <w:sz w:val="36"/>
          <w:szCs w:val="36"/>
        </w:rPr>
        <w:t xml:space="preserve">INGRESOS </w:t>
      </w:r>
      <w:r w:rsidRPr="00AA607D">
        <w:rPr>
          <w:rFonts w:ascii="Arial" w:eastAsia="Arial" w:hAnsi="Arial" w:cs="Arial"/>
          <w:b/>
          <w:iCs/>
          <w:caps/>
          <w:sz w:val="36"/>
          <w:szCs w:val="36"/>
        </w:rPr>
        <w:t xml:space="preserve">TRIBUTARIOS </w:t>
      </w:r>
      <w:r w:rsidR="003D5D5B" w:rsidRPr="00AA607D">
        <w:rPr>
          <w:rFonts w:ascii="Arial" w:eastAsia="Arial" w:hAnsi="Arial" w:cs="Arial"/>
          <w:b/>
          <w:iCs/>
          <w:caps/>
          <w:sz w:val="36"/>
          <w:szCs w:val="36"/>
        </w:rPr>
        <w:t>ALCANZA</w:t>
      </w:r>
      <w:r w:rsidR="00C87538" w:rsidRPr="00AA607D">
        <w:rPr>
          <w:rFonts w:ascii="Arial" w:eastAsia="Arial" w:hAnsi="Arial" w:cs="Arial"/>
          <w:b/>
          <w:iCs/>
          <w:caps/>
          <w:sz w:val="36"/>
          <w:szCs w:val="36"/>
        </w:rPr>
        <w:t>R</w:t>
      </w:r>
      <w:r w:rsidR="003D5D5B" w:rsidRPr="00AA607D">
        <w:rPr>
          <w:rFonts w:ascii="Arial" w:eastAsia="Arial" w:hAnsi="Arial" w:cs="Arial"/>
          <w:b/>
          <w:iCs/>
          <w:caps/>
          <w:sz w:val="36"/>
          <w:szCs w:val="36"/>
        </w:rPr>
        <w:t xml:space="preserve">ON LOS s/ </w:t>
      </w:r>
      <w:r w:rsidR="003B282C" w:rsidRPr="00AA607D">
        <w:rPr>
          <w:rFonts w:ascii="Arial" w:eastAsia="Arial" w:hAnsi="Arial" w:cs="Arial"/>
          <w:b/>
          <w:iCs/>
          <w:caps/>
          <w:sz w:val="36"/>
          <w:szCs w:val="36"/>
        </w:rPr>
        <w:t>1</w:t>
      </w:r>
      <w:r w:rsidR="00B52A53" w:rsidRPr="00AA607D">
        <w:rPr>
          <w:rFonts w:ascii="Arial" w:eastAsia="Arial" w:hAnsi="Arial" w:cs="Arial"/>
          <w:b/>
          <w:iCs/>
          <w:caps/>
          <w:sz w:val="36"/>
          <w:szCs w:val="36"/>
        </w:rPr>
        <w:t>1</w:t>
      </w:r>
      <w:r w:rsidR="00A566AC" w:rsidRPr="00AA607D">
        <w:rPr>
          <w:rFonts w:ascii="Arial" w:eastAsia="Arial" w:hAnsi="Arial" w:cs="Arial"/>
          <w:b/>
          <w:iCs/>
          <w:caps/>
          <w:sz w:val="36"/>
          <w:szCs w:val="36"/>
        </w:rPr>
        <w:t xml:space="preserve"> </w:t>
      </w:r>
      <w:r w:rsidR="002C197B" w:rsidRPr="00AA607D">
        <w:rPr>
          <w:rFonts w:ascii="Arial" w:eastAsia="Arial" w:hAnsi="Arial" w:cs="Arial"/>
          <w:b/>
          <w:iCs/>
          <w:caps/>
          <w:sz w:val="36"/>
          <w:szCs w:val="36"/>
        </w:rPr>
        <w:t>2</w:t>
      </w:r>
      <w:r w:rsidR="000F1AD9">
        <w:rPr>
          <w:rFonts w:ascii="Arial" w:eastAsia="Arial" w:hAnsi="Arial" w:cs="Arial"/>
          <w:b/>
          <w:iCs/>
          <w:caps/>
          <w:sz w:val="36"/>
          <w:szCs w:val="36"/>
        </w:rPr>
        <w:t>79</w:t>
      </w:r>
      <w:r w:rsidR="00A566AC" w:rsidRPr="00AA607D">
        <w:rPr>
          <w:rFonts w:ascii="Arial" w:eastAsia="Arial" w:hAnsi="Arial" w:cs="Arial"/>
          <w:b/>
          <w:iCs/>
          <w:caps/>
          <w:sz w:val="36"/>
          <w:szCs w:val="36"/>
        </w:rPr>
        <w:t xml:space="preserve"> </w:t>
      </w:r>
      <w:r w:rsidR="003D5D5B" w:rsidRPr="00AA607D">
        <w:rPr>
          <w:rFonts w:ascii="Arial" w:eastAsia="Arial" w:hAnsi="Arial" w:cs="Arial"/>
          <w:b/>
          <w:iCs/>
          <w:caps/>
          <w:sz w:val="36"/>
          <w:szCs w:val="36"/>
        </w:rPr>
        <w:t>MILLONES</w:t>
      </w:r>
      <w:r w:rsidR="009F7DD5" w:rsidRPr="00AA607D">
        <w:rPr>
          <w:rFonts w:ascii="Arial" w:eastAsia="Arial" w:hAnsi="Arial" w:cs="Arial"/>
          <w:b/>
          <w:iCs/>
          <w:caps/>
          <w:sz w:val="36"/>
          <w:szCs w:val="36"/>
        </w:rPr>
        <w:t xml:space="preserve"> EN AGOSTO</w:t>
      </w:r>
    </w:p>
    <w:p w14:paraId="6249EDDA" w14:textId="6FFAA701" w:rsidR="009F7DD5" w:rsidRPr="00AA607D" w:rsidRDefault="009F7DD5" w:rsidP="009F7DD5">
      <w:pPr>
        <w:spacing w:after="0" w:line="240" w:lineRule="auto"/>
        <w:jc w:val="both"/>
        <w:rPr>
          <w:rFonts w:ascii="Arial" w:hAnsi="Arial" w:cs="Arial"/>
          <w:noProof/>
        </w:rPr>
      </w:pPr>
    </w:p>
    <w:p w14:paraId="7DE5C353" w14:textId="700B9F4B" w:rsidR="00F03538" w:rsidRPr="00AA607D" w:rsidRDefault="00F03538" w:rsidP="00AA607D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  <w:bCs/>
          <w:i/>
          <w:iCs/>
          <w:noProof/>
        </w:rPr>
      </w:pPr>
      <w:r w:rsidRPr="00AA607D">
        <w:rPr>
          <w:rFonts w:ascii="Arial" w:hAnsi="Arial" w:cs="Arial"/>
          <w:b/>
          <w:bCs/>
          <w:i/>
          <w:iCs/>
          <w:noProof/>
        </w:rPr>
        <w:t>Pagos extraordinarios tuvieron un aumento en el mes por las acciones de control desarrolladas por la SUNAT.</w:t>
      </w:r>
    </w:p>
    <w:p w14:paraId="03E09FB1" w14:textId="77777777" w:rsidR="00F03538" w:rsidRDefault="00F03538" w:rsidP="009F7DD5">
      <w:pPr>
        <w:spacing w:after="0" w:line="240" w:lineRule="auto"/>
        <w:jc w:val="both"/>
        <w:rPr>
          <w:rFonts w:ascii="Arial Nova" w:hAnsi="Arial Nova" w:cs="Arial"/>
          <w:noProof/>
          <w:sz w:val="24"/>
          <w:szCs w:val="24"/>
        </w:rPr>
      </w:pPr>
    </w:p>
    <w:p w14:paraId="79BFA9C6" w14:textId="04881ECA" w:rsidR="00CB431F" w:rsidRDefault="007E3BA2" w:rsidP="00CB431F">
      <w:pPr>
        <w:spacing w:after="0" w:line="240" w:lineRule="auto"/>
        <w:jc w:val="both"/>
        <w:rPr>
          <w:rFonts w:ascii="Arial" w:eastAsia="Arial" w:hAnsi="Arial" w:cs="Arial"/>
          <w:bCs/>
        </w:rPr>
      </w:pPr>
      <w:r w:rsidRPr="00AA607D">
        <w:rPr>
          <w:rFonts w:ascii="Arial" w:hAnsi="Arial" w:cs="Arial"/>
          <w:noProof/>
        </w:rPr>
        <w:t xml:space="preserve">La recaudación de </w:t>
      </w:r>
      <w:r w:rsidR="00B52A53" w:rsidRPr="00AA607D">
        <w:rPr>
          <w:rFonts w:ascii="Arial" w:hAnsi="Arial" w:cs="Arial"/>
          <w:noProof/>
        </w:rPr>
        <w:t xml:space="preserve">agosto </w:t>
      </w:r>
      <w:r w:rsidRPr="00AA607D">
        <w:rPr>
          <w:rFonts w:ascii="Arial" w:hAnsi="Arial" w:cs="Arial"/>
          <w:noProof/>
        </w:rPr>
        <w:t xml:space="preserve">del 2023 alcanzó los S/ </w:t>
      </w:r>
      <w:r w:rsidR="003B282C" w:rsidRPr="00AA607D">
        <w:rPr>
          <w:rFonts w:ascii="Arial" w:hAnsi="Arial" w:cs="Arial"/>
          <w:noProof/>
        </w:rPr>
        <w:t>1</w:t>
      </w:r>
      <w:r w:rsidR="00B52A53" w:rsidRPr="00AA607D">
        <w:rPr>
          <w:rFonts w:ascii="Arial" w:hAnsi="Arial" w:cs="Arial"/>
          <w:noProof/>
        </w:rPr>
        <w:t>1</w:t>
      </w:r>
      <w:r w:rsidR="00007635">
        <w:rPr>
          <w:rFonts w:ascii="Arial" w:hAnsi="Arial" w:cs="Arial"/>
          <w:noProof/>
        </w:rPr>
        <w:t xml:space="preserve"> </w:t>
      </w:r>
      <w:r w:rsidR="002C197B" w:rsidRPr="00AA607D">
        <w:rPr>
          <w:rFonts w:ascii="Arial" w:hAnsi="Arial" w:cs="Arial"/>
          <w:noProof/>
        </w:rPr>
        <w:t>2</w:t>
      </w:r>
      <w:r w:rsidR="000F1AD9">
        <w:rPr>
          <w:rFonts w:ascii="Arial" w:hAnsi="Arial" w:cs="Arial"/>
          <w:noProof/>
        </w:rPr>
        <w:t>79</w:t>
      </w:r>
      <w:r w:rsidRPr="00AA607D">
        <w:rPr>
          <w:rFonts w:ascii="Arial" w:hAnsi="Arial" w:cs="Arial"/>
          <w:noProof/>
        </w:rPr>
        <w:t xml:space="preserve"> millones de ingresos tributarios del Gobierno Central Netos (descontando las devoluciones de impuestos).</w:t>
      </w:r>
      <w:r w:rsidR="009F7DD5" w:rsidRPr="00AA607D">
        <w:rPr>
          <w:rFonts w:ascii="Arial" w:eastAsia="Arial" w:hAnsi="Arial" w:cs="Arial"/>
          <w:b/>
        </w:rPr>
        <w:t xml:space="preserve"> </w:t>
      </w:r>
      <w:r w:rsidR="00AA607D">
        <w:rPr>
          <w:rFonts w:ascii="Arial" w:eastAsia="Arial" w:hAnsi="Arial" w:cs="Arial"/>
          <w:bCs/>
        </w:rPr>
        <w:t>Dicho</w:t>
      </w:r>
      <w:r w:rsidR="009F7DD5" w:rsidRPr="00AA607D">
        <w:rPr>
          <w:rFonts w:ascii="Arial" w:eastAsia="Arial" w:hAnsi="Arial" w:cs="Arial"/>
          <w:bCs/>
        </w:rPr>
        <w:t xml:space="preserve"> resultado fue condicionado por la menor dinámica económica</w:t>
      </w:r>
      <w:r w:rsidR="001F73DA" w:rsidRPr="00AA607D">
        <w:rPr>
          <w:rFonts w:ascii="Arial" w:eastAsia="Arial" w:hAnsi="Arial" w:cs="Arial"/>
          <w:bCs/>
        </w:rPr>
        <w:t xml:space="preserve">, </w:t>
      </w:r>
      <w:r w:rsidR="009F7DD5" w:rsidRPr="00AA607D">
        <w:rPr>
          <w:rFonts w:ascii="Arial" w:eastAsia="Arial" w:hAnsi="Arial" w:cs="Arial"/>
          <w:bCs/>
        </w:rPr>
        <w:t xml:space="preserve">menores coeficientes empleados para el cálculo de los </w:t>
      </w:r>
      <w:r w:rsidR="001F73DA" w:rsidRPr="00AA607D">
        <w:rPr>
          <w:rFonts w:ascii="Arial" w:eastAsia="Arial" w:hAnsi="Arial" w:cs="Arial"/>
          <w:bCs/>
        </w:rPr>
        <w:t>p</w:t>
      </w:r>
      <w:r w:rsidR="009F7DD5" w:rsidRPr="00AA607D">
        <w:rPr>
          <w:rFonts w:ascii="Arial" w:eastAsia="Arial" w:hAnsi="Arial" w:cs="Arial"/>
          <w:bCs/>
        </w:rPr>
        <w:t xml:space="preserve">agos a </w:t>
      </w:r>
      <w:r w:rsidR="001F73DA" w:rsidRPr="00AA607D">
        <w:rPr>
          <w:rFonts w:ascii="Arial" w:eastAsia="Arial" w:hAnsi="Arial" w:cs="Arial"/>
          <w:bCs/>
        </w:rPr>
        <w:t>c</w:t>
      </w:r>
      <w:r w:rsidR="009F7DD5" w:rsidRPr="00AA607D">
        <w:rPr>
          <w:rFonts w:ascii="Arial" w:eastAsia="Arial" w:hAnsi="Arial" w:cs="Arial"/>
          <w:bCs/>
        </w:rPr>
        <w:t>uenta del Impuesto a la Renta y los mayores saldos a favor de los contribuyentes.</w:t>
      </w:r>
    </w:p>
    <w:p w14:paraId="7D1BD9F1" w14:textId="77777777" w:rsidR="00CB431F" w:rsidRDefault="00CB431F" w:rsidP="00CB431F">
      <w:pPr>
        <w:spacing w:after="0" w:line="240" w:lineRule="auto"/>
        <w:jc w:val="both"/>
        <w:rPr>
          <w:rFonts w:ascii="Arial" w:eastAsia="Arial" w:hAnsi="Arial" w:cs="Arial"/>
          <w:bCs/>
        </w:rPr>
      </w:pPr>
    </w:p>
    <w:p w14:paraId="304FD59E" w14:textId="1136FD6C" w:rsidR="00CB431F" w:rsidRPr="00CB431F" w:rsidRDefault="00CB431F" w:rsidP="00CB431F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CB431F">
        <w:rPr>
          <w:rFonts w:ascii="Arial" w:hAnsi="Arial" w:cs="Arial"/>
          <w:b/>
          <w:color w:val="000000" w:themeColor="text1"/>
        </w:rPr>
        <w:t>Resultados por tributos</w:t>
      </w:r>
    </w:p>
    <w:p w14:paraId="05A4E14B" w14:textId="79989EE8" w:rsidR="00CB431F" w:rsidRDefault="00CB431F" w:rsidP="00CB431F">
      <w:pPr>
        <w:spacing w:after="0" w:line="240" w:lineRule="auto"/>
        <w:jc w:val="both"/>
        <w:rPr>
          <w:rFonts w:ascii="Arial" w:hAnsi="Arial" w:cs="Arial"/>
          <w:b/>
          <w:color w:val="0070C0"/>
        </w:rPr>
      </w:pPr>
    </w:p>
    <w:p w14:paraId="0EAC8C6F" w14:textId="77777777" w:rsidR="00546455" w:rsidRPr="00546455" w:rsidRDefault="00CB431F" w:rsidP="00063749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/>
        </w:rPr>
      </w:pPr>
      <w:r w:rsidRPr="00130DB9">
        <w:rPr>
          <w:rFonts w:ascii="Arial" w:hAnsi="Arial" w:cs="Arial"/>
          <w:b/>
        </w:rPr>
        <w:t>Otros ingresos:</w:t>
      </w:r>
      <w:r w:rsidRPr="00130DB9">
        <w:rPr>
          <w:rFonts w:ascii="Arial" w:hAnsi="Arial" w:cs="Arial"/>
          <w:bCs/>
        </w:rPr>
        <w:t xml:space="preserve"> </w:t>
      </w:r>
      <w:r w:rsidR="00DF2E3B" w:rsidRPr="00130DB9">
        <w:rPr>
          <w:rFonts w:ascii="Arial" w:hAnsi="Arial" w:cs="Arial"/>
          <w:bCs/>
        </w:rPr>
        <w:t xml:space="preserve">La recaudación asociada a este rubro ascendió a S/ 1 515 millones, monto que representa un incremento de 9,0% con respecto a lo obtenido en agosto del año 2022. </w:t>
      </w:r>
    </w:p>
    <w:p w14:paraId="2BEE3B28" w14:textId="77777777" w:rsidR="00546455" w:rsidRDefault="00546455" w:rsidP="00546455">
      <w:pPr>
        <w:spacing w:after="0" w:line="240" w:lineRule="auto"/>
        <w:ind w:left="426"/>
        <w:jc w:val="both"/>
        <w:rPr>
          <w:rFonts w:ascii="Arial" w:hAnsi="Arial" w:cs="Arial"/>
          <w:b/>
        </w:rPr>
      </w:pPr>
    </w:p>
    <w:p w14:paraId="1DB3A652" w14:textId="3F503ED3" w:rsidR="00546455" w:rsidRDefault="00DF2E3B" w:rsidP="00546455">
      <w:pPr>
        <w:spacing w:after="0" w:line="240" w:lineRule="auto"/>
        <w:ind w:left="426"/>
        <w:jc w:val="both"/>
        <w:rPr>
          <w:rFonts w:ascii="Arial" w:hAnsi="Arial" w:cs="Arial"/>
          <w:bCs/>
        </w:rPr>
      </w:pPr>
      <w:r w:rsidRPr="00130DB9">
        <w:rPr>
          <w:rFonts w:ascii="Arial" w:hAnsi="Arial" w:cs="Arial"/>
          <w:bCs/>
        </w:rPr>
        <w:t xml:space="preserve">Dicho resultado se explicó por los mayores pagos correspondientes al rubro Otros (+89,3%, debido a pagos extraordinarios de otros tributos aduaneros); Ingresos como Recaudación (+41,8%), Impuesto Temporal a los Activos Netos - ITAN (+3,3%) e Impuesto Especial a la Minería </w:t>
      </w:r>
      <w:r w:rsidR="009E2DFB">
        <w:rPr>
          <w:rFonts w:ascii="Arial" w:hAnsi="Arial" w:cs="Arial"/>
          <w:bCs/>
        </w:rPr>
        <w:t>-</w:t>
      </w:r>
      <w:r w:rsidRPr="00130DB9">
        <w:rPr>
          <w:rFonts w:ascii="Arial" w:hAnsi="Arial" w:cs="Arial"/>
          <w:bCs/>
        </w:rPr>
        <w:t xml:space="preserve"> IEM (+4,1%). </w:t>
      </w:r>
    </w:p>
    <w:p w14:paraId="455CE5E2" w14:textId="77777777" w:rsidR="00546455" w:rsidRDefault="00546455" w:rsidP="00546455">
      <w:pPr>
        <w:spacing w:after="0" w:line="240" w:lineRule="auto"/>
        <w:ind w:left="426"/>
        <w:jc w:val="both"/>
        <w:rPr>
          <w:rFonts w:ascii="Arial" w:hAnsi="Arial" w:cs="Arial"/>
          <w:bCs/>
        </w:rPr>
      </w:pPr>
    </w:p>
    <w:p w14:paraId="43F8169A" w14:textId="6D602D38" w:rsidR="00130DB9" w:rsidRPr="00130DB9" w:rsidRDefault="00DF2E3B" w:rsidP="00546455">
      <w:pPr>
        <w:spacing w:after="0" w:line="240" w:lineRule="auto"/>
        <w:ind w:left="426"/>
        <w:jc w:val="both"/>
        <w:rPr>
          <w:rFonts w:ascii="Arial" w:hAnsi="Arial" w:cs="Arial"/>
          <w:b/>
        </w:rPr>
      </w:pPr>
      <w:r w:rsidRPr="00130DB9">
        <w:rPr>
          <w:rFonts w:ascii="Arial" w:hAnsi="Arial" w:cs="Arial"/>
          <w:bCs/>
        </w:rPr>
        <w:t>En contraste, se registraron contracciones a nivel de los Fraccionamientos (-3,4%), Multas (-5,3%), Régimen Único Simplificado - RUS (-6,0%), Casinos y Tragamonedas (-3,2%) y el Impuesto a las Transacciones Financieras - ITF (-1,4%).</w:t>
      </w:r>
    </w:p>
    <w:p w14:paraId="39BB6EBB" w14:textId="77777777" w:rsidR="00130DB9" w:rsidRDefault="00130DB9" w:rsidP="00130DB9">
      <w:pPr>
        <w:spacing w:after="0" w:line="240" w:lineRule="auto"/>
        <w:ind w:left="426"/>
        <w:jc w:val="both"/>
        <w:rPr>
          <w:rFonts w:ascii="Arial" w:hAnsi="Arial" w:cs="Arial"/>
          <w:b/>
        </w:rPr>
      </w:pPr>
    </w:p>
    <w:p w14:paraId="670823E6" w14:textId="43FEC5F9" w:rsidR="00130DB9" w:rsidRPr="00130DB9" w:rsidRDefault="00CB431F" w:rsidP="00687DCB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Cs/>
        </w:rPr>
      </w:pPr>
      <w:r w:rsidRPr="00130DB9">
        <w:rPr>
          <w:rFonts w:ascii="Arial" w:hAnsi="Arial" w:cs="Arial"/>
          <w:b/>
        </w:rPr>
        <w:t xml:space="preserve">Impuesto a la Renta: </w:t>
      </w:r>
      <w:r w:rsidR="00DF2E3B" w:rsidRPr="00130DB9">
        <w:rPr>
          <w:rFonts w:ascii="Arial" w:hAnsi="Arial" w:cs="Arial"/>
          <w:bCs/>
        </w:rPr>
        <w:t>En agosto, se recaudaron S/ 4,013 millones por este concepto, lo que representa una disminución del 9,9% en comparación con el mismo mes del año 2022.</w:t>
      </w:r>
      <w:r w:rsidR="00130DB9" w:rsidRPr="00130DB9">
        <w:rPr>
          <w:rFonts w:ascii="Arial" w:hAnsi="Arial" w:cs="Arial"/>
          <w:bCs/>
        </w:rPr>
        <w:t xml:space="preserve"> </w:t>
      </w:r>
    </w:p>
    <w:p w14:paraId="7B25750B" w14:textId="77777777" w:rsidR="00130DB9" w:rsidRPr="00130DB9" w:rsidRDefault="00130DB9" w:rsidP="00130DB9">
      <w:pPr>
        <w:spacing w:after="0" w:line="240" w:lineRule="auto"/>
        <w:ind w:left="426"/>
        <w:jc w:val="both"/>
        <w:rPr>
          <w:rFonts w:ascii="Arial" w:hAnsi="Arial" w:cs="Arial"/>
          <w:bCs/>
        </w:rPr>
      </w:pPr>
    </w:p>
    <w:p w14:paraId="616C4248" w14:textId="77777777" w:rsidR="00130DB9" w:rsidRDefault="00130DB9" w:rsidP="00130DB9">
      <w:pPr>
        <w:spacing w:after="0" w:line="240" w:lineRule="auto"/>
        <w:ind w:left="426"/>
        <w:jc w:val="both"/>
        <w:rPr>
          <w:rFonts w:ascii="Arial" w:hAnsi="Arial" w:cs="Arial"/>
          <w:bCs/>
        </w:rPr>
      </w:pPr>
      <w:r w:rsidRPr="00130DB9">
        <w:rPr>
          <w:rFonts w:ascii="Arial" w:hAnsi="Arial" w:cs="Arial"/>
          <w:bCs/>
        </w:rPr>
        <w:t>L</w:t>
      </w:r>
      <w:r w:rsidR="00DF2E3B" w:rsidRPr="00130DB9">
        <w:rPr>
          <w:rFonts w:ascii="Arial" w:hAnsi="Arial" w:cs="Arial"/>
          <w:bCs/>
        </w:rPr>
        <w:t xml:space="preserve">a disminución se debió principalmente a los menores pagos a cuenta de la Tercera Categoría, tanto del Régimen General (-14,9%) como del Régimen MYPE Tributario (-9,6%), Cuarta Categoría (-14,2%), Quinta Categoría (-5,6%), Rentas de sujetos no domiciliados (-6,6%), Régimen Especial de Renta (-5,0%), Primera Categoría (-0,2%) y Otras Rentas (-34,4%). </w:t>
      </w:r>
    </w:p>
    <w:p w14:paraId="22F0950B" w14:textId="77777777" w:rsidR="00130DB9" w:rsidRDefault="00130DB9" w:rsidP="00130DB9">
      <w:pPr>
        <w:spacing w:after="0" w:line="240" w:lineRule="auto"/>
        <w:ind w:left="426"/>
        <w:jc w:val="both"/>
        <w:rPr>
          <w:rFonts w:ascii="Arial" w:hAnsi="Arial" w:cs="Arial"/>
          <w:bCs/>
        </w:rPr>
      </w:pPr>
    </w:p>
    <w:p w14:paraId="477A1085" w14:textId="77777777" w:rsidR="00E16F23" w:rsidRDefault="00DF2E3B" w:rsidP="00130DB9">
      <w:pPr>
        <w:spacing w:after="0" w:line="240" w:lineRule="auto"/>
        <w:ind w:left="426"/>
        <w:jc w:val="both"/>
        <w:rPr>
          <w:rFonts w:ascii="Arial" w:hAnsi="Arial" w:cs="Arial"/>
          <w:bCs/>
        </w:rPr>
      </w:pPr>
      <w:r w:rsidRPr="00130DB9">
        <w:rPr>
          <w:rFonts w:ascii="Arial" w:hAnsi="Arial" w:cs="Arial"/>
          <w:bCs/>
        </w:rPr>
        <w:t>Por el contrario, se registraron incrementos en la Segunda Categoría (+31,6%) y Regularización (10,1%).</w:t>
      </w:r>
      <w:r w:rsidR="00130DB9" w:rsidRPr="00130DB9">
        <w:rPr>
          <w:rFonts w:ascii="Arial" w:hAnsi="Arial" w:cs="Arial"/>
          <w:bCs/>
        </w:rPr>
        <w:t xml:space="preserve"> </w:t>
      </w:r>
    </w:p>
    <w:p w14:paraId="021B13A5" w14:textId="77777777" w:rsidR="00E16F23" w:rsidRDefault="00E16F23" w:rsidP="00130DB9">
      <w:pPr>
        <w:spacing w:after="0" w:line="240" w:lineRule="auto"/>
        <w:ind w:left="426"/>
        <w:jc w:val="both"/>
        <w:rPr>
          <w:rFonts w:ascii="Arial" w:hAnsi="Arial" w:cs="Arial"/>
          <w:bCs/>
        </w:rPr>
      </w:pPr>
    </w:p>
    <w:p w14:paraId="51AA47D5" w14:textId="1D467A08" w:rsidR="00546455" w:rsidRDefault="00DF2E3B" w:rsidP="00130DB9">
      <w:pPr>
        <w:spacing w:after="0" w:line="240" w:lineRule="auto"/>
        <w:ind w:left="426"/>
        <w:jc w:val="both"/>
        <w:rPr>
          <w:rFonts w:ascii="Arial" w:hAnsi="Arial" w:cs="Arial"/>
          <w:bCs/>
        </w:rPr>
      </w:pPr>
      <w:r w:rsidRPr="00130DB9">
        <w:rPr>
          <w:rFonts w:ascii="Arial" w:hAnsi="Arial" w:cs="Arial"/>
          <w:bCs/>
        </w:rPr>
        <w:t xml:space="preserve">Como ya se mencionó, la contracción experimentada en los pagos </w:t>
      </w:r>
      <w:r w:rsidR="00E16F23">
        <w:rPr>
          <w:rFonts w:ascii="Arial" w:hAnsi="Arial" w:cs="Arial"/>
          <w:bCs/>
        </w:rPr>
        <w:t xml:space="preserve">a </w:t>
      </w:r>
      <w:r w:rsidRPr="00130DB9">
        <w:rPr>
          <w:rFonts w:ascii="Arial" w:hAnsi="Arial" w:cs="Arial"/>
          <w:bCs/>
        </w:rPr>
        <w:t>cuenta mensuales a partir de abril pasado</w:t>
      </w:r>
      <w:r w:rsidR="00E16F23">
        <w:rPr>
          <w:rFonts w:ascii="Arial" w:hAnsi="Arial" w:cs="Arial"/>
          <w:bCs/>
        </w:rPr>
        <w:t>,</w:t>
      </w:r>
      <w:r w:rsidRPr="00130DB9">
        <w:rPr>
          <w:rFonts w:ascii="Arial" w:hAnsi="Arial" w:cs="Arial"/>
          <w:bCs/>
        </w:rPr>
        <w:t xml:space="preserve"> se deben tanto a la reducción de los coeficientes utilizados para su cálculo -en comparación a aquellos empleados el año anterior- como al uso de los mayores saldos a favor declarados por parte de los contribuyentes; factores que seguirán afectando la recaudación de este concepto en los siguientes meses del año. </w:t>
      </w:r>
    </w:p>
    <w:p w14:paraId="6EE1586F" w14:textId="77777777" w:rsidR="00546455" w:rsidRDefault="00546455" w:rsidP="00130DB9">
      <w:pPr>
        <w:spacing w:after="0" w:line="240" w:lineRule="auto"/>
        <w:ind w:left="426"/>
        <w:jc w:val="both"/>
        <w:rPr>
          <w:rFonts w:ascii="Arial" w:hAnsi="Arial" w:cs="Arial"/>
          <w:bCs/>
        </w:rPr>
      </w:pPr>
    </w:p>
    <w:p w14:paraId="1893EF6A" w14:textId="0C929817" w:rsidR="00130DB9" w:rsidRPr="00130DB9" w:rsidRDefault="00DF2E3B" w:rsidP="00130DB9">
      <w:pPr>
        <w:spacing w:after="0" w:line="240" w:lineRule="auto"/>
        <w:ind w:left="426"/>
        <w:jc w:val="both"/>
        <w:rPr>
          <w:rFonts w:ascii="Arial" w:hAnsi="Arial" w:cs="Arial"/>
          <w:bCs/>
        </w:rPr>
      </w:pPr>
      <w:r w:rsidRPr="00130DB9">
        <w:rPr>
          <w:rFonts w:ascii="Arial" w:hAnsi="Arial" w:cs="Arial"/>
          <w:bCs/>
        </w:rPr>
        <w:t xml:space="preserve">A lo anterior se añade el impacto de las menores cotizaciones internacionales de algunos productos exportados, como es el caso del </w:t>
      </w:r>
      <w:r w:rsidR="00130DB9" w:rsidRPr="00130DB9">
        <w:rPr>
          <w:rFonts w:ascii="Arial" w:hAnsi="Arial" w:cs="Arial"/>
          <w:bCs/>
        </w:rPr>
        <w:t>g</w:t>
      </w:r>
      <w:r w:rsidRPr="00130DB9">
        <w:rPr>
          <w:rFonts w:ascii="Arial" w:hAnsi="Arial" w:cs="Arial"/>
          <w:bCs/>
        </w:rPr>
        <w:t>as.</w:t>
      </w:r>
    </w:p>
    <w:p w14:paraId="06DF2223" w14:textId="77777777" w:rsidR="00130DB9" w:rsidRPr="00130DB9" w:rsidRDefault="00130DB9" w:rsidP="00130DB9">
      <w:pPr>
        <w:spacing w:after="0" w:line="240" w:lineRule="auto"/>
        <w:ind w:left="426"/>
        <w:jc w:val="both"/>
        <w:rPr>
          <w:rFonts w:ascii="Arial" w:hAnsi="Arial" w:cs="Arial"/>
          <w:bCs/>
        </w:rPr>
      </w:pPr>
    </w:p>
    <w:p w14:paraId="45EBC883" w14:textId="7E546622" w:rsidR="00130DB9" w:rsidRPr="00130DB9" w:rsidRDefault="00CB431F" w:rsidP="00706104">
      <w:pPr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bCs/>
        </w:rPr>
      </w:pPr>
      <w:r w:rsidRPr="00130DB9">
        <w:rPr>
          <w:rFonts w:ascii="Arial" w:hAnsi="Arial" w:cs="Arial"/>
          <w:b/>
        </w:rPr>
        <w:lastRenderedPageBreak/>
        <w:t>Impuesto General a las Ventas (IGV):</w:t>
      </w:r>
      <w:r w:rsidRPr="00130DB9">
        <w:rPr>
          <w:rFonts w:ascii="Arial" w:hAnsi="Arial" w:cs="Arial"/>
          <w:bCs/>
        </w:rPr>
        <w:t xml:space="preserve"> </w:t>
      </w:r>
      <w:r w:rsidR="00130DB9" w:rsidRPr="00130DB9">
        <w:rPr>
          <w:rFonts w:ascii="Arial" w:hAnsi="Arial" w:cs="Arial"/>
          <w:bCs/>
        </w:rPr>
        <w:t>La recaudación del IGV alcanzó los S/ 7,104 millones, lo que representa una disminución del 18,4% en comparación con el mismo mes del año 2022.</w:t>
      </w:r>
    </w:p>
    <w:p w14:paraId="0BF71452" w14:textId="77777777" w:rsidR="00130DB9" w:rsidRDefault="00130DB9" w:rsidP="00130DB9">
      <w:pPr>
        <w:spacing w:after="0" w:line="240" w:lineRule="auto"/>
        <w:jc w:val="both"/>
        <w:rPr>
          <w:rFonts w:ascii="Arial" w:hAnsi="Arial" w:cs="Arial"/>
          <w:bCs/>
        </w:rPr>
      </w:pPr>
    </w:p>
    <w:p w14:paraId="4042DB99" w14:textId="560A8F5C" w:rsidR="00130DB9" w:rsidRDefault="00130DB9" w:rsidP="00130DB9">
      <w:pPr>
        <w:spacing w:after="0" w:line="240" w:lineRule="auto"/>
        <w:ind w:left="360"/>
        <w:jc w:val="both"/>
        <w:rPr>
          <w:rFonts w:ascii="Arial" w:hAnsi="Arial" w:cs="Arial"/>
          <w:bCs/>
        </w:rPr>
      </w:pPr>
      <w:r w:rsidRPr="00130DB9">
        <w:rPr>
          <w:rFonts w:ascii="Arial" w:hAnsi="Arial" w:cs="Arial"/>
          <w:bCs/>
        </w:rPr>
        <w:t xml:space="preserve">El IGV Interno disminuyó en un 4,3% y recaudó S/ 4,113 millones, lo que refleja principalmente la menor Demanda Interna, la ya mencionada menor cotización internacional del gas y la aplicación de la tasa reducida del impuesto a los Restaurantes y Hoteles, aprobada mediante la Ley N° 31556. </w:t>
      </w:r>
    </w:p>
    <w:p w14:paraId="6E2AB222" w14:textId="77777777" w:rsidR="00546455" w:rsidRDefault="00546455" w:rsidP="00130DB9">
      <w:pPr>
        <w:spacing w:after="0" w:line="240" w:lineRule="auto"/>
        <w:ind w:left="360"/>
        <w:jc w:val="both"/>
        <w:rPr>
          <w:rFonts w:ascii="Arial" w:hAnsi="Arial" w:cs="Arial"/>
          <w:bCs/>
        </w:rPr>
      </w:pPr>
    </w:p>
    <w:p w14:paraId="766781FD" w14:textId="45649F5F" w:rsidR="00130DB9" w:rsidRPr="00130DB9" w:rsidRDefault="00130DB9" w:rsidP="00130DB9">
      <w:pPr>
        <w:spacing w:after="0" w:line="240" w:lineRule="auto"/>
        <w:ind w:left="360"/>
        <w:jc w:val="both"/>
        <w:rPr>
          <w:rFonts w:ascii="Arial" w:hAnsi="Arial" w:cs="Arial"/>
          <w:bCs/>
        </w:rPr>
      </w:pPr>
      <w:r w:rsidRPr="00130DB9">
        <w:rPr>
          <w:rFonts w:ascii="Arial" w:hAnsi="Arial" w:cs="Arial"/>
          <w:bCs/>
        </w:rPr>
        <w:t>Por su parte, el IGV que grava a las importaciones recaudó S/ 2,991 millones, lo que representa una disminución del 32,1% en comparación con agosto del año 2022, en un contexto de contracción de las importaciones (-17,4%) y un menor tipo de cambio (-4,6%) en comparación con el mismo mes del año anterior.</w:t>
      </w:r>
    </w:p>
    <w:p w14:paraId="3057DC0C" w14:textId="7BF2AF0F" w:rsidR="00CB431F" w:rsidRPr="00CB431F" w:rsidRDefault="00CB431F" w:rsidP="00130DB9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bCs/>
        </w:rPr>
      </w:pPr>
    </w:p>
    <w:p w14:paraId="77FDEFDC" w14:textId="1110C5FC" w:rsidR="00CB431F" w:rsidRPr="00CB431F" w:rsidRDefault="00CB431F" w:rsidP="00CB431F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Cs/>
        </w:rPr>
      </w:pPr>
      <w:r w:rsidRPr="00CB431F">
        <w:rPr>
          <w:rFonts w:ascii="Arial" w:hAnsi="Arial" w:cs="Arial"/>
          <w:b/>
        </w:rPr>
        <w:t>Impuesto Selectivo al Consumo (ISC):</w:t>
      </w:r>
      <w:r w:rsidRPr="00CB431F">
        <w:rPr>
          <w:rFonts w:ascii="Arial" w:hAnsi="Arial" w:cs="Arial"/>
          <w:bCs/>
        </w:rPr>
        <w:t xml:space="preserve"> </w:t>
      </w:r>
      <w:bookmarkStart w:id="0" w:name="_Hlk145069214"/>
      <w:r w:rsidRPr="00CB431F">
        <w:rPr>
          <w:rFonts w:ascii="Arial" w:hAnsi="Arial" w:cs="Arial"/>
          <w:bCs/>
        </w:rPr>
        <w:t xml:space="preserve">La recaudación del ISC alcanzó los S/ 824 millones, lo que representa una disminución del 3,9%. El ISC Interno disminuyó en un 9,7%. </w:t>
      </w:r>
      <w:r w:rsidR="00007635">
        <w:rPr>
          <w:rFonts w:ascii="Arial" w:hAnsi="Arial" w:cs="Arial"/>
          <w:bCs/>
        </w:rPr>
        <w:t>En contraste</w:t>
      </w:r>
      <w:r w:rsidRPr="00CB431F">
        <w:rPr>
          <w:rFonts w:ascii="Arial" w:hAnsi="Arial" w:cs="Arial"/>
          <w:bCs/>
        </w:rPr>
        <w:t>, el ISC que grava a las importaciones creció en un 4,6%, principalmente por mayores pagos de ISC combustibles, incrementando también la base de cálculo para el IGV que grava las importaciones.</w:t>
      </w:r>
      <w:bookmarkEnd w:id="0"/>
    </w:p>
    <w:p w14:paraId="1113CFFB" w14:textId="77777777" w:rsidR="00CB431F" w:rsidRPr="00CB431F" w:rsidRDefault="00CB431F" w:rsidP="00CB431F">
      <w:pPr>
        <w:pStyle w:val="Prrafodelista"/>
        <w:spacing w:after="0" w:line="240" w:lineRule="auto"/>
        <w:ind w:left="426"/>
        <w:contextualSpacing w:val="0"/>
        <w:jc w:val="both"/>
        <w:rPr>
          <w:rFonts w:ascii="Arial" w:hAnsi="Arial" w:cs="Arial"/>
          <w:bCs/>
        </w:rPr>
      </w:pPr>
    </w:p>
    <w:p w14:paraId="4BD33A1E" w14:textId="4BC1B550" w:rsidR="00CB431F" w:rsidRPr="00CB431F" w:rsidRDefault="00CB431F" w:rsidP="00CB431F">
      <w:pPr>
        <w:pStyle w:val="Prrafodelista"/>
        <w:numPr>
          <w:ilvl w:val="0"/>
          <w:numId w:val="5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/>
        </w:rPr>
      </w:pPr>
      <w:r w:rsidRPr="00CB431F">
        <w:rPr>
          <w:rFonts w:ascii="Arial" w:hAnsi="Arial" w:cs="Arial"/>
          <w:b/>
        </w:rPr>
        <w:t xml:space="preserve">Devoluciones: </w:t>
      </w:r>
      <w:r w:rsidRPr="00CB431F">
        <w:rPr>
          <w:rFonts w:ascii="Arial" w:hAnsi="Arial" w:cs="Arial"/>
          <w:bCs/>
        </w:rPr>
        <w:t>Las devoluciones de impuestos realizadas durante el mes de agosto ascendieron a S/ 2</w:t>
      </w:r>
      <w:r w:rsidR="00007635">
        <w:rPr>
          <w:rFonts w:ascii="Arial" w:hAnsi="Arial" w:cs="Arial"/>
          <w:bCs/>
        </w:rPr>
        <w:t xml:space="preserve"> </w:t>
      </w:r>
      <w:r w:rsidRPr="00CB431F">
        <w:rPr>
          <w:rFonts w:ascii="Arial" w:hAnsi="Arial" w:cs="Arial"/>
          <w:bCs/>
        </w:rPr>
        <w:t>3</w:t>
      </w:r>
      <w:r w:rsidR="000F1AD9">
        <w:rPr>
          <w:rFonts w:ascii="Arial" w:hAnsi="Arial" w:cs="Arial"/>
          <w:bCs/>
        </w:rPr>
        <w:t>30</w:t>
      </w:r>
      <w:r w:rsidRPr="00CB431F">
        <w:rPr>
          <w:rFonts w:ascii="Arial" w:hAnsi="Arial" w:cs="Arial"/>
          <w:bCs/>
        </w:rPr>
        <w:t xml:space="preserve"> millones, lo que representa una disminución de 3,</w:t>
      </w:r>
      <w:r w:rsidR="000F1AD9">
        <w:rPr>
          <w:rFonts w:ascii="Arial" w:hAnsi="Arial" w:cs="Arial"/>
          <w:bCs/>
        </w:rPr>
        <w:t>2</w:t>
      </w:r>
      <w:r w:rsidRPr="00CB431F">
        <w:rPr>
          <w:rFonts w:ascii="Arial" w:hAnsi="Arial" w:cs="Arial"/>
          <w:bCs/>
        </w:rPr>
        <w:t>% en comparación con similar mes del año 2022. Las devoluciones a exportadores fueron las de mayor participación.</w:t>
      </w:r>
    </w:p>
    <w:p w14:paraId="1ADF5B0E" w14:textId="77777777" w:rsidR="00CB431F" w:rsidRPr="00CB431F" w:rsidRDefault="00CB431F" w:rsidP="00CB431F">
      <w:pPr>
        <w:spacing w:after="0" w:line="240" w:lineRule="auto"/>
        <w:jc w:val="both"/>
        <w:rPr>
          <w:rFonts w:ascii="Arial" w:eastAsia="Arial" w:hAnsi="Arial" w:cs="Arial"/>
          <w:b/>
          <w:i/>
          <w:iCs/>
        </w:rPr>
      </w:pPr>
    </w:p>
    <w:p w14:paraId="1A716A7C" w14:textId="45BBC545" w:rsidR="009162C5" w:rsidRDefault="009162C5" w:rsidP="00CB431F">
      <w:pPr>
        <w:spacing w:after="0" w:line="240" w:lineRule="auto"/>
        <w:jc w:val="both"/>
        <w:rPr>
          <w:rFonts w:ascii="Arial" w:eastAsia="Arial" w:hAnsi="Arial" w:cs="Arial"/>
          <w:b/>
          <w:color w:val="0070C0"/>
        </w:rPr>
      </w:pPr>
      <w:r w:rsidRPr="00007635">
        <w:rPr>
          <w:rFonts w:ascii="Arial" w:eastAsia="Arial" w:hAnsi="Arial" w:cs="Arial"/>
          <w:b/>
          <w:color w:val="000000" w:themeColor="text1"/>
        </w:rPr>
        <w:t>Factores determinantes de</w:t>
      </w:r>
      <w:r w:rsidR="004A32EF" w:rsidRPr="00007635">
        <w:rPr>
          <w:rFonts w:ascii="Arial" w:eastAsia="Arial" w:hAnsi="Arial" w:cs="Arial"/>
          <w:b/>
          <w:color w:val="000000" w:themeColor="text1"/>
        </w:rPr>
        <w:t xml:space="preserve"> </w:t>
      </w:r>
      <w:r w:rsidRPr="00007635">
        <w:rPr>
          <w:rFonts w:ascii="Arial" w:eastAsia="Arial" w:hAnsi="Arial" w:cs="Arial"/>
          <w:b/>
          <w:color w:val="000000" w:themeColor="text1"/>
        </w:rPr>
        <w:t>l</w:t>
      </w:r>
      <w:r w:rsidR="004A32EF" w:rsidRPr="00007635">
        <w:rPr>
          <w:rFonts w:ascii="Arial" w:eastAsia="Arial" w:hAnsi="Arial" w:cs="Arial"/>
          <w:b/>
          <w:color w:val="000000" w:themeColor="text1"/>
        </w:rPr>
        <w:t>a</w:t>
      </w:r>
      <w:r w:rsidRPr="00007635">
        <w:rPr>
          <w:rFonts w:ascii="Arial" w:eastAsia="Arial" w:hAnsi="Arial" w:cs="Arial"/>
          <w:b/>
          <w:color w:val="000000" w:themeColor="text1"/>
        </w:rPr>
        <w:t xml:space="preserve"> recaudación de</w:t>
      </w:r>
      <w:r w:rsidR="00211D90" w:rsidRPr="00007635">
        <w:rPr>
          <w:rFonts w:ascii="Arial" w:eastAsia="Arial" w:hAnsi="Arial" w:cs="Arial"/>
          <w:b/>
          <w:color w:val="000000" w:themeColor="text1"/>
        </w:rPr>
        <w:t xml:space="preserve"> </w:t>
      </w:r>
      <w:r w:rsidR="00A92AA0" w:rsidRPr="00007635">
        <w:rPr>
          <w:rFonts w:ascii="Arial" w:eastAsia="Arial" w:hAnsi="Arial" w:cs="Arial"/>
          <w:b/>
          <w:color w:val="000000" w:themeColor="text1"/>
        </w:rPr>
        <w:t>agosto</w:t>
      </w:r>
    </w:p>
    <w:p w14:paraId="4F8BC92C" w14:textId="77777777" w:rsidR="00007635" w:rsidRPr="00CB431F" w:rsidRDefault="00007635" w:rsidP="00CB431F">
      <w:pPr>
        <w:spacing w:after="0" w:line="240" w:lineRule="auto"/>
        <w:jc w:val="both"/>
        <w:rPr>
          <w:rFonts w:ascii="Arial" w:eastAsia="Arial" w:hAnsi="Arial" w:cs="Arial"/>
          <w:b/>
          <w:color w:val="0070C0"/>
        </w:rPr>
      </w:pPr>
    </w:p>
    <w:p w14:paraId="644C16CF" w14:textId="40B18669" w:rsidR="00F601EE" w:rsidRDefault="00F601EE" w:rsidP="00CB431F">
      <w:pPr>
        <w:spacing w:after="0" w:line="240" w:lineRule="auto"/>
        <w:ind w:left="66"/>
        <w:jc w:val="both"/>
        <w:rPr>
          <w:rFonts w:ascii="Arial" w:hAnsi="Arial" w:cs="Arial"/>
          <w:bCs/>
        </w:rPr>
      </w:pPr>
      <w:r w:rsidRPr="00CB431F">
        <w:rPr>
          <w:rFonts w:ascii="Arial" w:hAnsi="Arial" w:cs="Arial"/>
          <w:bCs/>
        </w:rPr>
        <w:t>El resultado de la recaudación en el mes de agosto se atribuye a varios factores, entre los cuales destacan los siguientes:</w:t>
      </w:r>
    </w:p>
    <w:p w14:paraId="757E336C" w14:textId="77777777" w:rsidR="00007635" w:rsidRPr="00CB431F" w:rsidRDefault="00007635" w:rsidP="00CB431F">
      <w:pPr>
        <w:spacing w:after="0" w:line="240" w:lineRule="auto"/>
        <w:ind w:left="66"/>
        <w:jc w:val="both"/>
        <w:rPr>
          <w:rFonts w:ascii="Arial" w:hAnsi="Arial" w:cs="Arial"/>
          <w:bCs/>
        </w:rPr>
      </w:pPr>
    </w:p>
    <w:p w14:paraId="5613E188" w14:textId="3B9F43ED" w:rsidR="00F601EE" w:rsidRDefault="00F601EE" w:rsidP="00CB431F">
      <w:pPr>
        <w:pStyle w:val="Prrafodelista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  <w:r w:rsidRPr="00CB431F">
        <w:rPr>
          <w:rFonts w:ascii="Arial" w:eastAsia="Arial" w:hAnsi="Arial" w:cs="Arial"/>
        </w:rPr>
        <w:t xml:space="preserve">La menor dinámica de la actividad económica, con un crecimiento ligeramente positivo del Producto Bruto Interno y una disminución de la </w:t>
      </w:r>
      <w:r w:rsidR="00030E1F" w:rsidRPr="00CB431F">
        <w:rPr>
          <w:rFonts w:ascii="Arial" w:eastAsia="Arial" w:hAnsi="Arial" w:cs="Arial"/>
        </w:rPr>
        <w:t>d</w:t>
      </w:r>
      <w:r w:rsidRPr="00CB431F">
        <w:rPr>
          <w:rFonts w:ascii="Arial" w:eastAsia="Arial" w:hAnsi="Arial" w:cs="Arial"/>
        </w:rPr>
        <w:t xml:space="preserve">emanda </w:t>
      </w:r>
      <w:r w:rsidR="00030E1F" w:rsidRPr="00CB431F">
        <w:rPr>
          <w:rFonts w:ascii="Arial" w:eastAsia="Arial" w:hAnsi="Arial" w:cs="Arial"/>
        </w:rPr>
        <w:t>i</w:t>
      </w:r>
      <w:r w:rsidRPr="00CB431F">
        <w:rPr>
          <w:rFonts w:ascii="Arial" w:eastAsia="Arial" w:hAnsi="Arial" w:cs="Arial"/>
        </w:rPr>
        <w:t>nterna en julio, según estimaciones del BCRP.</w:t>
      </w:r>
    </w:p>
    <w:p w14:paraId="67FD9C82" w14:textId="77777777" w:rsidR="00FE7F52" w:rsidRPr="00CB431F" w:rsidRDefault="00FE7F52" w:rsidP="00FE7F52">
      <w:pPr>
        <w:pStyle w:val="Prrafodelista"/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</w:p>
    <w:p w14:paraId="53C0128B" w14:textId="6868674D" w:rsidR="00F601EE" w:rsidRDefault="00F601EE" w:rsidP="00CB431F">
      <w:pPr>
        <w:spacing w:after="0" w:line="240" w:lineRule="auto"/>
        <w:ind w:left="426"/>
        <w:jc w:val="both"/>
        <w:rPr>
          <w:rFonts w:ascii="Arial" w:eastAsia="Arial" w:hAnsi="Arial" w:cs="Arial"/>
        </w:rPr>
      </w:pPr>
      <w:r w:rsidRPr="00CB431F">
        <w:rPr>
          <w:rFonts w:ascii="Arial" w:eastAsia="Arial" w:hAnsi="Arial" w:cs="Arial"/>
        </w:rPr>
        <w:t xml:space="preserve">A lo anterior se une la reducción del </w:t>
      </w:r>
      <w:r w:rsidR="00F0170C" w:rsidRPr="00CB431F">
        <w:rPr>
          <w:rFonts w:ascii="Arial" w:eastAsia="Arial" w:hAnsi="Arial" w:cs="Arial"/>
        </w:rPr>
        <w:t>17,4</w:t>
      </w:r>
      <w:r w:rsidRPr="00CB431F">
        <w:rPr>
          <w:rFonts w:ascii="Arial" w:eastAsia="Arial" w:hAnsi="Arial" w:cs="Arial"/>
        </w:rPr>
        <w:t>% en las importaciones registradas en agosto</w:t>
      </w:r>
      <w:r w:rsidR="00C13A15">
        <w:rPr>
          <w:rFonts w:ascii="Arial" w:eastAsia="Arial" w:hAnsi="Arial" w:cs="Arial"/>
        </w:rPr>
        <w:t>, lo que</w:t>
      </w:r>
      <w:r w:rsidR="008D3332" w:rsidRPr="00CB431F">
        <w:rPr>
          <w:rFonts w:ascii="Arial" w:eastAsia="Arial" w:hAnsi="Arial" w:cs="Arial"/>
        </w:rPr>
        <w:t xml:space="preserve"> </w:t>
      </w:r>
      <w:r w:rsidRPr="00CB431F">
        <w:rPr>
          <w:rFonts w:ascii="Arial" w:eastAsia="Arial" w:hAnsi="Arial" w:cs="Arial"/>
        </w:rPr>
        <w:t xml:space="preserve">afecta la recaudación de los tributos aduaneros. </w:t>
      </w:r>
    </w:p>
    <w:p w14:paraId="0C01F4F5" w14:textId="77777777" w:rsidR="00FE7F52" w:rsidRPr="00CB431F" w:rsidRDefault="00FE7F52" w:rsidP="00FE7F52">
      <w:pPr>
        <w:spacing w:after="0" w:line="240" w:lineRule="auto"/>
        <w:jc w:val="both"/>
        <w:rPr>
          <w:rFonts w:ascii="Arial" w:eastAsia="Arial" w:hAnsi="Arial" w:cs="Arial"/>
        </w:rPr>
      </w:pPr>
    </w:p>
    <w:p w14:paraId="0A944D2B" w14:textId="5FBACCE6" w:rsidR="00F601EE" w:rsidRDefault="00C13A15" w:rsidP="00CB431F">
      <w:pPr>
        <w:spacing w:after="0" w:line="240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Por otro lado</w:t>
      </w:r>
      <w:r w:rsidR="008D3332" w:rsidRPr="00CB431F">
        <w:rPr>
          <w:rFonts w:ascii="Arial" w:hAnsi="Arial" w:cs="Arial"/>
          <w:bCs/>
        </w:rPr>
        <w:t>, e</w:t>
      </w:r>
      <w:r w:rsidR="00F601EE" w:rsidRPr="00CB431F">
        <w:rPr>
          <w:rFonts w:ascii="Arial" w:hAnsi="Arial" w:cs="Arial"/>
          <w:bCs/>
        </w:rPr>
        <w:t>l retroceso del tipo de cambio en 4,</w:t>
      </w:r>
      <w:r w:rsidR="00F0170C" w:rsidRPr="00CB431F">
        <w:rPr>
          <w:rFonts w:ascii="Arial" w:hAnsi="Arial" w:cs="Arial"/>
          <w:bCs/>
        </w:rPr>
        <w:t>6</w:t>
      </w:r>
      <w:r w:rsidR="00F601EE" w:rsidRPr="00CB431F">
        <w:rPr>
          <w:rFonts w:ascii="Arial" w:hAnsi="Arial" w:cs="Arial"/>
          <w:bCs/>
        </w:rPr>
        <w:t xml:space="preserve">% con respecto a agosto del año </w:t>
      </w:r>
      <w:r w:rsidR="00F601EE" w:rsidRPr="00CB431F">
        <w:rPr>
          <w:rFonts w:ascii="Arial" w:eastAsia="Arial" w:hAnsi="Arial" w:cs="Arial"/>
        </w:rPr>
        <w:t>pasado</w:t>
      </w:r>
      <w:r w:rsidR="008D3332" w:rsidRPr="00CB431F">
        <w:rPr>
          <w:rFonts w:ascii="Arial" w:eastAsia="Arial" w:hAnsi="Arial" w:cs="Arial"/>
        </w:rPr>
        <w:t xml:space="preserve"> </w:t>
      </w:r>
      <w:r w:rsidR="00F601EE" w:rsidRPr="00CB431F">
        <w:rPr>
          <w:rFonts w:ascii="Arial" w:hAnsi="Arial" w:cs="Arial"/>
          <w:bCs/>
        </w:rPr>
        <w:t>redujo tanto los ingresos en soles de los exportadores como el monto a pagar por concepto de los impuestos a la importación expresado en soles.</w:t>
      </w:r>
    </w:p>
    <w:p w14:paraId="3F6F5458" w14:textId="77777777" w:rsidR="00FE7F52" w:rsidRPr="00CB431F" w:rsidRDefault="00FE7F52" w:rsidP="00CB431F">
      <w:pPr>
        <w:spacing w:after="0" w:line="240" w:lineRule="auto"/>
        <w:ind w:left="426"/>
        <w:jc w:val="both"/>
        <w:rPr>
          <w:rFonts w:ascii="Arial" w:hAnsi="Arial" w:cs="Arial"/>
          <w:bCs/>
        </w:rPr>
      </w:pPr>
    </w:p>
    <w:p w14:paraId="766128F5" w14:textId="0F206902" w:rsidR="00F601EE" w:rsidRDefault="00F601EE" w:rsidP="00CB431F">
      <w:pPr>
        <w:pStyle w:val="Prrafodelista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  <w:r w:rsidRPr="00CB431F">
        <w:rPr>
          <w:rFonts w:ascii="Arial" w:eastAsia="Arial" w:hAnsi="Arial" w:cs="Arial"/>
        </w:rPr>
        <w:t xml:space="preserve">La recaudación del Impuesto a la Renta continuó siendo afectada por la disminución de los coeficientes de pago utilizados para calcular los </w:t>
      </w:r>
      <w:r w:rsidR="00C13A15">
        <w:rPr>
          <w:rFonts w:ascii="Arial" w:eastAsia="Arial" w:hAnsi="Arial" w:cs="Arial"/>
        </w:rPr>
        <w:t>P</w:t>
      </w:r>
      <w:r w:rsidRPr="00CB431F">
        <w:rPr>
          <w:rFonts w:ascii="Arial" w:eastAsia="Arial" w:hAnsi="Arial" w:cs="Arial"/>
        </w:rPr>
        <w:t xml:space="preserve">agos a </w:t>
      </w:r>
      <w:r w:rsidR="00C13A15">
        <w:rPr>
          <w:rFonts w:ascii="Arial" w:eastAsia="Arial" w:hAnsi="Arial" w:cs="Arial"/>
        </w:rPr>
        <w:t>C</w:t>
      </w:r>
      <w:r w:rsidRPr="00CB431F">
        <w:rPr>
          <w:rFonts w:ascii="Arial" w:eastAsia="Arial" w:hAnsi="Arial" w:cs="Arial"/>
        </w:rPr>
        <w:t xml:space="preserve">uenta de Tercera Categoría en comparación a los empleados en el año 2022, así como por los mayores saldos a favor de los contribuyentes informados en la declaración anual y que </w:t>
      </w:r>
      <w:r w:rsidR="00C13A15">
        <w:rPr>
          <w:rFonts w:ascii="Arial" w:eastAsia="Arial" w:hAnsi="Arial" w:cs="Arial"/>
        </w:rPr>
        <w:t>se aplican</w:t>
      </w:r>
      <w:r w:rsidRPr="00CB431F">
        <w:rPr>
          <w:rFonts w:ascii="Arial" w:eastAsia="Arial" w:hAnsi="Arial" w:cs="Arial"/>
        </w:rPr>
        <w:t xml:space="preserve"> contra las obligaciones tributarias corrientes, reduciendo la recaudación del </w:t>
      </w:r>
      <w:r w:rsidR="008D3332" w:rsidRPr="00CB431F">
        <w:rPr>
          <w:rFonts w:ascii="Arial" w:eastAsia="Arial" w:hAnsi="Arial" w:cs="Arial"/>
        </w:rPr>
        <w:t>año</w:t>
      </w:r>
      <w:r w:rsidRPr="00CB431F">
        <w:rPr>
          <w:rFonts w:ascii="Arial" w:eastAsia="Arial" w:hAnsi="Arial" w:cs="Arial"/>
        </w:rPr>
        <w:t>.</w:t>
      </w:r>
    </w:p>
    <w:p w14:paraId="74A52EB6" w14:textId="77777777" w:rsidR="00C13A15" w:rsidRPr="00CB431F" w:rsidRDefault="00C13A15" w:rsidP="00C13A15">
      <w:pPr>
        <w:pStyle w:val="Prrafodelista"/>
        <w:spacing w:after="0" w:line="240" w:lineRule="auto"/>
        <w:ind w:left="426"/>
        <w:contextualSpacing w:val="0"/>
        <w:jc w:val="both"/>
        <w:rPr>
          <w:rFonts w:ascii="Arial" w:eastAsia="Arial" w:hAnsi="Arial" w:cs="Arial"/>
        </w:rPr>
      </w:pPr>
    </w:p>
    <w:p w14:paraId="086D4401" w14:textId="3744B3BC" w:rsidR="00F601EE" w:rsidRDefault="00F601EE" w:rsidP="00CB431F">
      <w:pPr>
        <w:pStyle w:val="Prrafodelista"/>
        <w:numPr>
          <w:ilvl w:val="0"/>
          <w:numId w:val="4"/>
        </w:numPr>
        <w:spacing w:after="0" w:line="240" w:lineRule="auto"/>
        <w:ind w:left="426"/>
        <w:contextualSpacing w:val="0"/>
        <w:jc w:val="both"/>
        <w:rPr>
          <w:rFonts w:ascii="Arial" w:hAnsi="Arial" w:cs="Arial"/>
          <w:bCs/>
        </w:rPr>
      </w:pPr>
      <w:r w:rsidRPr="00CB431F">
        <w:rPr>
          <w:rFonts w:ascii="Arial" w:hAnsi="Arial" w:cs="Arial"/>
          <w:bCs/>
        </w:rPr>
        <w:t xml:space="preserve">El impacto negativo derivado de la </w:t>
      </w:r>
      <w:r w:rsidR="008D3332" w:rsidRPr="00CB431F">
        <w:rPr>
          <w:rFonts w:ascii="Arial" w:hAnsi="Arial" w:cs="Arial"/>
          <w:bCs/>
        </w:rPr>
        <w:t xml:space="preserve">aplicación de una </w:t>
      </w:r>
      <w:r w:rsidRPr="00CB431F">
        <w:rPr>
          <w:rFonts w:ascii="Arial" w:hAnsi="Arial" w:cs="Arial"/>
          <w:bCs/>
        </w:rPr>
        <w:t xml:space="preserve">tasa reducida del Impuesto General a las Ventas (IGV) </w:t>
      </w:r>
      <w:r w:rsidR="008D3332" w:rsidRPr="00CB431F">
        <w:rPr>
          <w:rFonts w:ascii="Arial" w:hAnsi="Arial" w:cs="Arial"/>
          <w:bCs/>
        </w:rPr>
        <w:t>para</w:t>
      </w:r>
      <w:r w:rsidRPr="00CB431F">
        <w:rPr>
          <w:rFonts w:ascii="Arial" w:hAnsi="Arial" w:cs="Arial"/>
          <w:bCs/>
        </w:rPr>
        <w:t xml:space="preserve"> los restaurantes y hoteles MYPES, aprobada mediante la Ley N° 31556 y vigente hasta finales de 2024.</w:t>
      </w:r>
    </w:p>
    <w:p w14:paraId="6D6DD931" w14:textId="0392F02D" w:rsidR="003A5C43" w:rsidRDefault="003A5C43" w:rsidP="003A5C43">
      <w:pPr>
        <w:spacing w:after="0" w:line="240" w:lineRule="auto"/>
        <w:ind w:left="66"/>
        <w:jc w:val="both"/>
        <w:rPr>
          <w:rFonts w:ascii="Arial" w:hAnsi="Arial" w:cs="Arial"/>
          <w:bCs/>
        </w:rPr>
      </w:pPr>
    </w:p>
    <w:p w14:paraId="37149516" w14:textId="2BA84350" w:rsidR="00E16F23" w:rsidRDefault="00E16F23" w:rsidP="003A5C43">
      <w:pPr>
        <w:spacing w:after="0" w:line="240" w:lineRule="auto"/>
        <w:ind w:left="66"/>
        <w:jc w:val="both"/>
        <w:rPr>
          <w:rFonts w:ascii="Arial" w:hAnsi="Arial" w:cs="Arial"/>
          <w:bCs/>
        </w:rPr>
      </w:pPr>
    </w:p>
    <w:p w14:paraId="712B1120" w14:textId="77777777" w:rsidR="00E16F23" w:rsidRDefault="00E16F23" w:rsidP="003A5C43">
      <w:pPr>
        <w:spacing w:after="0" w:line="240" w:lineRule="auto"/>
        <w:ind w:left="66"/>
        <w:jc w:val="both"/>
        <w:rPr>
          <w:rFonts w:ascii="Arial" w:hAnsi="Arial" w:cs="Arial"/>
          <w:bCs/>
        </w:rPr>
      </w:pPr>
    </w:p>
    <w:p w14:paraId="5E6DA75C" w14:textId="2A322A3B" w:rsidR="00F601EE" w:rsidRDefault="00F601EE" w:rsidP="003A5C43">
      <w:pPr>
        <w:spacing w:after="0" w:line="240" w:lineRule="auto"/>
        <w:ind w:left="66"/>
        <w:jc w:val="both"/>
        <w:rPr>
          <w:rFonts w:ascii="Arial" w:hAnsi="Arial" w:cs="Arial"/>
          <w:bCs/>
        </w:rPr>
      </w:pPr>
      <w:r w:rsidRPr="00CB431F">
        <w:rPr>
          <w:rFonts w:ascii="Arial" w:hAnsi="Arial" w:cs="Arial"/>
          <w:bCs/>
        </w:rPr>
        <w:lastRenderedPageBreak/>
        <w:t>Es importante señalar que lo mencionado fue parcialmente compensado por:</w:t>
      </w:r>
    </w:p>
    <w:p w14:paraId="6FB3FD63" w14:textId="77777777" w:rsidR="003A5C43" w:rsidRPr="00CB431F" w:rsidRDefault="003A5C43" w:rsidP="003A5C43">
      <w:pPr>
        <w:spacing w:after="0" w:line="240" w:lineRule="auto"/>
        <w:ind w:left="426"/>
        <w:jc w:val="both"/>
        <w:rPr>
          <w:rFonts w:ascii="Arial" w:hAnsi="Arial" w:cs="Arial"/>
          <w:bCs/>
        </w:rPr>
      </w:pPr>
    </w:p>
    <w:p w14:paraId="425508EB" w14:textId="434BC59E" w:rsidR="003A5C43" w:rsidRDefault="00F601EE" w:rsidP="00A80D5F">
      <w:pPr>
        <w:pStyle w:val="Prrafodelista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Arial" w:eastAsia="Arial" w:hAnsi="Arial" w:cs="Arial"/>
        </w:rPr>
      </w:pPr>
      <w:r w:rsidRPr="003A5C43">
        <w:rPr>
          <w:rFonts w:ascii="Arial" w:eastAsia="Arial" w:hAnsi="Arial" w:cs="Arial"/>
        </w:rPr>
        <w:t>El efecto neto de mayor recaudación como resultado del pago de obligaciones tributarias postergadas correspondiente</w:t>
      </w:r>
      <w:r w:rsidR="003A5C43">
        <w:rPr>
          <w:rFonts w:ascii="Arial" w:eastAsia="Arial" w:hAnsi="Arial" w:cs="Arial"/>
        </w:rPr>
        <w:t>s</w:t>
      </w:r>
      <w:r w:rsidRPr="003A5C43">
        <w:rPr>
          <w:rFonts w:ascii="Arial" w:eastAsia="Arial" w:hAnsi="Arial" w:cs="Arial"/>
        </w:rPr>
        <w:t xml:space="preserve"> al periodo tributario de junio de 2023.</w:t>
      </w:r>
    </w:p>
    <w:p w14:paraId="7265F6A8" w14:textId="77777777" w:rsidR="003A5C43" w:rsidRDefault="003A5C43" w:rsidP="003A5C43">
      <w:pPr>
        <w:pStyle w:val="Prrafodelista"/>
        <w:spacing w:after="0" w:line="240" w:lineRule="auto"/>
        <w:ind w:left="360"/>
        <w:contextualSpacing w:val="0"/>
        <w:jc w:val="both"/>
        <w:rPr>
          <w:rFonts w:ascii="Arial" w:eastAsia="Arial" w:hAnsi="Arial" w:cs="Arial"/>
        </w:rPr>
      </w:pPr>
    </w:p>
    <w:p w14:paraId="1A9563CA" w14:textId="1C47293B" w:rsidR="00F601EE" w:rsidRPr="003A5C43" w:rsidRDefault="00F601EE" w:rsidP="00A80D5F">
      <w:pPr>
        <w:pStyle w:val="Prrafodelista"/>
        <w:numPr>
          <w:ilvl w:val="0"/>
          <w:numId w:val="15"/>
        </w:numPr>
        <w:spacing w:after="0" w:line="240" w:lineRule="auto"/>
        <w:contextualSpacing w:val="0"/>
        <w:jc w:val="both"/>
        <w:rPr>
          <w:rFonts w:ascii="Arial" w:eastAsia="Arial" w:hAnsi="Arial" w:cs="Arial"/>
        </w:rPr>
      </w:pPr>
      <w:r w:rsidRPr="003A5C43">
        <w:rPr>
          <w:rFonts w:ascii="Arial" w:eastAsia="Arial" w:hAnsi="Arial" w:cs="Arial"/>
        </w:rPr>
        <w:t xml:space="preserve">Los pagos extraordinarios recibidos en agosto, por un monto total de S/ 197 millones (frente a S/ 35 millones en agosto </w:t>
      </w:r>
      <w:r w:rsidR="00030E1F" w:rsidRPr="003A5C43">
        <w:rPr>
          <w:rFonts w:ascii="Arial" w:eastAsia="Arial" w:hAnsi="Arial" w:cs="Arial"/>
        </w:rPr>
        <w:t xml:space="preserve">del </w:t>
      </w:r>
      <w:r w:rsidRPr="003A5C43">
        <w:rPr>
          <w:rFonts w:ascii="Arial" w:eastAsia="Arial" w:hAnsi="Arial" w:cs="Arial"/>
        </w:rPr>
        <w:t xml:space="preserve">2022), </w:t>
      </w:r>
      <w:r w:rsidR="003A5C43">
        <w:rPr>
          <w:rFonts w:ascii="Arial" w:eastAsia="Arial" w:hAnsi="Arial" w:cs="Arial"/>
        </w:rPr>
        <w:t>ello debido a las</w:t>
      </w:r>
      <w:r w:rsidRPr="003A5C43">
        <w:rPr>
          <w:rFonts w:ascii="Arial" w:eastAsia="Arial" w:hAnsi="Arial" w:cs="Arial"/>
        </w:rPr>
        <w:t xml:space="preserve"> acciones de control </w:t>
      </w:r>
      <w:r w:rsidR="003A5C43">
        <w:rPr>
          <w:rFonts w:ascii="Arial" w:eastAsia="Arial" w:hAnsi="Arial" w:cs="Arial"/>
        </w:rPr>
        <w:t>implementadas</w:t>
      </w:r>
      <w:r w:rsidRPr="003A5C43">
        <w:rPr>
          <w:rFonts w:ascii="Arial" w:eastAsia="Arial" w:hAnsi="Arial" w:cs="Arial"/>
        </w:rPr>
        <w:t xml:space="preserve"> por la SUNAT.</w:t>
      </w:r>
    </w:p>
    <w:p w14:paraId="27B67F60" w14:textId="77777777" w:rsidR="00E16F23" w:rsidRDefault="00E16F23" w:rsidP="00312F8B">
      <w:pPr>
        <w:spacing w:before="240" w:line="240" w:lineRule="auto"/>
        <w:jc w:val="center"/>
        <w:rPr>
          <w:rFonts w:ascii="Arial Nova" w:hAnsi="Arial Nova" w:cs="Arial"/>
          <w:b/>
          <w:sz w:val="24"/>
          <w:szCs w:val="24"/>
        </w:rPr>
      </w:pPr>
    </w:p>
    <w:p w14:paraId="297D871A" w14:textId="77777777" w:rsidR="00E16F23" w:rsidRDefault="00E16F23" w:rsidP="00312F8B">
      <w:pPr>
        <w:spacing w:before="240" w:line="240" w:lineRule="auto"/>
        <w:jc w:val="center"/>
        <w:rPr>
          <w:rFonts w:ascii="Arial Nova" w:hAnsi="Arial Nova" w:cs="Arial"/>
          <w:b/>
          <w:sz w:val="24"/>
          <w:szCs w:val="24"/>
        </w:rPr>
      </w:pPr>
    </w:p>
    <w:p w14:paraId="6559A8D8" w14:textId="77777777" w:rsidR="00E16F23" w:rsidRDefault="00E16F23" w:rsidP="00312F8B">
      <w:pPr>
        <w:spacing w:before="240" w:line="240" w:lineRule="auto"/>
        <w:jc w:val="center"/>
        <w:rPr>
          <w:rFonts w:ascii="Arial Nova" w:hAnsi="Arial Nova" w:cs="Arial"/>
          <w:b/>
          <w:sz w:val="24"/>
          <w:szCs w:val="24"/>
        </w:rPr>
      </w:pPr>
    </w:p>
    <w:p w14:paraId="522DEFBA" w14:textId="77777777" w:rsidR="00E16F23" w:rsidRDefault="00E16F23" w:rsidP="00312F8B">
      <w:pPr>
        <w:spacing w:before="240" w:line="240" w:lineRule="auto"/>
        <w:jc w:val="center"/>
        <w:rPr>
          <w:rFonts w:ascii="Arial Nova" w:hAnsi="Arial Nova" w:cs="Arial"/>
          <w:b/>
          <w:sz w:val="24"/>
          <w:szCs w:val="24"/>
        </w:rPr>
      </w:pPr>
    </w:p>
    <w:p w14:paraId="44856DF4" w14:textId="77777777" w:rsidR="00E16F23" w:rsidRDefault="00E16F23" w:rsidP="00312F8B">
      <w:pPr>
        <w:spacing w:before="240" w:line="240" w:lineRule="auto"/>
        <w:jc w:val="center"/>
        <w:rPr>
          <w:rFonts w:ascii="Arial Nova" w:hAnsi="Arial Nova" w:cs="Arial"/>
          <w:b/>
          <w:sz w:val="24"/>
          <w:szCs w:val="24"/>
        </w:rPr>
      </w:pPr>
    </w:p>
    <w:p w14:paraId="757CFB29" w14:textId="77777777" w:rsidR="00E16F23" w:rsidRDefault="00E16F23" w:rsidP="00312F8B">
      <w:pPr>
        <w:spacing w:before="240" w:line="240" w:lineRule="auto"/>
        <w:jc w:val="center"/>
        <w:rPr>
          <w:rFonts w:ascii="Arial Nova" w:hAnsi="Arial Nova" w:cs="Arial"/>
          <w:b/>
          <w:sz w:val="24"/>
          <w:szCs w:val="24"/>
        </w:rPr>
      </w:pPr>
    </w:p>
    <w:p w14:paraId="0F7AB149" w14:textId="77777777" w:rsidR="00E16F23" w:rsidRDefault="00E16F23" w:rsidP="00312F8B">
      <w:pPr>
        <w:spacing w:before="240" w:line="240" w:lineRule="auto"/>
        <w:jc w:val="center"/>
        <w:rPr>
          <w:rFonts w:ascii="Arial Nova" w:hAnsi="Arial Nova" w:cs="Arial"/>
          <w:b/>
          <w:sz w:val="24"/>
          <w:szCs w:val="24"/>
        </w:rPr>
      </w:pPr>
    </w:p>
    <w:p w14:paraId="3EDAE55F" w14:textId="77777777" w:rsidR="00E16F23" w:rsidRDefault="00E16F23" w:rsidP="00312F8B">
      <w:pPr>
        <w:spacing w:before="240" w:line="240" w:lineRule="auto"/>
        <w:jc w:val="center"/>
        <w:rPr>
          <w:rFonts w:ascii="Arial Nova" w:hAnsi="Arial Nova" w:cs="Arial"/>
          <w:b/>
          <w:sz w:val="24"/>
          <w:szCs w:val="24"/>
        </w:rPr>
      </w:pPr>
    </w:p>
    <w:p w14:paraId="483863F9" w14:textId="77777777" w:rsidR="00E16F23" w:rsidRDefault="00E16F23" w:rsidP="00312F8B">
      <w:pPr>
        <w:spacing w:before="240" w:line="240" w:lineRule="auto"/>
        <w:jc w:val="center"/>
        <w:rPr>
          <w:rFonts w:ascii="Arial Nova" w:hAnsi="Arial Nova" w:cs="Arial"/>
          <w:b/>
          <w:sz w:val="24"/>
          <w:szCs w:val="24"/>
        </w:rPr>
      </w:pPr>
    </w:p>
    <w:p w14:paraId="1FBF3FBC" w14:textId="77777777" w:rsidR="00E16F23" w:rsidRDefault="00E16F23" w:rsidP="00312F8B">
      <w:pPr>
        <w:spacing w:before="240" w:line="240" w:lineRule="auto"/>
        <w:jc w:val="center"/>
        <w:rPr>
          <w:rFonts w:ascii="Arial Nova" w:hAnsi="Arial Nova" w:cs="Arial"/>
          <w:b/>
          <w:sz w:val="24"/>
          <w:szCs w:val="24"/>
        </w:rPr>
      </w:pPr>
    </w:p>
    <w:p w14:paraId="2AB4AD00" w14:textId="77777777" w:rsidR="00E16F23" w:rsidRDefault="00E16F23" w:rsidP="00312F8B">
      <w:pPr>
        <w:spacing w:before="240" w:line="240" w:lineRule="auto"/>
        <w:jc w:val="center"/>
        <w:rPr>
          <w:rFonts w:ascii="Arial Nova" w:hAnsi="Arial Nova" w:cs="Arial"/>
          <w:b/>
          <w:sz w:val="24"/>
          <w:szCs w:val="24"/>
        </w:rPr>
      </w:pPr>
    </w:p>
    <w:p w14:paraId="50EB6A18" w14:textId="77777777" w:rsidR="00E16F23" w:rsidRDefault="00E16F23" w:rsidP="00312F8B">
      <w:pPr>
        <w:spacing w:before="240" w:line="240" w:lineRule="auto"/>
        <w:jc w:val="center"/>
        <w:rPr>
          <w:rFonts w:ascii="Arial Nova" w:hAnsi="Arial Nova" w:cs="Arial"/>
          <w:b/>
          <w:sz w:val="24"/>
          <w:szCs w:val="24"/>
        </w:rPr>
      </w:pPr>
    </w:p>
    <w:p w14:paraId="4DC0DC61" w14:textId="77777777" w:rsidR="00E16F23" w:rsidRDefault="00E16F23" w:rsidP="00312F8B">
      <w:pPr>
        <w:spacing w:before="240" w:line="240" w:lineRule="auto"/>
        <w:jc w:val="center"/>
        <w:rPr>
          <w:rFonts w:ascii="Arial Nova" w:hAnsi="Arial Nova" w:cs="Arial"/>
          <w:b/>
          <w:sz w:val="24"/>
          <w:szCs w:val="24"/>
        </w:rPr>
      </w:pPr>
    </w:p>
    <w:p w14:paraId="176B057E" w14:textId="77777777" w:rsidR="00E16F23" w:rsidRDefault="00E16F23" w:rsidP="00312F8B">
      <w:pPr>
        <w:spacing w:before="240" w:line="240" w:lineRule="auto"/>
        <w:jc w:val="center"/>
        <w:rPr>
          <w:rFonts w:ascii="Arial Nova" w:hAnsi="Arial Nova" w:cs="Arial"/>
          <w:b/>
          <w:sz w:val="24"/>
          <w:szCs w:val="24"/>
        </w:rPr>
      </w:pPr>
    </w:p>
    <w:p w14:paraId="4803644C" w14:textId="77777777" w:rsidR="00E16F23" w:rsidRDefault="00E16F23" w:rsidP="00312F8B">
      <w:pPr>
        <w:spacing w:before="240" w:line="240" w:lineRule="auto"/>
        <w:jc w:val="center"/>
        <w:rPr>
          <w:rFonts w:ascii="Arial Nova" w:hAnsi="Arial Nova" w:cs="Arial"/>
          <w:b/>
          <w:sz w:val="24"/>
          <w:szCs w:val="24"/>
        </w:rPr>
      </w:pPr>
    </w:p>
    <w:p w14:paraId="367A17CA" w14:textId="77777777" w:rsidR="00E16F23" w:rsidRDefault="00E16F23" w:rsidP="00312F8B">
      <w:pPr>
        <w:spacing w:before="240" w:line="240" w:lineRule="auto"/>
        <w:jc w:val="center"/>
        <w:rPr>
          <w:rFonts w:ascii="Arial Nova" w:hAnsi="Arial Nova" w:cs="Arial"/>
          <w:b/>
          <w:sz w:val="24"/>
          <w:szCs w:val="24"/>
        </w:rPr>
      </w:pPr>
    </w:p>
    <w:p w14:paraId="7355E12F" w14:textId="77777777" w:rsidR="00E16F23" w:rsidRDefault="00E16F23" w:rsidP="00312F8B">
      <w:pPr>
        <w:spacing w:before="240" w:line="240" w:lineRule="auto"/>
        <w:jc w:val="center"/>
        <w:rPr>
          <w:rFonts w:ascii="Arial Nova" w:hAnsi="Arial Nova" w:cs="Arial"/>
          <w:b/>
          <w:sz w:val="24"/>
          <w:szCs w:val="24"/>
        </w:rPr>
      </w:pPr>
    </w:p>
    <w:p w14:paraId="3FBA1B79" w14:textId="77777777" w:rsidR="00E16F23" w:rsidRDefault="00E16F23" w:rsidP="00312F8B">
      <w:pPr>
        <w:spacing w:before="240" w:line="240" w:lineRule="auto"/>
        <w:jc w:val="center"/>
        <w:rPr>
          <w:rFonts w:ascii="Arial Nova" w:hAnsi="Arial Nova" w:cs="Arial"/>
          <w:b/>
          <w:sz w:val="24"/>
          <w:szCs w:val="24"/>
        </w:rPr>
      </w:pPr>
    </w:p>
    <w:p w14:paraId="1F950A20" w14:textId="77777777" w:rsidR="00E16F23" w:rsidRDefault="00E16F23" w:rsidP="00312F8B">
      <w:pPr>
        <w:spacing w:before="240" w:line="240" w:lineRule="auto"/>
        <w:jc w:val="center"/>
        <w:rPr>
          <w:rFonts w:ascii="Arial Nova" w:hAnsi="Arial Nova" w:cs="Arial"/>
          <w:b/>
          <w:sz w:val="24"/>
          <w:szCs w:val="24"/>
        </w:rPr>
      </w:pPr>
    </w:p>
    <w:p w14:paraId="54AC889B" w14:textId="77777777" w:rsidR="00E16F23" w:rsidRDefault="00E16F23" w:rsidP="00312F8B">
      <w:pPr>
        <w:spacing w:before="240" w:line="240" w:lineRule="auto"/>
        <w:jc w:val="center"/>
        <w:rPr>
          <w:rFonts w:ascii="Arial Nova" w:hAnsi="Arial Nova" w:cs="Arial"/>
          <w:b/>
          <w:sz w:val="24"/>
          <w:szCs w:val="24"/>
        </w:rPr>
      </w:pPr>
    </w:p>
    <w:p w14:paraId="287A1328" w14:textId="77777777" w:rsidR="00E16F23" w:rsidRDefault="00E16F23" w:rsidP="00312F8B">
      <w:pPr>
        <w:spacing w:before="240" w:line="240" w:lineRule="auto"/>
        <w:jc w:val="center"/>
        <w:rPr>
          <w:rFonts w:ascii="Arial Nova" w:hAnsi="Arial Nova" w:cs="Arial"/>
          <w:b/>
          <w:sz w:val="24"/>
          <w:szCs w:val="24"/>
        </w:rPr>
      </w:pPr>
    </w:p>
    <w:p w14:paraId="4ECFD49E" w14:textId="77777777" w:rsidR="00E16F23" w:rsidRDefault="00E16F23" w:rsidP="00312F8B">
      <w:pPr>
        <w:spacing w:before="240" w:line="240" w:lineRule="auto"/>
        <w:jc w:val="center"/>
        <w:rPr>
          <w:rFonts w:ascii="Arial Nova" w:hAnsi="Arial Nova" w:cs="Arial"/>
          <w:b/>
          <w:sz w:val="24"/>
          <w:szCs w:val="24"/>
        </w:rPr>
      </w:pPr>
    </w:p>
    <w:p w14:paraId="609AB6B0" w14:textId="6E3DAAD6" w:rsidR="00C329CA" w:rsidRDefault="00312F8B" w:rsidP="00312F8B">
      <w:pPr>
        <w:spacing w:before="240" w:line="240" w:lineRule="auto"/>
        <w:jc w:val="center"/>
        <w:rPr>
          <w:rFonts w:ascii="Arial Nova" w:hAnsi="Arial Nova" w:cs="Arial"/>
          <w:b/>
          <w:sz w:val="24"/>
          <w:szCs w:val="24"/>
        </w:rPr>
      </w:pPr>
      <w:r w:rsidRPr="008D3332">
        <w:rPr>
          <w:rFonts w:ascii="Arial Nova" w:hAnsi="Arial Nova" w:cs="Arial"/>
          <w:b/>
          <w:sz w:val="24"/>
          <w:szCs w:val="24"/>
        </w:rPr>
        <w:lastRenderedPageBreak/>
        <w:t>ANEXOS</w:t>
      </w:r>
    </w:p>
    <w:p w14:paraId="31DE553C" w14:textId="3BA27BE0" w:rsidR="00F62C7F" w:rsidRDefault="001446C8" w:rsidP="00312F8B">
      <w:pPr>
        <w:spacing w:before="240" w:line="240" w:lineRule="auto"/>
        <w:jc w:val="center"/>
        <w:rPr>
          <w:rFonts w:ascii="Arial Nova" w:hAnsi="Arial Nova" w:cs="Arial"/>
          <w:b/>
          <w:sz w:val="24"/>
          <w:szCs w:val="24"/>
        </w:rPr>
      </w:pPr>
      <w:r>
        <w:rPr>
          <w:rFonts w:ascii="Arial Nova" w:hAnsi="Arial Nova" w:cs="Arial"/>
          <w:b/>
          <w:noProof/>
          <w:sz w:val="24"/>
          <w:szCs w:val="24"/>
        </w:rPr>
        <w:drawing>
          <wp:inline distT="0" distB="0" distL="0" distR="0" wp14:anchorId="6DE31499" wp14:editId="254ED160">
            <wp:extent cx="5056764" cy="2425700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704" cy="24395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968EA4" w14:textId="283E7CBD" w:rsidR="00E64991" w:rsidRDefault="001249B7" w:rsidP="003D5D5B">
      <w:pPr>
        <w:spacing w:before="240" w:line="240" w:lineRule="auto"/>
        <w:jc w:val="both"/>
        <w:rPr>
          <w:rFonts w:ascii="Arial Nova" w:hAnsi="Arial Nova" w:cs="Arial"/>
          <w:b/>
          <w:sz w:val="24"/>
          <w:szCs w:val="24"/>
        </w:rPr>
      </w:pPr>
      <w:r w:rsidRPr="008D3332">
        <w:rPr>
          <w:rFonts w:ascii="Arial Nova" w:hAnsi="Arial Nova" w:cs="Arial"/>
          <w:bCs/>
          <w:noProof/>
          <w:sz w:val="24"/>
          <w:szCs w:val="24"/>
        </w:rPr>
        <w:drawing>
          <wp:anchor distT="0" distB="0" distL="114300" distR="114300" simplePos="0" relativeHeight="251693056" behindDoc="0" locked="0" layoutInCell="1" allowOverlap="1" wp14:anchorId="242883FD" wp14:editId="4886E5AA">
            <wp:simplePos x="0" y="0"/>
            <wp:positionH relativeFrom="margin">
              <wp:posOffset>175895</wp:posOffset>
            </wp:positionH>
            <wp:positionV relativeFrom="paragraph">
              <wp:posOffset>2830830</wp:posOffset>
            </wp:positionV>
            <wp:extent cx="5043170" cy="2240280"/>
            <wp:effectExtent l="0" t="0" r="5080" b="7620"/>
            <wp:wrapSquare wrapText="bothSides"/>
            <wp:docPr id="16" name="Gráfico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2F8B" w:rsidRPr="008D3332">
        <w:rPr>
          <w:rFonts w:ascii="Arial Nova" w:hAnsi="Arial Nova" w:cs="Arial"/>
          <w:bCs/>
          <w:noProof/>
          <w:sz w:val="24"/>
          <w:szCs w:val="24"/>
        </w:rPr>
        <w:drawing>
          <wp:anchor distT="0" distB="0" distL="114300" distR="114300" simplePos="0" relativeHeight="251691008" behindDoc="0" locked="0" layoutInCell="1" allowOverlap="1" wp14:anchorId="04AB1F4B" wp14:editId="21806DB3">
            <wp:simplePos x="0" y="0"/>
            <wp:positionH relativeFrom="margin">
              <wp:posOffset>80010</wp:posOffset>
            </wp:positionH>
            <wp:positionV relativeFrom="paragraph">
              <wp:posOffset>224823</wp:posOffset>
            </wp:positionV>
            <wp:extent cx="5104130" cy="2225842"/>
            <wp:effectExtent l="0" t="0" r="1270" b="3175"/>
            <wp:wrapSquare wrapText="bothSides"/>
            <wp:docPr id="4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325F44" w14:textId="161C9B6D" w:rsidR="00F62C7F" w:rsidRDefault="00F62C7F" w:rsidP="003D5D5B">
      <w:pPr>
        <w:spacing w:before="240" w:line="240" w:lineRule="auto"/>
        <w:jc w:val="both"/>
        <w:rPr>
          <w:rFonts w:ascii="Arial Nova" w:hAnsi="Arial Nova" w:cs="Arial"/>
          <w:b/>
          <w:sz w:val="24"/>
          <w:szCs w:val="24"/>
        </w:rPr>
      </w:pPr>
    </w:p>
    <w:p w14:paraId="628358E5" w14:textId="63F64126" w:rsidR="00E16F23" w:rsidRDefault="00E16F23" w:rsidP="003D5D5B">
      <w:pPr>
        <w:spacing w:before="240" w:line="240" w:lineRule="auto"/>
        <w:jc w:val="both"/>
        <w:rPr>
          <w:rFonts w:ascii="Arial Nova" w:hAnsi="Arial Nova" w:cs="Arial"/>
          <w:b/>
          <w:sz w:val="24"/>
          <w:szCs w:val="24"/>
        </w:rPr>
      </w:pPr>
    </w:p>
    <w:p w14:paraId="463C2B63" w14:textId="5BC30945" w:rsidR="001249B7" w:rsidRPr="008D3332" w:rsidRDefault="003A5C43" w:rsidP="003D5D5B">
      <w:pPr>
        <w:spacing w:before="240" w:line="240" w:lineRule="auto"/>
        <w:jc w:val="both"/>
        <w:rPr>
          <w:rFonts w:ascii="Arial Nova" w:hAnsi="Arial Nova" w:cs="Arial"/>
          <w:bCs/>
          <w:sz w:val="24"/>
          <w:szCs w:val="24"/>
        </w:rPr>
      </w:pPr>
      <w:r w:rsidRPr="008D3332">
        <w:rPr>
          <w:rFonts w:ascii="Arial Nova" w:hAnsi="Arial Nova" w:cs="Arial"/>
          <w:noProof/>
          <w:kern w:val="24"/>
          <w:sz w:val="24"/>
          <w:szCs w:val="24"/>
          <w:lang w:val="es-ES"/>
        </w:rPr>
        <w:lastRenderedPageBreak/>
        <w:drawing>
          <wp:anchor distT="0" distB="0" distL="114300" distR="114300" simplePos="0" relativeHeight="251695104" behindDoc="0" locked="0" layoutInCell="1" allowOverlap="1" wp14:anchorId="2D3BFADB" wp14:editId="658009D0">
            <wp:simplePos x="0" y="0"/>
            <wp:positionH relativeFrom="margin">
              <wp:posOffset>285750</wp:posOffset>
            </wp:positionH>
            <wp:positionV relativeFrom="paragraph">
              <wp:posOffset>109220</wp:posOffset>
            </wp:positionV>
            <wp:extent cx="4907915" cy="2146300"/>
            <wp:effectExtent l="0" t="0" r="6985" b="6350"/>
            <wp:wrapNone/>
            <wp:docPr id="20" name="Gráfico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FFFD32" w14:textId="15A14ABF" w:rsidR="001249B7" w:rsidRPr="008D3332" w:rsidRDefault="001249B7" w:rsidP="003D5D5B">
      <w:pPr>
        <w:spacing w:before="240" w:line="240" w:lineRule="auto"/>
        <w:jc w:val="both"/>
        <w:rPr>
          <w:rFonts w:ascii="Arial Nova" w:hAnsi="Arial Nova" w:cs="Arial"/>
          <w:bCs/>
          <w:sz w:val="24"/>
          <w:szCs w:val="24"/>
        </w:rPr>
      </w:pPr>
    </w:p>
    <w:p w14:paraId="67BD4438" w14:textId="62EF1972" w:rsidR="001249B7" w:rsidRPr="008D3332" w:rsidRDefault="001249B7" w:rsidP="003D5D5B">
      <w:pPr>
        <w:spacing w:before="240" w:line="240" w:lineRule="auto"/>
        <w:jc w:val="both"/>
        <w:rPr>
          <w:rFonts w:ascii="Arial Nova" w:hAnsi="Arial Nova" w:cs="Arial"/>
          <w:bCs/>
          <w:sz w:val="24"/>
          <w:szCs w:val="24"/>
        </w:rPr>
      </w:pPr>
    </w:p>
    <w:p w14:paraId="09B002FC" w14:textId="406F257C" w:rsidR="001249B7" w:rsidRPr="008D3332" w:rsidRDefault="001249B7" w:rsidP="003D5D5B">
      <w:pPr>
        <w:spacing w:before="240" w:line="240" w:lineRule="auto"/>
        <w:jc w:val="both"/>
        <w:rPr>
          <w:rFonts w:ascii="Arial Nova" w:hAnsi="Arial Nova" w:cs="Arial"/>
          <w:bCs/>
          <w:sz w:val="24"/>
          <w:szCs w:val="24"/>
        </w:rPr>
      </w:pPr>
    </w:p>
    <w:p w14:paraId="0A89CE28" w14:textId="77777777" w:rsidR="00546455" w:rsidRDefault="00546455" w:rsidP="003D5D5B">
      <w:pPr>
        <w:spacing w:before="240" w:line="240" w:lineRule="auto"/>
        <w:jc w:val="both"/>
        <w:rPr>
          <w:rFonts w:ascii="Arial Nova" w:hAnsi="Arial Nova" w:cs="Arial"/>
          <w:bCs/>
          <w:sz w:val="24"/>
          <w:szCs w:val="24"/>
        </w:rPr>
      </w:pPr>
    </w:p>
    <w:p w14:paraId="7009E155" w14:textId="20ED4C1D" w:rsidR="003A5C43" w:rsidRDefault="003A5C43" w:rsidP="00546455">
      <w:pPr>
        <w:spacing w:before="240" w:line="240" w:lineRule="auto"/>
        <w:jc w:val="both"/>
        <w:rPr>
          <w:rFonts w:ascii="Arial Nova" w:hAnsi="Arial Nova" w:cs="Arial"/>
          <w:b/>
        </w:rPr>
      </w:pPr>
    </w:p>
    <w:p w14:paraId="66CC4F95" w14:textId="0F7C3F9F" w:rsidR="003A5C43" w:rsidRDefault="003A5C43" w:rsidP="00030E1F">
      <w:pPr>
        <w:spacing w:before="240" w:line="240" w:lineRule="auto"/>
        <w:contextualSpacing/>
        <w:jc w:val="center"/>
        <w:rPr>
          <w:rFonts w:ascii="Arial Nova" w:hAnsi="Arial Nova" w:cs="Arial"/>
          <w:b/>
        </w:rPr>
      </w:pPr>
    </w:p>
    <w:p w14:paraId="2F44662B" w14:textId="4AF58A5C" w:rsidR="003A5C43" w:rsidRDefault="003A5C43" w:rsidP="00030E1F">
      <w:pPr>
        <w:spacing w:before="240" w:line="240" w:lineRule="auto"/>
        <w:contextualSpacing/>
        <w:jc w:val="center"/>
        <w:rPr>
          <w:rFonts w:ascii="Arial Nova" w:hAnsi="Arial Nova" w:cs="Arial"/>
          <w:b/>
        </w:rPr>
      </w:pPr>
    </w:p>
    <w:p w14:paraId="048CB24F" w14:textId="4A8DAFA7" w:rsidR="003A5C43" w:rsidRDefault="00E745D3" w:rsidP="00030E1F">
      <w:pPr>
        <w:spacing w:before="240" w:line="240" w:lineRule="auto"/>
        <w:contextualSpacing/>
        <w:jc w:val="center"/>
        <w:rPr>
          <w:rFonts w:ascii="Arial Nova" w:hAnsi="Arial Nova" w:cs="Arial"/>
          <w:b/>
        </w:rPr>
      </w:pPr>
      <w:r w:rsidRPr="008D3332">
        <w:rPr>
          <w:rFonts w:ascii="Arial Nova" w:hAnsi="Arial Nova" w:cs="Arial"/>
          <w:noProof/>
          <w:kern w:val="24"/>
          <w:sz w:val="24"/>
          <w:szCs w:val="24"/>
          <w:lang w:val="es-ES"/>
        </w:rPr>
        <w:drawing>
          <wp:anchor distT="0" distB="0" distL="114300" distR="114300" simplePos="0" relativeHeight="251697152" behindDoc="0" locked="0" layoutInCell="1" allowOverlap="1" wp14:anchorId="79202B26" wp14:editId="38987F92">
            <wp:simplePos x="0" y="0"/>
            <wp:positionH relativeFrom="margin">
              <wp:align>center</wp:align>
            </wp:positionH>
            <wp:positionV relativeFrom="paragraph">
              <wp:posOffset>318135</wp:posOffset>
            </wp:positionV>
            <wp:extent cx="4899660" cy="2369820"/>
            <wp:effectExtent l="0" t="0" r="0" b="0"/>
            <wp:wrapSquare wrapText="bothSides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1BDFD8" w14:textId="77777777" w:rsidR="003A5C43" w:rsidRDefault="003A5C43" w:rsidP="00030E1F">
      <w:pPr>
        <w:spacing w:before="240" w:line="240" w:lineRule="auto"/>
        <w:contextualSpacing/>
        <w:jc w:val="center"/>
        <w:rPr>
          <w:rFonts w:ascii="Arial Nova" w:hAnsi="Arial Nova" w:cs="Arial"/>
          <w:b/>
        </w:rPr>
      </w:pPr>
    </w:p>
    <w:p w14:paraId="1DAE481D" w14:textId="77777777" w:rsidR="003A5C43" w:rsidRDefault="003A5C43" w:rsidP="00030E1F">
      <w:pPr>
        <w:spacing w:before="240" w:line="240" w:lineRule="auto"/>
        <w:contextualSpacing/>
        <w:jc w:val="center"/>
        <w:rPr>
          <w:rFonts w:ascii="Arial Nova" w:hAnsi="Arial Nova" w:cs="Arial"/>
          <w:b/>
        </w:rPr>
      </w:pPr>
    </w:p>
    <w:p w14:paraId="2AD11412" w14:textId="77777777" w:rsidR="003A5C43" w:rsidRDefault="003A5C43" w:rsidP="00030E1F">
      <w:pPr>
        <w:spacing w:before="240" w:line="240" w:lineRule="auto"/>
        <w:contextualSpacing/>
        <w:jc w:val="center"/>
        <w:rPr>
          <w:rFonts w:ascii="Arial Nova" w:hAnsi="Arial Nova" w:cs="Arial"/>
          <w:b/>
        </w:rPr>
      </w:pPr>
    </w:p>
    <w:p w14:paraId="2350B81A" w14:textId="77777777" w:rsidR="003A5C43" w:rsidRDefault="003A5C43" w:rsidP="00030E1F">
      <w:pPr>
        <w:spacing w:before="240" w:line="240" w:lineRule="auto"/>
        <w:contextualSpacing/>
        <w:jc w:val="center"/>
        <w:rPr>
          <w:rFonts w:ascii="Arial Nova" w:hAnsi="Arial Nova" w:cs="Arial"/>
          <w:b/>
        </w:rPr>
      </w:pPr>
    </w:p>
    <w:p w14:paraId="066F20D1" w14:textId="77777777" w:rsidR="003A5C43" w:rsidRDefault="003A5C43" w:rsidP="00030E1F">
      <w:pPr>
        <w:spacing w:before="240" w:line="240" w:lineRule="auto"/>
        <w:contextualSpacing/>
        <w:jc w:val="center"/>
        <w:rPr>
          <w:rFonts w:ascii="Arial Nova" w:hAnsi="Arial Nova" w:cs="Arial"/>
          <w:b/>
        </w:rPr>
      </w:pPr>
    </w:p>
    <w:p w14:paraId="7AB27258" w14:textId="77777777" w:rsidR="003A5C43" w:rsidRDefault="003A5C43" w:rsidP="00030E1F">
      <w:pPr>
        <w:spacing w:before="240" w:line="240" w:lineRule="auto"/>
        <w:contextualSpacing/>
        <w:jc w:val="center"/>
        <w:rPr>
          <w:rFonts w:ascii="Arial Nova" w:hAnsi="Arial Nova" w:cs="Arial"/>
          <w:b/>
        </w:rPr>
      </w:pPr>
    </w:p>
    <w:p w14:paraId="7A274E47" w14:textId="77777777" w:rsidR="003A5C43" w:rsidRDefault="003A5C43" w:rsidP="00030E1F">
      <w:pPr>
        <w:spacing w:before="240" w:line="240" w:lineRule="auto"/>
        <w:contextualSpacing/>
        <w:jc w:val="center"/>
        <w:rPr>
          <w:rFonts w:ascii="Arial Nova" w:hAnsi="Arial Nova" w:cs="Arial"/>
          <w:b/>
        </w:rPr>
      </w:pPr>
    </w:p>
    <w:p w14:paraId="146A9D97" w14:textId="77777777" w:rsidR="003A5C43" w:rsidRDefault="003A5C43" w:rsidP="00030E1F">
      <w:pPr>
        <w:spacing w:before="240" w:line="240" w:lineRule="auto"/>
        <w:contextualSpacing/>
        <w:jc w:val="center"/>
        <w:rPr>
          <w:rFonts w:ascii="Arial Nova" w:hAnsi="Arial Nova" w:cs="Arial"/>
          <w:b/>
        </w:rPr>
      </w:pPr>
    </w:p>
    <w:p w14:paraId="18A8D929" w14:textId="77777777" w:rsidR="003A5C43" w:rsidRDefault="003A5C43" w:rsidP="00030E1F">
      <w:pPr>
        <w:spacing w:before="240" w:line="240" w:lineRule="auto"/>
        <w:contextualSpacing/>
        <w:jc w:val="center"/>
        <w:rPr>
          <w:rFonts w:ascii="Arial Nova" w:hAnsi="Arial Nova" w:cs="Arial"/>
          <w:b/>
        </w:rPr>
      </w:pPr>
    </w:p>
    <w:p w14:paraId="2D1215E9" w14:textId="77777777" w:rsidR="003A5C43" w:rsidRDefault="003A5C43" w:rsidP="00030E1F">
      <w:pPr>
        <w:spacing w:before="240" w:line="240" w:lineRule="auto"/>
        <w:contextualSpacing/>
        <w:jc w:val="center"/>
        <w:rPr>
          <w:rFonts w:ascii="Arial Nova" w:hAnsi="Arial Nova" w:cs="Arial"/>
          <w:b/>
        </w:rPr>
      </w:pPr>
    </w:p>
    <w:p w14:paraId="7A9E33B5" w14:textId="77777777" w:rsidR="003A5C43" w:rsidRDefault="003A5C43" w:rsidP="00030E1F">
      <w:pPr>
        <w:spacing w:before="240" w:line="240" w:lineRule="auto"/>
        <w:contextualSpacing/>
        <w:jc w:val="center"/>
        <w:rPr>
          <w:rFonts w:ascii="Arial Nova" w:hAnsi="Arial Nova" w:cs="Arial"/>
          <w:b/>
        </w:rPr>
      </w:pPr>
    </w:p>
    <w:p w14:paraId="0A44CD50" w14:textId="2C1833CF" w:rsidR="003A5C43" w:rsidRDefault="003A5C43" w:rsidP="00030E1F">
      <w:pPr>
        <w:spacing w:before="240" w:line="240" w:lineRule="auto"/>
        <w:contextualSpacing/>
        <w:jc w:val="center"/>
        <w:rPr>
          <w:rFonts w:ascii="Arial Nova" w:hAnsi="Arial Nova" w:cs="Arial"/>
          <w:b/>
        </w:rPr>
      </w:pPr>
    </w:p>
    <w:p w14:paraId="3788630B" w14:textId="064C647B" w:rsidR="00546455" w:rsidRDefault="00546455" w:rsidP="00030E1F">
      <w:pPr>
        <w:spacing w:before="240" w:line="240" w:lineRule="auto"/>
        <w:contextualSpacing/>
        <w:jc w:val="center"/>
        <w:rPr>
          <w:rFonts w:ascii="Arial Nova" w:hAnsi="Arial Nova" w:cs="Arial"/>
          <w:b/>
        </w:rPr>
      </w:pPr>
    </w:p>
    <w:p w14:paraId="3BB78119" w14:textId="09E081B0" w:rsidR="00546455" w:rsidRDefault="00546455" w:rsidP="00030E1F">
      <w:pPr>
        <w:spacing w:before="240" w:line="240" w:lineRule="auto"/>
        <w:contextualSpacing/>
        <w:jc w:val="center"/>
        <w:rPr>
          <w:rFonts w:ascii="Arial Nova" w:hAnsi="Arial Nova" w:cs="Arial"/>
          <w:b/>
        </w:rPr>
      </w:pPr>
    </w:p>
    <w:p w14:paraId="04DBFC1B" w14:textId="06635002" w:rsidR="00546455" w:rsidRDefault="00546455" w:rsidP="00030E1F">
      <w:pPr>
        <w:spacing w:before="240" w:line="240" w:lineRule="auto"/>
        <w:contextualSpacing/>
        <w:jc w:val="center"/>
        <w:rPr>
          <w:rFonts w:ascii="Arial Nova" w:hAnsi="Arial Nova" w:cs="Arial"/>
          <w:b/>
        </w:rPr>
      </w:pPr>
    </w:p>
    <w:p w14:paraId="2B01190C" w14:textId="642A9D4D" w:rsidR="00546455" w:rsidRDefault="00546455" w:rsidP="00030E1F">
      <w:pPr>
        <w:spacing w:before="240" w:line="240" w:lineRule="auto"/>
        <w:contextualSpacing/>
        <w:jc w:val="center"/>
        <w:rPr>
          <w:rFonts w:ascii="Arial Nova" w:hAnsi="Arial Nova" w:cs="Arial"/>
          <w:b/>
        </w:rPr>
      </w:pPr>
    </w:p>
    <w:p w14:paraId="51E178CD" w14:textId="51E4248B" w:rsidR="00546455" w:rsidRDefault="00546455" w:rsidP="00030E1F">
      <w:pPr>
        <w:spacing w:before="240" w:line="240" w:lineRule="auto"/>
        <w:contextualSpacing/>
        <w:jc w:val="center"/>
        <w:rPr>
          <w:rFonts w:ascii="Arial Nova" w:hAnsi="Arial Nova" w:cs="Arial"/>
          <w:b/>
        </w:rPr>
      </w:pPr>
    </w:p>
    <w:p w14:paraId="385ABAB1" w14:textId="038EA4FF" w:rsidR="00546455" w:rsidRDefault="00546455" w:rsidP="00030E1F">
      <w:pPr>
        <w:spacing w:before="240" w:line="240" w:lineRule="auto"/>
        <w:contextualSpacing/>
        <w:jc w:val="center"/>
        <w:rPr>
          <w:rFonts w:ascii="Arial Nova" w:hAnsi="Arial Nova" w:cs="Arial"/>
          <w:b/>
        </w:rPr>
      </w:pPr>
    </w:p>
    <w:p w14:paraId="125C7892" w14:textId="77777777" w:rsidR="00E745D3" w:rsidRDefault="00E745D3" w:rsidP="00030E1F">
      <w:pPr>
        <w:spacing w:before="240" w:line="240" w:lineRule="auto"/>
        <w:contextualSpacing/>
        <w:jc w:val="center"/>
        <w:rPr>
          <w:rFonts w:ascii="Arial Nova" w:hAnsi="Arial Nova" w:cs="Arial"/>
          <w:b/>
        </w:rPr>
      </w:pPr>
    </w:p>
    <w:p w14:paraId="71BEF264" w14:textId="77777777" w:rsidR="000A4523" w:rsidRDefault="000A4523" w:rsidP="00030E1F">
      <w:pPr>
        <w:spacing w:before="240" w:line="240" w:lineRule="auto"/>
        <w:contextualSpacing/>
        <w:jc w:val="center"/>
        <w:rPr>
          <w:rFonts w:ascii="Arial Nova" w:hAnsi="Arial Nova" w:cs="Arial"/>
          <w:b/>
        </w:rPr>
      </w:pPr>
    </w:p>
    <w:p w14:paraId="6A5E12E6" w14:textId="77777777" w:rsidR="003A5C43" w:rsidRDefault="003A5C43" w:rsidP="00030E1F">
      <w:pPr>
        <w:spacing w:before="240" w:line="240" w:lineRule="auto"/>
        <w:contextualSpacing/>
        <w:jc w:val="center"/>
        <w:rPr>
          <w:rFonts w:ascii="Arial Nova" w:hAnsi="Arial Nova" w:cs="Arial"/>
          <w:b/>
        </w:rPr>
      </w:pPr>
    </w:p>
    <w:p w14:paraId="6A7AB531" w14:textId="77777777" w:rsidR="003A5C43" w:rsidRDefault="003A5C43" w:rsidP="00030E1F">
      <w:pPr>
        <w:spacing w:before="240" w:line="240" w:lineRule="auto"/>
        <w:contextualSpacing/>
        <w:jc w:val="center"/>
        <w:rPr>
          <w:rFonts w:ascii="Arial Nova" w:hAnsi="Arial Nova" w:cs="Arial"/>
          <w:b/>
        </w:rPr>
      </w:pPr>
    </w:p>
    <w:p w14:paraId="0C0ECFD9" w14:textId="71FBB86F" w:rsidR="001249B7" w:rsidRPr="008D3332" w:rsidRDefault="001249B7" w:rsidP="00030E1F">
      <w:pPr>
        <w:spacing w:before="240" w:line="240" w:lineRule="auto"/>
        <w:contextualSpacing/>
        <w:jc w:val="center"/>
        <w:rPr>
          <w:rFonts w:ascii="Arial Nova" w:hAnsi="Arial Nova" w:cs="Arial"/>
          <w:b/>
        </w:rPr>
      </w:pPr>
      <w:r w:rsidRPr="008D3332">
        <w:rPr>
          <w:rFonts w:ascii="Arial Nova" w:hAnsi="Arial Nova" w:cs="Arial"/>
          <w:b/>
        </w:rPr>
        <w:lastRenderedPageBreak/>
        <w:t xml:space="preserve">Recaudación por tributo: </w:t>
      </w:r>
      <w:r w:rsidR="00030E1F">
        <w:rPr>
          <w:rFonts w:ascii="Arial Nova" w:hAnsi="Arial Nova" w:cs="Arial"/>
          <w:b/>
        </w:rPr>
        <w:t>a</w:t>
      </w:r>
      <w:r w:rsidR="00963A7C" w:rsidRPr="008D3332">
        <w:rPr>
          <w:rFonts w:ascii="Arial Nova" w:hAnsi="Arial Nova" w:cs="Arial"/>
          <w:b/>
        </w:rPr>
        <w:t>gost</w:t>
      </w:r>
      <w:r w:rsidR="004001FE" w:rsidRPr="008D3332">
        <w:rPr>
          <w:rFonts w:ascii="Arial Nova" w:hAnsi="Arial Nova" w:cs="Arial"/>
          <w:b/>
        </w:rPr>
        <w:t xml:space="preserve">o </w:t>
      </w:r>
      <w:r w:rsidRPr="008D3332">
        <w:rPr>
          <w:rFonts w:ascii="Arial Nova" w:hAnsi="Arial Nova" w:cs="Arial"/>
          <w:b/>
        </w:rPr>
        <w:t>2023</w:t>
      </w:r>
    </w:p>
    <w:p w14:paraId="4B732F7E" w14:textId="1A31EB27" w:rsidR="001249B7" w:rsidRPr="008D3332" w:rsidRDefault="001249B7" w:rsidP="00030E1F">
      <w:pPr>
        <w:spacing w:before="240" w:line="240" w:lineRule="auto"/>
        <w:contextualSpacing/>
        <w:jc w:val="center"/>
        <w:rPr>
          <w:rFonts w:ascii="Arial Nova" w:hAnsi="Arial Nova" w:cs="Arial"/>
          <w:b/>
        </w:rPr>
      </w:pPr>
      <w:r w:rsidRPr="008D3332">
        <w:rPr>
          <w:rFonts w:ascii="Arial Nova" w:hAnsi="Arial Nova" w:cs="Arial"/>
          <w:b/>
        </w:rPr>
        <w:t>(</w:t>
      </w:r>
      <w:r w:rsidR="00030E1F">
        <w:rPr>
          <w:rFonts w:ascii="Arial Nova" w:hAnsi="Arial Nova" w:cs="Arial"/>
          <w:b/>
        </w:rPr>
        <w:t>e</w:t>
      </w:r>
      <w:r w:rsidRPr="008D3332">
        <w:rPr>
          <w:rFonts w:ascii="Arial Nova" w:hAnsi="Arial Nova" w:cs="Arial"/>
          <w:b/>
        </w:rPr>
        <w:t>n millones de soles y variación % real)</w:t>
      </w:r>
    </w:p>
    <w:p w14:paraId="238F92C9" w14:textId="77777777" w:rsidR="00111298" w:rsidRPr="008D3332" w:rsidRDefault="00111298" w:rsidP="001249B7">
      <w:pPr>
        <w:spacing w:before="240" w:line="240" w:lineRule="auto"/>
        <w:contextualSpacing/>
        <w:jc w:val="both"/>
        <w:rPr>
          <w:rFonts w:ascii="Arial Nova" w:hAnsi="Arial Nova" w:cs="Arial"/>
          <w:b/>
          <w:sz w:val="24"/>
          <w:szCs w:val="24"/>
        </w:rPr>
      </w:pPr>
    </w:p>
    <w:p w14:paraId="604C3151" w14:textId="199293FD" w:rsidR="00111298" w:rsidRPr="008D3332" w:rsidRDefault="001446C8" w:rsidP="001249B7">
      <w:pPr>
        <w:spacing w:before="240" w:line="240" w:lineRule="auto"/>
        <w:contextualSpacing/>
        <w:jc w:val="both"/>
        <w:rPr>
          <w:rFonts w:ascii="Arial Nova" w:hAnsi="Arial Nova" w:cs="Arial"/>
          <w:bCs/>
        </w:rPr>
      </w:pPr>
      <w:r>
        <w:rPr>
          <w:rFonts w:ascii="Arial Nova" w:hAnsi="Arial Nova" w:cs="Arial"/>
          <w:bCs/>
          <w:noProof/>
        </w:rPr>
        <w:drawing>
          <wp:inline distT="0" distB="0" distL="0" distR="0" wp14:anchorId="4F52F5EA" wp14:editId="7F1D13EE">
            <wp:extent cx="5962650" cy="4584700"/>
            <wp:effectExtent l="0" t="0" r="0" b="635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4584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F4C1AA" w14:textId="2FB63FF8" w:rsidR="00111298" w:rsidRPr="008D3332" w:rsidRDefault="00111298" w:rsidP="001249B7">
      <w:pPr>
        <w:spacing w:before="240" w:line="240" w:lineRule="auto"/>
        <w:contextualSpacing/>
        <w:jc w:val="both"/>
        <w:rPr>
          <w:rFonts w:ascii="Arial Nova" w:hAnsi="Arial Nova" w:cs="Arial"/>
          <w:bCs/>
        </w:rPr>
      </w:pPr>
    </w:p>
    <w:p w14:paraId="089CA7AA" w14:textId="7CD8CCEA" w:rsidR="00111298" w:rsidRPr="008D3332" w:rsidRDefault="00111298" w:rsidP="001249B7">
      <w:pPr>
        <w:spacing w:before="240" w:line="240" w:lineRule="auto"/>
        <w:contextualSpacing/>
        <w:jc w:val="both"/>
        <w:rPr>
          <w:rFonts w:ascii="Arial Nova" w:hAnsi="Arial Nova" w:cs="Arial"/>
          <w:bCs/>
        </w:rPr>
      </w:pPr>
    </w:p>
    <w:p w14:paraId="1075D746" w14:textId="77AFBD97" w:rsidR="001249B7" w:rsidRPr="000A4523" w:rsidRDefault="001249B7" w:rsidP="000A4523">
      <w:p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0A4523">
        <w:rPr>
          <w:rFonts w:ascii="Arial" w:hAnsi="Arial" w:cs="Arial"/>
          <w:b/>
        </w:rPr>
        <w:t>Gerencia de Comunicaciones e Imagen Institucional</w:t>
      </w:r>
    </w:p>
    <w:p w14:paraId="6FB84E64" w14:textId="35FDF8C6" w:rsidR="001249B7" w:rsidRPr="000A4523" w:rsidRDefault="001249B7" w:rsidP="000A4523">
      <w:pPr>
        <w:spacing w:after="0" w:line="240" w:lineRule="auto"/>
        <w:contextualSpacing/>
        <w:jc w:val="both"/>
        <w:rPr>
          <w:rFonts w:ascii="Arial" w:hAnsi="Arial" w:cs="Arial"/>
          <w:bCs/>
        </w:rPr>
      </w:pPr>
      <w:r w:rsidRPr="000A4523">
        <w:rPr>
          <w:rFonts w:ascii="Arial" w:hAnsi="Arial" w:cs="Arial"/>
          <w:bCs/>
        </w:rPr>
        <w:t>Lima,</w:t>
      </w:r>
      <w:r w:rsidR="00570A72" w:rsidRPr="000A4523">
        <w:rPr>
          <w:rFonts w:ascii="Arial" w:hAnsi="Arial" w:cs="Arial"/>
          <w:bCs/>
        </w:rPr>
        <w:t xml:space="preserve"> </w:t>
      </w:r>
      <w:r w:rsidR="00E16F23">
        <w:rPr>
          <w:rFonts w:ascii="Arial" w:hAnsi="Arial" w:cs="Arial"/>
          <w:bCs/>
        </w:rPr>
        <w:t>domingo</w:t>
      </w:r>
      <w:r w:rsidR="00030E1F" w:rsidRPr="000A4523">
        <w:rPr>
          <w:rFonts w:ascii="Arial" w:hAnsi="Arial" w:cs="Arial"/>
          <w:bCs/>
        </w:rPr>
        <w:t xml:space="preserve"> </w:t>
      </w:r>
      <w:r w:rsidR="00E16F23">
        <w:rPr>
          <w:rFonts w:ascii="Arial" w:hAnsi="Arial" w:cs="Arial"/>
          <w:bCs/>
        </w:rPr>
        <w:t>10</w:t>
      </w:r>
      <w:r w:rsidRPr="000A4523">
        <w:rPr>
          <w:rFonts w:ascii="Arial" w:hAnsi="Arial" w:cs="Arial"/>
          <w:bCs/>
        </w:rPr>
        <w:t xml:space="preserve"> de </w:t>
      </w:r>
      <w:r w:rsidR="00963A7C" w:rsidRPr="000A4523">
        <w:rPr>
          <w:rFonts w:ascii="Arial" w:hAnsi="Arial" w:cs="Arial"/>
          <w:bCs/>
        </w:rPr>
        <w:t>septiembre</w:t>
      </w:r>
      <w:r w:rsidRPr="000A4523">
        <w:rPr>
          <w:rFonts w:ascii="Arial" w:hAnsi="Arial" w:cs="Arial"/>
          <w:bCs/>
        </w:rPr>
        <w:t xml:space="preserve"> del 2023</w:t>
      </w:r>
      <w:r w:rsidR="000A4523">
        <w:rPr>
          <w:rFonts w:ascii="Arial" w:hAnsi="Arial" w:cs="Arial"/>
          <w:bCs/>
        </w:rPr>
        <w:t>.</w:t>
      </w:r>
    </w:p>
    <w:sectPr w:rsidR="001249B7" w:rsidRPr="000A4523" w:rsidSect="00E16F23">
      <w:headerReference w:type="default" r:id="rId14"/>
      <w:footerReference w:type="default" r:id="rId15"/>
      <w:pgSz w:w="11906" w:h="16838"/>
      <w:pgMar w:top="1417" w:right="1701" w:bottom="1134" w:left="1701" w:header="567" w:footer="6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5B2561" w14:textId="77777777" w:rsidR="006B53BF" w:rsidRDefault="006B53BF" w:rsidP="0011247F">
      <w:pPr>
        <w:spacing w:after="0" w:line="240" w:lineRule="auto"/>
      </w:pPr>
      <w:r>
        <w:separator/>
      </w:r>
    </w:p>
  </w:endnote>
  <w:endnote w:type="continuationSeparator" w:id="0">
    <w:p w14:paraId="2A549177" w14:textId="77777777" w:rsidR="006B53BF" w:rsidRDefault="006B53BF" w:rsidP="001124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B726B" w14:textId="13455267" w:rsidR="00560B92" w:rsidRPr="00560B92" w:rsidRDefault="00560B92" w:rsidP="00560B92">
    <w:pPr>
      <w:tabs>
        <w:tab w:val="center" w:pos="4252"/>
        <w:tab w:val="right" w:pos="8504"/>
      </w:tabs>
      <w:spacing w:after="0" w:line="240" w:lineRule="auto"/>
      <w:rPr>
        <w:rFonts w:cs="Times New Roman"/>
        <w:lang w:eastAsia="en-US"/>
      </w:rPr>
    </w:pPr>
    <w:r w:rsidRPr="00560B92">
      <w:rPr>
        <w:rFonts w:cs="Times New Roman"/>
        <w:noProof/>
        <w:lang w:eastAsia="en-US"/>
      </w:rPr>
      <w:drawing>
        <wp:inline distT="0" distB="0" distL="0" distR="0" wp14:anchorId="1BCC8E2C" wp14:editId="50882D79">
          <wp:extent cx="285750" cy="285750"/>
          <wp:effectExtent l="0" t="0" r="0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75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560B92">
      <w:rPr>
        <w:rFonts w:cs="Times New Roman"/>
        <w:lang w:eastAsia="en-US"/>
      </w:rPr>
      <w:t>@SUNATOficial</w:t>
    </w:r>
  </w:p>
  <w:p w14:paraId="4FFDEFBF" w14:textId="77777777" w:rsidR="00560B92" w:rsidRDefault="00560B9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5CC9D" w14:textId="77777777" w:rsidR="006B53BF" w:rsidRDefault="006B53BF" w:rsidP="0011247F">
      <w:pPr>
        <w:spacing w:after="0" w:line="240" w:lineRule="auto"/>
      </w:pPr>
      <w:r>
        <w:separator/>
      </w:r>
    </w:p>
  </w:footnote>
  <w:footnote w:type="continuationSeparator" w:id="0">
    <w:p w14:paraId="0DCFF07D" w14:textId="77777777" w:rsidR="006B53BF" w:rsidRDefault="006B53BF" w:rsidP="001124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2388FF" w14:textId="1E95FECA" w:rsidR="00560B92" w:rsidRDefault="00560B92">
    <w:pPr>
      <w:pStyle w:val="Encabezado"/>
    </w:pPr>
    <w:r w:rsidRPr="000F63EA">
      <w:rPr>
        <w:noProof/>
      </w:rPr>
      <w:drawing>
        <wp:inline distT="0" distB="0" distL="0" distR="0" wp14:anchorId="6B8B9CE5" wp14:editId="7D5770F9">
          <wp:extent cx="2209800" cy="704850"/>
          <wp:effectExtent l="0" t="0" r="0" b="0"/>
          <wp:docPr id="1" name="Imagen 1" descr="Descripción: logoofi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Descripción: logoofici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311E"/>
    <w:multiLevelType w:val="hybridMultilevel"/>
    <w:tmpl w:val="FDD80B9C"/>
    <w:lvl w:ilvl="0" w:tplc="DE2CDCB0">
      <w:start w:val="350"/>
      <w:numFmt w:val="bullet"/>
      <w:lvlText w:val="-"/>
      <w:lvlJc w:val="left"/>
      <w:pPr>
        <w:ind w:left="786" w:hanging="360"/>
      </w:pPr>
      <w:rPr>
        <w:rFonts w:ascii="Arial" w:eastAsia="Arial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1468040C"/>
    <w:multiLevelType w:val="hybridMultilevel"/>
    <w:tmpl w:val="4BB834E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C708BF"/>
    <w:multiLevelType w:val="hybridMultilevel"/>
    <w:tmpl w:val="69F65B50"/>
    <w:lvl w:ilvl="0" w:tplc="280A000D">
      <w:start w:val="1"/>
      <w:numFmt w:val="bullet"/>
      <w:lvlText w:val=""/>
      <w:lvlJc w:val="left"/>
      <w:pPr>
        <w:ind w:left="114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1D6F6E61"/>
    <w:multiLevelType w:val="hybridMultilevel"/>
    <w:tmpl w:val="815C438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547DD1"/>
    <w:multiLevelType w:val="hybridMultilevel"/>
    <w:tmpl w:val="26A4D57E"/>
    <w:lvl w:ilvl="0" w:tplc="280A0001">
      <w:start w:val="1"/>
      <w:numFmt w:val="bullet"/>
      <w:lvlText w:val=""/>
      <w:lvlJc w:val="left"/>
      <w:pPr>
        <w:ind w:left="150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hint="default"/>
      </w:rPr>
    </w:lvl>
  </w:abstractNum>
  <w:abstractNum w:abstractNumId="5" w15:restartNumberingAfterBreak="0">
    <w:nsid w:val="331A1708"/>
    <w:multiLevelType w:val="hybridMultilevel"/>
    <w:tmpl w:val="6FA46C22"/>
    <w:lvl w:ilvl="0" w:tplc="280A0001">
      <w:start w:val="1"/>
      <w:numFmt w:val="bullet"/>
      <w:lvlText w:val=""/>
      <w:lvlJc w:val="left"/>
      <w:pPr>
        <w:ind w:left="42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88" w:hanging="360"/>
      </w:pPr>
      <w:rPr>
        <w:rFonts w:ascii="Wingdings" w:hAnsi="Wingdings" w:hint="default"/>
      </w:rPr>
    </w:lvl>
  </w:abstractNum>
  <w:abstractNum w:abstractNumId="6" w15:restartNumberingAfterBreak="0">
    <w:nsid w:val="3B3947D3"/>
    <w:multiLevelType w:val="hybridMultilevel"/>
    <w:tmpl w:val="620CC73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12329"/>
    <w:multiLevelType w:val="hybridMultilevel"/>
    <w:tmpl w:val="3C8C31C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A7668D"/>
    <w:multiLevelType w:val="hybridMultilevel"/>
    <w:tmpl w:val="06DEAD4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72D2F46"/>
    <w:multiLevelType w:val="hybridMultilevel"/>
    <w:tmpl w:val="9410B90C"/>
    <w:lvl w:ilvl="0" w:tplc="788AD3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8989DB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240D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6F84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1C0369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08B9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F2D7E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76AD87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FD480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9236AD"/>
    <w:multiLevelType w:val="hybridMultilevel"/>
    <w:tmpl w:val="7FB47E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C55C3"/>
    <w:multiLevelType w:val="hybridMultilevel"/>
    <w:tmpl w:val="B024079A"/>
    <w:lvl w:ilvl="0" w:tplc="280A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6C16532B"/>
    <w:multiLevelType w:val="hybridMultilevel"/>
    <w:tmpl w:val="AB9274BE"/>
    <w:lvl w:ilvl="0" w:tplc="5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D60597A"/>
    <w:multiLevelType w:val="hybridMultilevel"/>
    <w:tmpl w:val="D72C4176"/>
    <w:lvl w:ilvl="0" w:tplc="580A0001">
      <w:start w:val="1"/>
      <w:numFmt w:val="bullet"/>
      <w:lvlText w:val=""/>
      <w:lvlJc w:val="left"/>
      <w:pPr>
        <w:ind w:left="426" w:hanging="360"/>
      </w:pPr>
      <w:rPr>
        <w:rFonts w:ascii="Symbol" w:hAnsi="Symbol" w:hint="default"/>
      </w:rPr>
    </w:lvl>
    <w:lvl w:ilvl="1" w:tplc="580A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580A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580A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580A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580A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580A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580A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580A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4" w15:restartNumberingAfterBreak="0">
    <w:nsid w:val="73AA193C"/>
    <w:multiLevelType w:val="hybridMultilevel"/>
    <w:tmpl w:val="A998E038"/>
    <w:lvl w:ilvl="0" w:tplc="28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7EB5256"/>
    <w:multiLevelType w:val="hybridMultilevel"/>
    <w:tmpl w:val="E7D450D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151A34"/>
    <w:multiLevelType w:val="hybridMultilevel"/>
    <w:tmpl w:val="FE745DA2"/>
    <w:lvl w:ilvl="0" w:tplc="2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D81F93"/>
    <w:multiLevelType w:val="hybridMultilevel"/>
    <w:tmpl w:val="F53C8998"/>
    <w:lvl w:ilvl="0" w:tplc="280A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43637043">
    <w:abstractNumId w:val="11"/>
  </w:num>
  <w:num w:numId="2" w16cid:durableId="859781141">
    <w:abstractNumId w:val="2"/>
  </w:num>
  <w:num w:numId="3" w16cid:durableId="2049186742">
    <w:abstractNumId w:val="15"/>
  </w:num>
  <w:num w:numId="4" w16cid:durableId="1485777881">
    <w:abstractNumId w:val="14"/>
  </w:num>
  <w:num w:numId="5" w16cid:durableId="1751847321">
    <w:abstractNumId w:val="10"/>
  </w:num>
  <w:num w:numId="6" w16cid:durableId="127482356">
    <w:abstractNumId w:val="5"/>
  </w:num>
  <w:num w:numId="7" w16cid:durableId="359400577">
    <w:abstractNumId w:val="1"/>
  </w:num>
  <w:num w:numId="8" w16cid:durableId="103425796">
    <w:abstractNumId w:val="3"/>
  </w:num>
  <w:num w:numId="9" w16cid:durableId="2021930748">
    <w:abstractNumId w:val="8"/>
  </w:num>
  <w:num w:numId="10" w16cid:durableId="951327419">
    <w:abstractNumId w:val="4"/>
  </w:num>
  <w:num w:numId="11" w16cid:durableId="264505910">
    <w:abstractNumId w:val="16"/>
  </w:num>
  <w:num w:numId="12" w16cid:durableId="1928691262">
    <w:abstractNumId w:val="6"/>
  </w:num>
  <w:num w:numId="13" w16cid:durableId="743260863">
    <w:abstractNumId w:val="0"/>
  </w:num>
  <w:num w:numId="14" w16cid:durableId="512377810">
    <w:abstractNumId w:val="17"/>
  </w:num>
  <w:num w:numId="15" w16cid:durableId="1936010415">
    <w:abstractNumId w:val="12"/>
  </w:num>
  <w:num w:numId="16" w16cid:durableId="619186606">
    <w:abstractNumId w:val="9"/>
  </w:num>
  <w:num w:numId="17" w16cid:durableId="1388915721">
    <w:abstractNumId w:val="13"/>
  </w:num>
  <w:num w:numId="18" w16cid:durableId="8325947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FE3"/>
    <w:rsid w:val="00001587"/>
    <w:rsid w:val="00002A2F"/>
    <w:rsid w:val="00003ABF"/>
    <w:rsid w:val="00003CF9"/>
    <w:rsid w:val="00007635"/>
    <w:rsid w:val="00010AF4"/>
    <w:rsid w:val="0001131C"/>
    <w:rsid w:val="0001133B"/>
    <w:rsid w:val="00011D63"/>
    <w:rsid w:val="00013D77"/>
    <w:rsid w:val="00015DAF"/>
    <w:rsid w:val="00017363"/>
    <w:rsid w:val="00021229"/>
    <w:rsid w:val="00023847"/>
    <w:rsid w:val="0002392E"/>
    <w:rsid w:val="00025994"/>
    <w:rsid w:val="000260C8"/>
    <w:rsid w:val="00027050"/>
    <w:rsid w:val="00030E1F"/>
    <w:rsid w:val="0003298E"/>
    <w:rsid w:val="00032EF6"/>
    <w:rsid w:val="0003362E"/>
    <w:rsid w:val="00035A1F"/>
    <w:rsid w:val="00036853"/>
    <w:rsid w:val="00040835"/>
    <w:rsid w:val="00041F5A"/>
    <w:rsid w:val="00043961"/>
    <w:rsid w:val="00044FFB"/>
    <w:rsid w:val="0004539E"/>
    <w:rsid w:val="00046A4C"/>
    <w:rsid w:val="00047AC2"/>
    <w:rsid w:val="00051181"/>
    <w:rsid w:val="00052C41"/>
    <w:rsid w:val="000548D2"/>
    <w:rsid w:val="00055B7F"/>
    <w:rsid w:val="00055FB9"/>
    <w:rsid w:val="00057E0B"/>
    <w:rsid w:val="000624F2"/>
    <w:rsid w:val="00062E02"/>
    <w:rsid w:val="00065D6E"/>
    <w:rsid w:val="0006692C"/>
    <w:rsid w:val="00070FFD"/>
    <w:rsid w:val="0007341C"/>
    <w:rsid w:val="00074182"/>
    <w:rsid w:val="00074C47"/>
    <w:rsid w:val="00076BF1"/>
    <w:rsid w:val="000817D1"/>
    <w:rsid w:val="00082422"/>
    <w:rsid w:val="00083513"/>
    <w:rsid w:val="000855C4"/>
    <w:rsid w:val="00087280"/>
    <w:rsid w:val="00090BF5"/>
    <w:rsid w:val="00091190"/>
    <w:rsid w:val="0009127C"/>
    <w:rsid w:val="00097198"/>
    <w:rsid w:val="00097B44"/>
    <w:rsid w:val="000A18C1"/>
    <w:rsid w:val="000A20B5"/>
    <w:rsid w:val="000A2390"/>
    <w:rsid w:val="000A4523"/>
    <w:rsid w:val="000A59A2"/>
    <w:rsid w:val="000A5D19"/>
    <w:rsid w:val="000A6458"/>
    <w:rsid w:val="000A66E6"/>
    <w:rsid w:val="000A6E8A"/>
    <w:rsid w:val="000B0431"/>
    <w:rsid w:val="000B24C8"/>
    <w:rsid w:val="000B31D8"/>
    <w:rsid w:val="000B3FF1"/>
    <w:rsid w:val="000B4359"/>
    <w:rsid w:val="000B49D5"/>
    <w:rsid w:val="000B4BFA"/>
    <w:rsid w:val="000B5045"/>
    <w:rsid w:val="000B5521"/>
    <w:rsid w:val="000B6846"/>
    <w:rsid w:val="000B6A5A"/>
    <w:rsid w:val="000C12A7"/>
    <w:rsid w:val="000C3BB3"/>
    <w:rsid w:val="000C4570"/>
    <w:rsid w:val="000C6784"/>
    <w:rsid w:val="000C6A43"/>
    <w:rsid w:val="000D28D5"/>
    <w:rsid w:val="000D2CA6"/>
    <w:rsid w:val="000D338E"/>
    <w:rsid w:val="000D3FBD"/>
    <w:rsid w:val="000D421D"/>
    <w:rsid w:val="000D56F1"/>
    <w:rsid w:val="000E060E"/>
    <w:rsid w:val="000E0739"/>
    <w:rsid w:val="000E1868"/>
    <w:rsid w:val="000E26F7"/>
    <w:rsid w:val="000E2D9B"/>
    <w:rsid w:val="000E3C53"/>
    <w:rsid w:val="000E55EB"/>
    <w:rsid w:val="000E5BBF"/>
    <w:rsid w:val="000E639F"/>
    <w:rsid w:val="000E7622"/>
    <w:rsid w:val="000E7C33"/>
    <w:rsid w:val="000F18E2"/>
    <w:rsid w:val="000F1AD9"/>
    <w:rsid w:val="000F50E3"/>
    <w:rsid w:val="000F5E91"/>
    <w:rsid w:val="000F6C3A"/>
    <w:rsid w:val="00100ED9"/>
    <w:rsid w:val="00102D92"/>
    <w:rsid w:val="00104277"/>
    <w:rsid w:val="00104E14"/>
    <w:rsid w:val="001057F8"/>
    <w:rsid w:val="00105ED8"/>
    <w:rsid w:val="00107199"/>
    <w:rsid w:val="00111298"/>
    <w:rsid w:val="00111AB7"/>
    <w:rsid w:val="0011247F"/>
    <w:rsid w:val="001140A5"/>
    <w:rsid w:val="00120DA7"/>
    <w:rsid w:val="00121065"/>
    <w:rsid w:val="001216E5"/>
    <w:rsid w:val="00121B44"/>
    <w:rsid w:val="00124804"/>
    <w:rsid w:val="001249B7"/>
    <w:rsid w:val="00125DA4"/>
    <w:rsid w:val="001269A1"/>
    <w:rsid w:val="00127049"/>
    <w:rsid w:val="00127480"/>
    <w:rsid w:val="00127A61"/>
    <w:rsid w:val="00127ED6"/>
    <w:rsid w:val="001301B5"/>
    <w:rsid w:val="00130B9B"/>
    <w:rsid w:val="00130D01"/>
    <w:rsid w:val="00130DB9"/>
    <w:rsid w:val="00140CE9"/>
    <w:rsid w:val="00140D58"/>
    <w:rsid w:val="00142628"/>
    <w:rsid w:val="00142CC5"/>
    <w:rsid w:val="001446C8"/>
    <w:rsid w:val="00144C6B"/>
    <w:rsid w:val="00144F3E"/>
    <w:rsid w:val="00145FAF"/>
    <w:rsid w:val="0014799B"/>
    <w:rsid w:val="00150E48"/>
    <w:rsid w:val="0015303A"/>
    <w:rsid w:val="00153400"/>
    <w:rsid w:val="00153E87"/>
    <w:rsid w:val="00154053"/>
    <w:rsid w:val="00154B08"/>
    <w:rsid w:val="001556A0"/>
    <w:rsid w:val="00155D00"/>
    <w:rsid w:val="00161F21"/>
    <w:rsid w:val="00162A47"/>
    <w:rsid w:val="00163024"/>
    <w:rsid w:val="00163075"/>
    <w:rsid w:val="001630E9"/>
    <w:rsid w:val="0016367A"/>
    <w:rsid w:val="00163832"/>
    <w:rsid w:val="00164FBC"/>
    <w:rsid w:val="001654B2"/>
    <w:rsid w:val="00167548"/>
    <w:rsid w:val="00170568"/>
    <w:rsid w:val="00172442"/>
    <w:rsid w:val="00172CA5"/>
    <w:rsid w:val="001740BB"/>
    <w:rsid w:val="00175838"/>
    <w:rsid w:val="00180724"/>
    <w:rsid w:val="00181879"/>
    <w:rsid w:val="0018230B"/>
    <w:rsid w:val="0018430A"/>
    <w:rsid w:val="00184873"/>
    <w:rsid w:val="00185990"/>
    <w:rsid w:val="00185C79"/>
    <w:rsid w:val="00185D6D"/>
    <w:rsid w:val="00185E89"/>
    <w:rsid w:val="001874F2"/>
    <w:rsid w:val="00190C01"/>
    <w:rsid w:val="00191401"/>
    <w:rsid w:val="00192397"/>
    <w:rsid w:val="00192574"/>
    <w:rsid w:val="00192D3A"/>
    <w:rsid w:val="00194ADE"/>
    <w:rsid w:val="001953CD"/>
    <w:rsid w:val="001A1478"/>
    <w:rsid w:val="001A1928"/>
    <w:rsid w:val="001A22B2"/>
    <w:rsid w:val="001A53F2"/>
    <w:rsid w:val="001A582B"/>
    <w:rsid w:val="001A5C1F"/>
    <w:rsid w:val="001A5DE7"/>
    <w:rsid w:val="001B0C18"/>
    <w:rsid w:val="001B44EC"/>
    <w:rsid w:val="001B565E"/>
    <w:rsid w:val="001B7703"/>
    <w:rsid w:val="001B7B07"/>
    <w:rsid w:val="001C04DC"/>
    <w:rsid w:val="001C0BA0"/>
    <w:rsid w:val="001C2404"/>
    <w:rsid w:val="001C24A4"/>
    <w:rsid w:val="001C251B"/>
    <w:rsid w:val="001C6094"/>
    <w:rsid w:val="001C6599"/>
    <w:rsid w:val="001D0B25"/>
    <w:rsid w:val="001D10BA"/>
    <w:rsid w:val="001D2BAB"/>
    <w:rsid w:val="001D2CAA"/>
    <w:rsid w:val="001D328F"/>
    <w:rsid w:val="001D43BF"/>
    <w:rsid w:val="001D4A78"/>
    <w:rsid w:val="001D6077"/>
    <w:rsid w:val="001D6590"/>
    <w:rsid w:val="001E0753"/>
    <w:rsid w:val="001E150C"/>
    <w:rsid w:val="001E33F4"/>
    <w:rsid w:val="001E60AA"/>
    <w:rsid w:val="001E7588"/>
    <w:rsid w:val="001E7A6E"/>
    <w:rsid w:val="001F138A"/>
    <w:rsid w:val="001F19EF"/>
    <w:rsid w:val="001F47B5"/>
    <w:rsid w:val="001F4F16"/>
    <w:rsid w:val="001F5E43"/>
    <w:rsid w:val="001F6EC8"/>
    <w:rsid w:val="001F73DA"/>
    <w:rsid w:val="001F75EE"/>
    <w:rsid w:val="002001CC"/>
    <w:rsid w:val="00200510"/>
    <w:rsid w:val="002005DB"/>
    <w:rsid w:val="00201A88"/>
    <w:rsid w:val="00203947"/>
    <w:rsid w:val="00206062"/>
    <w:rsid w:val="002116D4"/>
    <w:rsid w:val="00211AF4"/>
    <w:rsid w:val="00211D90"/>
    <w:rsid w:val="002125BB"/>
    <w:rsid w:val="00214047"/>
    <w:rsid w:val="00214363"/>
    <w:rsid w:val="00214D0B"/>
    <w:rsid w:val="0021750A"/>
    <w:rsid w:val="00220021"/>
    <w:rsid w:val="00221957"/>
    <w:rsid w:val="00223193"/>
    <w:rsid w:val="00227651"/>
    <w:rsid w:val="0023061E"/>
    <w:rsid w:val="002312B1"/>
    <w:rsid w:val="00232671"/>
    <w:rsid w:val="00232984"/>
    <w:rsid w:val="00235146"/>
    <w:rsid w:val="0023576B"/>
    <w:rsid w:val="002368DB"/>
    <w:rsid w:val="00236ADC"/>
    <w:rsid w:val="00243646"/>
    <w:rsid w:val="00244866"/>
    <w:rsid w:val="00245296"/>
    <w:rsid w:val="0024545D"/>
    <w:rsid w:val="00246D5C"/>
    <w:rsid w:val="002479CC"/>
    <w:rsid w:val="0025048F"/>
    <w:rsid w:val="002535E7"/>
    <w:rsid w:val="0025484D"/>
    <w:rsid w:val="00254CE3"/>
    <w:rsid w:val="00255B29"/>
    <w:rsid w:val="00255DED"/>
    <w:rsid w:val="00256E08"/>
    <w:rsid w:val="00256FFD"/>
    <w:rsid w:val="00257DD7"/>
    <w:rsid w:val="00257EB2"/>
    <w:rsid w:val="002632BA"/>
    <w:rsid w:val="00264369"/>
    <w:rsid w:val="0026600B"/>
    <w:rsid w:val="002662D9"/>
    <w:rsid w:val="002669AA"/>
    <w:rsid w:val="00267332"/>
    <w:rsid w:val="00271C92"/>
    <w:rsid w:val="00272E9B"/>
    <w:rsid w:val="00276BEC"/>
    <w:rsid w:val="0028060B"/>
    <w:rsid w:val="00281D89"/>
    <w:rsid w:val="00282574"/>
    <w:rsid w:val="0028258A"/>
    <w:rsid w:val="002835F4"/>
    <w:rsid w:val="00283E26"/>
    <w:rsid w:val="00284231"/>
    <w:rsid w:val="00285BE0"/>
    <w:rsid w:val="0028668F"/>
    <w:rsid w:val="00293295"/>
    <w:rsid w:val="0029392A"/>
    <w:rsid w:val="002939D8"/>
    <w:rsid w:val="00297C76"/>
    <w:rsid w:val="002A44FE"/>
    <w:rsid w:val="002B0ED8"/>
    <w:rsid w:val="002B12A7"/>
    <w:rsid w:val="002B4701"/>
    <w:rsid w:val="002B5215"/>
    <w:rsid w:val="002B5FB8"/>
    <w:rsid w:val="002B6D3B"/>
    <w:rsid w:val="002C064A"/>
    <w:rsid w:val="002C197B"/>
    <w:rsid w:val="002C24CB"/>
    <w:rsid w:val="002C265F"/>
    <w:rsid w:val="002C4DF4"/>
    <w:rsid w:val="002C55B5"/>
    <w:rsid w:val="002C60C6"/>
    <w:rsid w:val="002C6249"/>
    <w:rsid w:val="002C7C87"/>
    <w:rsid w:val="002D097E"/>
    <w:rsid w:val="002D2662"/>
    <w:rsid w:val="002D54FD"/>
    <w:rsid w:val="002D6B4F"/>
    <w:rsid w:val="002D7B7A"/>
    <w:rsid w:val="002E10AA"/>
    <w:rsid w:val="002E1A40"/>
    <w:rsid w:val="002E26FD"/>
    <w:rsid w:val="002E58A6"/>
    <w:rsid w:val="002E66AC"/>
    <w:rsid w:val="002E76D7"/>
    <w:rsid w:val="002E7935"/>
    <w:rsid w:val="002E79E4"/>
    <w:rsid w:val="002F2F8D"/>
    <w:rsid w:val="002F48B0"/>
    <w:rsid w:val="002F4F96"/>
    <w:rsid w:val="002F5B5D"/>
    <w:rsid w:val="002F74F0"/>
    <w:rsid w:val="002F7B8F"/>
    <w:rsid w:val="003036C0"/>
    <w:rsid w:val="003043FF"/>
    <w:rsid w:val="00305004"/>
    <w:rsid w:val="00305253"/>
    <w:rsid w:val="00307DA5"/>
    <w:rsid w:val="00310207"/>
    <w:rsid w:val="0031026B"/>
    <w:rsid w:val="00310C8C"/>
    <w:rsid w:val="00312F8B"/>
    <w:rsid w:val="003150B4"/>
    <w:rsid w:val="003157B0"/>
    <w:rsid w:val="00316B85"/>
    <w:rsid w:val="00320785"/>
    <w:rsid w:val="0032531B"/>
    <w:rsid w:val="003262EE"/>
    <w:rsid w:val="00326333"/>
    <w:rsid w:val="00327F78"/>
    <w:rsid w:val="00330FA4"/>
    <w:rsid w:val="00332800"/>
    <w:rsid w:val="00332AEB"/>
    <w:rsid w:val="003369C6"/>
    <w:rsid w:val="003379F7"/>
    <w:rsid w:val="0034266E"/>
    <w:rsid w:val="00342933"/>
    <w:rsid w:val="0034326C"/>
    <w:rsid w:val="00344EB7"/>
    <w:rsid w:val="00346E5F"/>
    <w:rsid w:val="0035325B"/>
    <w:rsid w:val="00353D2F"/>
    <w:rsid w:val="00354044"/>
    <w:rsid w:val="00354E33"/>
    <w:rsid w:val="00360834"/>
    <w:rsid w:val="00361930"/>
    <w:rsid w:val="003624A2"/>
    <w:rsid w:val="00362A03"/>
    <w:rsid w:val="00365375"/>
    <w:rsid w:val="00366428"/>
    <w:rsid w:val="00370129"/>
    <w:rsid w:val="00372097"/>
    <w:rsid w:val="003731BC"/>
    <w:rsid w:val="003747A3"/>
    <w:rsid w:val="00375EDB"/>
    <w:rsid w:val="003837DB"/>
    <w:rsid w:val="00390AF2"/>
    <w:rsid w:val="00390D2E"/>
    <w:rsid w:val="003919E6"/>
    <w:rsid w:val="00391A29"/>
    <w:rsid w:val="00392B8E"/>
    <w:rsid w:val="00393254"/>
    <w:rsid w:val="00394412"/>
    <w:rsid w:val="00394727"/>
    <w:rsid w:val="0039490A"/>
    <w:rsid w:val="00396C24"/>
    <w:rsid w:val="003A167D"/>
    <w:rsid w:val="003A231D"/>
    <w:rsid w:val="003A396B"/>
    <w:rsid w:val="003A3E2D"/>
    <w:rsid w:val="003A482F"/>
    <w:rsid w:val="003A5C43"/>
    <w:rsid w:val="003B1F44"/>
    <w:rsid w:val="003B282C"/>
    <w:rsid w:val="003B4F34"/>
    <w:rsid w:val="003B5E31"/>
    <w:rsid w:val="003B79B1"/>
    <w:rsid w:val="003C0259"/>
    <w:rsid w:val="003C1754"/>
    <w:rsid w:val="003C2876"/>
    <w:rsid w:val="003C3127"/>
    <w:rsid w:val="003C405F"/>
    <w:rsid w:val="003C41AA"/>
    <w:rsid w:val="003C563B"/>
    <w:rsid w:val="003C5DB0"/>
    <w:rsid w:val="003C7CC5"/>
    <w:rsid w:val="003D0AEA"/>
    <w:rsid w:val="003D1448"/>
    <w:rsid w:val="003D1A3C"/>
    <w:rsid w:val="003D1E8D"/>
    <w:rsid w:val="003D2D6D"/>
    <w:rsid w:val="003D2E4E"/>
    <w:rsid w:val="003D37BF"/>
    <w:rsid w:val="003D420F"/>
    <w:rsid w:val="003D5D5B"/>
    <w:rsid w:val="003D748E"/>
    <w:rsid w:val="003E084C"/>
    <w:rsid w:val="003E4040"/>
    <w:rsid w:val="003E51C3"/>
    <w:rsid w:val="003E6743"/>
    <w:rsid w:val="003E77BC"/>
    <w:rsid w:val="003F118A"/>
    <w:rsid w:val="003F2049"/>
    <w:rsid w:val="003F6B60"/>
    <w:rsid w:val="003F7849"/>
    <w:rsid w:val="003F7F82"/>
    <w:rsid w:val="004001FE"/>
    <w:rsid w:val="00401B3D"/>
    <w:rsid w:val="00404DC8"/>
    <w:rsid w:val="00404F08"/>
    <w:rsid w:val="00406930"/>
    <w:rsid w:val="0041014F"/>
    <w:rsid w:val="004115B9"/>
    <w:rsid w:val="004125D4"/>
    <w:rsid w:val="004126F6"/>
    <w:rsid w:val="00413774"/>
    <w:rsid w:val="00415951"/>
    <w:rsid w:val="00421589"/>
    <w:rsid w:val="00424968"/>
    <w:rsid w:val="00424F6F"/>
    <w:rsid w:val="00425F00"/>
    <w:rsid w:val="00426911"/>
    <w:rsid w:val="0042770D"/>
    <w:rsid w:val="00427A0D"/>
    <w:rsid w:val="00432054"/>
    <w:rsid w:val="004323B6"/>
    <w:rsid w:val="00433856"/>
    <w:rsid w:val="00433D78"/>
    <w:rsid w:val="00436D33"/>
    <w:rsid w:val="00442A3D"/>
    <w:rsid w:val="00443144"/>
    <w:rsid w:val="0044351F"/>
    <w:rsid w:val="00443910"/>
    <w:rsid w:val="00444660"/>
    <w:rsid w:val="004448D5"/>
    <w:rsid w:val="00446571"/>
    <w:rsid w:val="00450999"/>
    <w:rsid w:val="00452E5E"/>
    <w:rsid w:val="004541DF"/>
    <w:rsid w:val="0045623C"/>
    <w:rsid w:val="004567A7"/>
    <w:rsid w:val="00456C31"/>
    <w:rsid w:val="00460314"/>
    <w:rsid w:val="00460519"/>
    <w:rsid w:val="004622FA"/>
    <w:rsid w:val="00464115"/>
    <w:rsid w:val="00466495"/>
    <w:rsid w:val="00466618"/>
    <w:rsid w:val="00467415"/>
    <w:rsid w:val="00470012"/>
    <w:rsid w:val="00471EE2"/>
    <w:rsid w:val="004721C3"/>
    <w:rsid w:val="00472C88"/>
    <w:rsid w:val="0047439F"/>
    <w:rsid w:val="00475B4C"/>
    <w:rsid w:val="00475CB5"/>
    <w:rsid w:val="004763D7"/>
    <w:rsid w:val="00477AA9"/>
    <w:rsid w:val="004817EA"/>
    <w:rsid w:val="00481CE5"/>
    <w:rsid w:val="00482D14"/>
    <w:rsid w:val="00482EF5"/>
    <w:rsid w:val="00483D63"/>
    <w:rsid w:val="00491012"/>
    <w:rsid w:val="00491B0F"/>
    <w:rsid w:val="00493EF2"/>
    <w:rsid w:val="00494AD8"/>
    <w:rsid w:val="00494B2B"/>
    <w:rsid w:val="004954B6"/>
    <w:rsid w:val="00496CD0"/>
    <w:rsid w:val="004A2CF9"/>
    <w:rsid w:val="004A31AC"/>
    <w:rsid w:val="004A32EF"/>
    <w:rsid w:val="004A5870"/>
    <w:rsid w:val="004A6D08"/>
    <w:rsid w:val="004A7A5F"/>
    <w:rsid w:val="004A7EC8"/>
    <w:rsid w:val="004B0793"/>
    <w:rsid w:val="004B080E"/>
    <w:rsid w:val="004B1F32"/>
    <w:rsid w:val="004B3742"/>
    <w:rsid w:val="004B3759"/>
    <w:rsid w:val="004B4904"/>
    <w:rsid w:val="004B4971"/>
    <w:rsid w:val="004B6A54"/>
    <w:rsid w:val="004B7758"/>
    <w:rsid w:val="004C0C5B"/>
    <w:rsid w:val="004C1332"/>
    <w:rsid w:val="004C3704"/>
    <w:rsid w:val="004C536B"/>
    <w:rsid w:val="004C5956"/>
    <w:rsid w:val="004D19FD"/>
    <w:rsid w:val="004D2CFC"/>
    <w:rsid w:val="004D753D"/>
    <w:rsid w:val="004D7595"/>
    <w:rsid w:val="004D7C21"/>
    <w:rsid w:val="004E0867"/>
    <w:rsid w:val="004E2786"/>
    <w:rsid w:val="004E283F"/>
    <w:rsid w:val="004E2942"/>
    <w:rsid w:val="004E3612"/>
    <w:rsid w:val="004E40E6"/>
    <w:rsid w:val="004E5309"/>
    <w:rsid w:val="004E5A3E"/>
    <w:rsid w:val="004E5E17"/>
    <w:rsid w:val="004E604E"/>
    <w:rsid w:val="004E69EF"/>
    <w:rsid w:val="004E6BA1"/>
    <w:rsid w:val="004E7A48"/>
    <w:rsid w:val="004F026C"/>
    <w:rsid w:val="004F211E"/>
    <w:rsid w:val="004F3971"/>
    <w:rsid w:val="004F4CD8"/>
    <w:rsid w:val="004F509C"/>
    <w:rsid w:val="004F5345"/>
    <w:rsid w:val="004F6FA7"/>
    <w:rsid w:val="005021C7"/>
    <w:rsid w:val="0050275B"/>
    <w:rsid w:val="00503F68"/>
    <w:rsid w:val="00512FBF"/>
    <w:rsid w:val="005141F0"/>
    <w:rsid w:val="005142C3"/>
    <w:rsid w:val="00516691"/>
    <w:rsid w:val="005176CF"/>
    <w:rsid w:val="00520E2D"/>
    <w:rsid w:val="005210E5"/>
    <w:rsid w:val="005248E3"/>
    <w:rsid w:val="005249BF"/>
    <w:rsid w:val="00531495"/>
    <w:rsid w:val="0053179E"/>
    <w:rsid w:val="0053328D"/>
    <w:rsid w:val="0053357B"/>
    <w:rsid w:val="0053547F"/>
    <w:rsid w:val="00542208"/>
    <w:rsid w:val="00542F33"/>
    <w:rsid w:val="00543C3C"/>
    <w:rsid w:val="005450EE"/>
    <w:rsid w:val="00546455"/>
    <w:rsid w:val="0055090A"/>
    <w:rsid w:val="00550C96"/>
    <w:rsid w:val="0055202F"/>
    <w:rsid w:val="0055300A"/>
    <w:rsid w:val="00553550"/>
    <w:rsid w:val="00553D11"/>
    <w:rsid w:val="005548E8"/>
    <w:rsid w:val="005552A2"/>
    <w:rsid w:val="00555FD7"/>
    <w:rsid w:val="00556FFA"/>
    <w:rsid w:val="0055708F"/>
    <w:rsid w:val="00560B92"/>
    <w:rsid w:val="00562683"/>
    <w:rsid w:val="00562CD2"/>
    <w:rsid w:val="00564641"/>
    <w:rsid w:val="00564842"/>
    <w:rsid w:val="00564D7A"/>
    <w:rsid w:val="00564DEC"/>
    <w:rsid w:val="0056540B"/>
    <w:rsid w:val="00565856"/>
    <w:rsid w:val="00565A02"/>
    <w:rsid w:val="005670B5"/>
    <w:rsid w:val="00570A2A"/>
    <w:rsid w:val="00570A72"/>
    <w:rsid w:val="00574058"/>
    <w:rsid w:val="005741E8"/>
    <w:rsid w:val="00576C14"/>
    <w:rsid w:val="00577832"/>
    <w:rsid w:val="0058040B"/>
    <w:rsid w:val="005842C1"/>
    <w:rsid w:val="00584F64"/>
    <w:rsid w:val="00594023"/>
    <w:rsid w:val="005944F8"/>
    <w:rsid w:val="00595CEC"/>
    <w:rsid w:val="005969E4"/>
    <w:rsid w:val="005A16B4"/>
    <w:rsid w:val="005A258D"/>
    <w:rsid w:val="005A2BED"/>
    <w:rsid w:val="005A30B3"/>
    <w:rsid w:val="005A34CA"/>
    <w:rsid w:val="005B044D"/>
    <w:rsid w:val="005B1A8C"/>
    <w:rsid w:val="005B274D"/>
    <w:rsid w:val="005B2806"/>
    <w:rsid w:val="005B440C"/>
    <w:rsid w:val="005B4923"/>
    <w:rsid w:val="005B623D"/>
    <w:rsid w:val="005C0064"/>
    <w:rsid w:val="005C1080"/>
    <w:rsid w:val="005C2789"/>
    <w:rsid w:val="005C5AA7"/>
    <w:rsid w:val="005C6052"/>
    <w:rsid w:val="005C64AF"/>
    <w:rsid w:val="005C71B2"/>
    <w:rsid w:val="005C7819"/>
    <w:rsid w:val="005D1780"/>
    <w:rsid w:val="005D28BD"/>
    <w:rsid w:val="005D56D7"/>
    <w:rsid w:val="005D58F2"/>
    <w:rsid w:val="005D5BD3"/>
    <w:rsid w:val="005D5D96"/>
    <w:rsid w:val="005D66BA"/>
    <w:rsid w:val="005D744D"/>
    <w:rsid w:val="005E0F61"/>
    <w:rsid w:val="005E12F7"/>
    <w:rsid w:val="005E1EEA"/>
    <w:rsid w:val="005E3489"/>
    <w:rsid w:val="005E376D"/>
    <w:rsid w:val="005E4AE9"/>
    <w:rsid w:val="005E56FD"/>
    <w:rsid w:val="005E6C6C"/>
    <w:rsid w:val="005E7E6B"/>
    <w:rsid w:val="005F123F"/>
    <w:rsid w:val="005F1EA4"/>
    <w:rsid w:val="005F2674"/>
    <w:rsid w:val="005F50D6"/>
    <w:rsid w:val="005F6357"/>
    <w:rsid w:val="005F716F"/>
    <w:rsid w:val="00600F9F"/>
    <w:rsid w:val="0060254C"/>
    <w:rsid w:val="00604EDB"/>
    <w:rsid w:val="0060549A"/>
    <w:rsid w:val="006127B5"/>
    <w:rsid w:val="00613BF7"/>
    <w:rsid w:val="00617F7E"/>
    <w:rsid w:val="0062048C"/>
    <w:rsid w:val="006210AE"/>
    <w:rsid w:val="00621E43"/>
    <w:rsid w:val="006222F0"/>
    <w:rsid w:val="00625B4F"/>
    <w:rsid w:val="006261AA"/>
    <w:rsid w:val="006268C2"/>
    <w:rsid w:val="00630170"/>
    <w:rsid w:val="00630345"/>
    <w:rsid w:val="00630535"/>
    <w:rsid w:val="0063070F"/>
    <w:rsid w:val="00632DFB"/>
    <w:rsid w:val="00632FD7"/>
    <w:rsid w:val="00633653"/>
    <w:rsid w:val="006336AF"/>
    <w:rsid w:val="00634397"/>
    <w:rsid w:val="006362BE"/>
    <w:rsid w:val="0063740A"/>
    <w:rsid w:val="0063750E"/>
    <w:rsid w:val="006375F5"/>
    <w:rsid w:val="00637D7A"/>
    <w:rsid w:val="00640E34"/>
    <w:rsid w:val="0064134A"/>
    <w:rsid w:val="006425EE"/>
    <w:rsid w:val="006453C6"/>
    <w:rsid w:val="00645726"/>
    <w:rsid w:val="0064616A"/>
    <w:rsid w:val="006477BB"/>
    <w:rsid w:val="00647FCC"/>
    <w:rsid w:val="006510D7"/>
    <w:rsid w:val="006513E2"/>
    <w:rsid w:val="00652598"/>
    <w:rsid w:val="00655AA5"/>
    <w:rsid w:val="0065649D"/>
    <w:rsid w:val="0065711D"/>
    <w:rsid w:val="0065793C"/>
    <w:rsid w:val="006612C0"/>
    <w:rsid w:val="006625FD"/>
    <w:rsid w:val="006640AC"/>
    <w:rsid w:val="00664154"/>
    <w:rsid w:val="0066441C"/>
    <w:rsid w:val="006653E5"/>
    <w:rsid w:val="006673EF"/>
    <w:rsid w:val="00671060"/>
    <w:rsid w:val="00672D73"/>
    <w:rsid w:val="00675513"/>
    <w:rsid w:val="00675D9C"/>
    <w:rsid w:val="00680396"/>
    <w:rsid w:val="0068093A"/>
    <w:rsid w:val="00681C84"/>
    <w:rsid w:val="006838F9"/>
    <w:rsid w:val="00684F21"/>
    <w:rsid w:val="0068688E"/>
    <w:rsid w:val="00687F9A"/>
    <w:rsid w:val="0069142E"/>
    <w:rsid w:val="00691738"/>
    <w:rsid w:val="00695D23"/>
    <w:rsid w:val="006968B6"/>
    <w:rsid w:val="00697368"/>
    <w:rsid w:val="006A31C5"/>
    <w:rsid w:val="006A3F76"/>
    <w:rsid w:val="006A447A"/>
    <w:rsid w:val="006A6570"/>
    <w:rsid w:val="006A782E"/>
    <w:rsid w:val="006B036F"/>
    <w:rsid w:val="006B0A41"/>
    <w:rsid w:val="006B15A0"/>
    <w:rsid w:val="006B20E9"/>
    <w:rsid w:val="006B3B86"/>
    <w:rsid w:val="006B3F54"/>
    <w:rsid w:val="006B3FE5"/>
    <w:rsid w:val="006B53BF"/>
    <w:rsid w:val="006B6BE2"/>
    <w:rsid w:val="006B7130"/>
    <w:rsid w:val="006C11C7"/>
    <w:rsid w:val="006C2048"/>
    <w:rsid w:val="006C5659"/>
    <w:rsid w:val="006C6B6F"/>
    <w:rsid w:val="006D2306"/>
    <w:rsid w:val="006D3F73"/>
    <w:rsid w:val="006D40B4"/>
    <w:rsid w:val="006D568F"/>
    <w:rsid w:val="006D6517"/>
    <w:rsid w:val="006D6B0D"/>
    <w:rsid w:val="006D6CD8"/>
    <w:rsid w:val="006E17D7"/>
    <w:rsid w:val="006E1E90"/>
    <w:rsid w:val="006E5CE9"/>
    <w:rsid w:val="006E5F12"/>
    <w:rsid w:val="006E6D9C"/>
    <w:rsid w:val="006E71B1"/>
    <w:rsid w:val="006E73EA"/>
    <w:rsid w:val="006F20D3"/>
    <w:rsid w:val="006F2DA6"/>
    <w:rsid w:val="006F3FB7"/>
    <w:rsid w:val="0070150C"/>
    <w:rsid w:val="00704A6B"/>
    <w:rsid w:val="00705473"/>
    <w:rsid w:val="007060E8"/>
    <w:rsid w:val="00707DCB"/>
    <w:rsid w:val="007144D6"/>
    <w:rsid w:val="00714F1D"/>
    <w:rsid w:val="00714F70"/>
    <w:rsid w:val="007154FC"/>
    <w:rsid w:val="007156B9"/>
    <w:rsid w:val="00717196"/>
    <w:rsid w:val="00717EB3"/>
    <w:rsid w:val="007206EF"/>
    <w:rsid w:val="00721D35"/>
    <w:rsid w:val="007222F3"/>
    <w:rsid w:val="00723233"/>
    <w:rsid w:val="0072514E"/>
    <w:rsid w:val="00727832"/>
    <w:rsid w:val="007278F1"/>
    <w:rsid w:val="007302F4"/>
    <w:rsid w:val="00730686"/>
    <w:rsid w:val="00732ECF"/>
    <w:rsid w:val="0073301D"/>
    <w:rsid w:val="007333F0"/>
    <w:rsid w:val="00733A6E"/>
    <w:rsid w:val="00733C90"/>
    <w:rsid w:val="00734DF5"/>
    <w:rsid w:val="00734FBF"/>
    <w:rsid w:val="00735326"/>
    <w:rsid w:val="00736C8E"/>
    <w:rsid w:val="00737232"/>
    <w:rsid w:val="0074031C"/>
    <w:rsid w:val="00742050"/>
    <w:rsid w:val="00742AB5"/>
    <w:rsid w:val="00744B74"/>
    <w:rsid w:val="00745536"/>
    <w:rsid w:val="00745684"/>
    <w:rsid w:val="007474AF"/>
    <w:rsid w:val="00751333"/>
    <w:rsid w:val="00754A2C"/>
    <w:rsid w:val="00756D90"/>
    <w:rsid w:val="00757176"/>
    <w:rsid w:val="00757257"/>
    <w:rsid w:val="0076109C"/>
    <w:rsid w:val="00761415"/>
    <w:rsid w:val="0076306C"/>
    <w:rsid w:val="00764F01"/>
    <w:rsid w:val="00770614"/>
    <w:rsid w:val="00771279"/>
    <w:rsid w:val="007738A5"/>
    <w:rsid w:val="00773CE9"/>
    <w:rsid w:val="00775827"/>
    <w:rsid w:val="0077654C"/>
    <w:rsid w:val="00777115"/>
    <w:rsid w:val="00780C15"/>
    <w:rsid w:val="007833BE"/>
    <w:rsid w:val="00784627"/>
    <w:rsid w:val="0078513B"/>
    <w:rsid w:val="00785B82"/>
    <w:rsid w:val="00787C22"/>
    <w:rsid w:val="0079093D"/>
    <w:rsid w:val="00791207"/>
    <w:rsid w:val="00792D20"/>
    <w:rsid w:val="0079472D"/>
    <w:rsid w:val="007947C9"/>
    <w:rsid w:val="0079652E"/>
    <w:rsid w:val="00797F06"/>
    <w:rsid w:val="007A0207"/>
    <w:rsid w:val="007A02F2"/>
    <w:rsid w:val="007A1342"/>
    <w:rsid w:val="007A1F9C"/>
    <w:rsid w:val="007A24B8"/>
    <w:rsid w:val="007A3DA2"/>
    <w:rsid w:val="007A57A7"/>
    <w:rsid w:val="007A6497"/>
    <w:rsid w:val="007A6BA3"/>
    <w:rsid w:val="007B21CA"/>
    <w:rsid w:val="007B2A42"/>
    <w:rsid w:val="007B471A"/>
    <w:rsid w:val="007B6FED"/>
    <w:rsid w:val="007B70B2"/>
    <w:rsid w:val="007C06E8"/>
    <w:rsid w:val="007C285C"/>
    <w:rsid w:val="007C3A6E"/>
    <w:rsid w:val="007C4499"/>
    <w:rsid w:val="007C6409"/>
    <w:rsid w:val="007C7DD1"/>
    <w:rsid w:val="007D1898"/>
    <w:rsid w:val="007D2989"/>
    <w:rsid w:val="007D2E84"/>
    <w:rsid w:val="007D4398"/>
    <w:rsid w:val="007D5629"/>
    <w:rsid w:val="007D631B"/>
    <w:rsid w:val="007D7726"/>
    <w:rsid w:val="007E2038"/>
    <w:rsid w:val="007E2DE2"/>
    <w:rsid w:val="007E3169"/>
    <w:rsid w:val="007E3BA2"/>
    <w:rsid w:val="007E5920"/>
    <w:rsid w:val="007E636D"/>
    <w:rsid w:val="007E7485"/>
    <w:rsid w:val="007E7B0B"/>
    <w:rsid w:val="007F1A2E"/>
    <w:rsid w:val="007F33B7"/>
    <w:rsid w:val="007F6E80"/>
    <w:rsid w:val="00800157"/>
    <w:rsid w:val="00800297"/>
    <w:rsid w:val="00801D3A"/>
    <w:rsid w:val="00804B6D"/>
    <w:rsid w:val="008059F9"/>
    <w:rsid w:val="00805A47"/>
    <w:rsid w:val="00806FFC"/>
    <w:rsid w:val="00811039"/>
    <w:rsid w:val="008117BD"/>
    <w:rsid w:val="00811DE9"/>
    <w:rsid w:val="00815155"/>
    <w:rsid w:val="008217A0"/>
    <w:rsid w:val="00821CA8"/>
    <w:rsid w:val="008255F1"/>
    <w:rsid w:val="00832197"/>
    <w:rsid w:val="00833A74"/>
    <w:rsid w:val="008410F5"/>
    <w:rsid w:val="00843C98"/>
    <w:rsid w:val="00845A00"/>
    <w:rsid w:val="0085173D"/>
    <w:rsid w:val="00852BAF"/>
    <w:rsid w:val="00854505"/>
    <w:rsid w:val="008569F0"/>
    <w:rsid w:val="00857187"/>
    <w:rsid w:val="00860A8C"/>
    <w:rsid w:val="00861E98"/>
    <w:rsid w:val="00862385"/>
    <w:rsid w:val="00862A54"/>
    <w:rsid w:val="008631B5"/>
    <w:rsid w:val="00864251"/>
    <w:rsid w:val="008659C0"/>
    <w:rsid w:val="00865E96"/>
    <w:rsid w:val="008673F6"/>
    <w:rsid w:val="00867D3C"/>
    <w:rsid w:val="0087047B"/>
    <w:rsid w:val="00870C5D"/>
    <w:rsid w:val="00871730"/>
    <w:rsid w:val="00871EF2"/>
    <w:rsid w:val="00872324"/>
    <w:rsid w:val="00872710"/>
    <w:rsid w:val="00873190"/>
    <w:rsid w:val="00873836"/>
    <w:rsid w:val="00873D69"/>
    <w:rsid w:val="00876BFB"/>
    <w:rsid w:val="00884313"/>
    <w:rsid w:val="008843B1"/>
    <w:rsid w:val="00884D36"/>
    <w:rsid w:val="00885F45"/>
    <w:rsid w:val="00886701"/>
    <w:rsid w:val="00892348"/>
    <w:rsid w:val="00892761"/>
    <w:rsid w:val="0089491B"/>
    <w:rsid w:val="008965B2"/>
    <w:rsid w:val="008A0E24"/>
    <w:rsid w:val="008A39FA"/>
    <w:rsid w:val="008A3BD3"/>
    <w:rsid w:val="008A5E4E"/>
    <w:rsid w:val="008A7CE1"/>
    <w:rsid w:val="008B02D4"/>
    <w:rsid w:val="008B05AC"/>
    <w:rsid w:val="008B4876"/>
    <w:rsid w:val="008B7786"/>
    <w:rsid w:val="008C0C41"/>
    <w:rsid w:val="008C10F6"/>
    <w:rsid w:val="008C125B"/>
    <w:rsid w:val="008C3194"/>
    <w:rsid w:val="008C3F18"/>
    <w:rsid w:val="008C42C9"/>
    <w:rsid w:val="008C56E1"/>
    <w:rsid w:val="008D1D49"/>
    <w:rsid w:val="008D1F40"/>
    <w:rsid w:val="008D3332"/>
    <w:rsid w:val="008D3778"/>
    <w:rsid w:val="008D63B3"/>
    <w:rsid w:val="008D767E"/>
    <w:rsid w:val="008E10D3"/>
    <w:rsid w:val="008E1B89"/>
    <w:rsid w:val="008E2136"/>
    <w:rsid w:val="008E23D9"/>
    <w:rsid w:val="008E31F2"/>
    <w:rsid w:val="008E3A82"/>
    <w:rsid w:val="008E593D"/>
    <w:rsid w:val="008E6B5B"/>
    <w:rsid w:val="008E75B5"/>
    <w:rsid w:val="008E7FAF"/>
    <w:rsid w:val="008F3C51"/>
    <w:rsid w:val="008F48B4"/>
    <w:rsid w:val="008F4C33"/>
    <w:rsid w:val="008F5685"/>
    <w:rsid w:val="008F5D8C"/>
    <w:rsid w:val="008F5FEA"/>
    <w:rsid w:val="008F6952"/>
    <w:rsid w:val="008F7413"/>
    <w:rsid w:val="0090056A"/>
    <w:rsid w:val="009016D1"/>
    <w:rsid w:val="009022EA"/>
    <w:rsid w:val="00903D0E"/>
    <w:rsid w:val="009041BE"/>
    <w:rsid w:val="00904B0B"/>
    <w:rsid w:val="00907F09"/>
    <w:rsid w:val="00910204"/>
    <w:rsid w:val="00911A0F"/>
    <w:rsid w:val="00912869"/>
    <w:rsid w:val="00912AA0"/>
    <w:rsid w:val="0091602F"/>
    <w:rsid w:val="009162C5"/>
    <w:rsid w:val="0092544B"/>
    <w:rsid w:val="00931DAE"/>
    <w:rsid w:val="00933842"/>
    <w:rsid w:val="00937DE1"/>
    <w:rsid w:val="00941926"/>
    <w:rsid w:val="009434D8"/>
    <w:rsid w:val="009439D4"/>
    <w:rsid w:val="009440B4"/>
    <w:rsid w:val="009440FD"/>
    <w:rsid w:val="0094435F"/>
    <w:rsid w:val="00944382"/>
    <w:rsid w:val="009517FF"/>
    <w:rsid w:val="009526FA"/>
    <w:rsid w:val="00952930"/>
    <w:rsid w:val="00954C2D"/>
    <w:rsid w:val="00955143"/>
    <w:rsid w:val="00960E2F"/>
    <w:rsid w:val="009612C6"/>
    <w:rsid w:val="009622A8"/>
    <w:rsid w:val="0096312D"/>
    <w:rsid w:val="00963A7C"/>
    <w:rsid w:val="009640B3"/>
    <w:rsid w:val="00966CB8"/>
    <w:rsid w:val="0097135E"/>
    <w:rsid w:val="00972EB0"/>
    <w:rsid w:val="00973B2A"/>
    <w:rsid w:val="00973CF2"/>
    <w:rsid w:val="00974110"/>
    <w:rsid w:val="0097487C"/>
    <w:rsid w:val="00977A13"/>
    <w:rsid w:val="009811FC"/>
    <w:rsid w:val="009830DE"/>
    <w:rsid w:val="009855D1"/>
    <w:rsid w:val="00987E23"/>
    <w:rsid w:val="009905A8"/>
    <w:rsid w:val="009913A1"/>
    <w:rsid w:val="009915B8"/>
    <w:rsid w:val="00993BB1"/>
    <w:rsid w:val="00994408"/>
    <w:rsid w:val="009944AB"/>
    <w:rsid w:val="00994532"/>
    <w:rsid w:val="009962E9"/>
    <w:rsid w:val="00996A9D"/>
    <w:rsid w:val="009972EA"/>
    <w:rsid w:val="009B18D9"/>
    <w:rsid w:val="009B1CF5"/>
    <w:rsid w:val="009B33B5"/>
    <w:rsid w:val="009B6D2B"/>
    <w:rsid w:val="009C0E64"/>
    <w:rsid w:val="009C253D"/>
    <w:rsid w:val="009C34ED"/>
    <w:rsid w:val="009C5241"/>
    <w:rsid w:val="009D0FE3"/>
    <w:rsid w:val="009D2B90"/>
    <w:rsid w:val="009D3AD9"/>
    <w:rsid w:val="009D44B2"/>
    <w:rsid w:val="009D4D8C"/>
    <w:rsid w:val="009D51D1"/>
    <w:rsid w:val="009D5E26"/>
    <w:rsid w:val="009D69AF"/>
    <w:rsid w:val="009E2BF4"/>
    <w:rsid w:val="009E2DFB"/>
    <w:rsid w:val="009E4965"/>
    <w:rsid w:val="009E7839"/>
    <w:rsid w:val="009E79BA"/>
    <w:rsid w:val="009E7C0D"/>
    <w:rsid w:val="009F0C37"/>
    <w:rsid w:val="009F1830"/>
    <w:rsid w:val="009F2E06"/>
    <w:rsid w:val="009F37E0"/>
    <w:rsid w:val="009F4502"/>
    <w:rsid w:val="009F6A51"/>
    <w:rsid w:val="009F7DD5"/>
    <w:rsid w:val="00A04FE1"/>
    <w:rsid w:val="00A05E4F"/>
    <w:rsid w:val="00A07422"/>
    <w:rsid w:val="00A12C6C"/>
    <w:rsid w:val="00A143C6"/>
    <w:rsid w:val="00A205FB"/>
    <w:rsid w:val="00A217AA"/>
    <w:rsid w:val="00A22609"/>
    <w:rsid w:val="00A25532"/>
    <w:rsid w:val="00A266CC"/>
    <w:rsid w:val="00A26CC1"/>
    <w:rsid w:val="00A26F37"/>
    <w:rsid w:val="00A270FC"/>
    <w:rsid w:val="00A27D40"/>
    <w:rsid w:val="00A27DBB"/>
    <w:rsid w:val="00A305E6"/>
    <w:rsid w:val="00A329B6"/>
    <w:rsid w:val="00A3374F"/>
    <w:rsid w:val="00A36CBE"/>
    <w:rsid w:val="00A37AE7"/>
    <w:rsid w:val="00A416C2"/>
    <w:rsid w:val="00A42012"/>
    <w:rsid w:val="00A42D36"/>
    <w:rsid w:val="00A43644"/>
    <w:rsid w:val="00A43C28"/>
    <w:rsid w:val="00A43D67"/>
    <w:rsid w:val="00A452C6"/>
    <w:rsid w:val="00A45ACA"/>
    <w:rsid w:val="00A45BFF"/>
    <w:rsid w:val="00A461B7"/>
    <w:rsid w:val="00A4626F"/>
    <w:rsid w:val="00A46FF4"/>
    <w:rsid w:val="00A47CE1"/>
    <w:rsid w:val="00A50BE8"/>
    <w:rsid w:val="00A515F9"/>
    <w:rsid w:val="00A52BBE"/>
    <w:rsid w:val="00A53053"/>
    <w:rsid w:val="00A54852"/>
    <w:rsid w:val="00A5584A"/>
    <w:rsid w:val="00A566AC"/>
    <w:rsid w:val="00A579D6"/>
    <w:rsid w:val="00A63603"/>
    <w:rsid w:val="00A647F6"/>
    <w:rsid w:val="00A6635A"/>
    <w:rsid w:val="00A6664C"/>
    <w:rsid w:val="00A718C0"/>
    <w:rsid w:val="00A72182"/>
    <w:rsid w:val="00A72611"/>
    <w:rsid w:val="00A74FB0"/>
    <w:rsid w:val="00A75F69"/>
    <w:rsid w:val="00A75FD1"/>
    <w:rsid w:val="00A77ABA"/>
    <w:rsid w:val="00A82449"/>
    <w:rsid w:val="00A8280D"/>
    <w:rsid w:val="00A82B6B"/>
    <w:rsid w:val="00A8504F"/>
    <w:rsid w:val="00A877C5"/>
    <w:rsid w:val="00A914CD"/>
    <w:rsid w:val="00A91C08"/>
    <w:rsid w:val="00A91EDD"/>
    <w:rsid w:val="00A92AA0"/>
    <w:rsid w:val="00A92E0B"/>
    <w:rsid w:val="00A93ABB"/>
    <w:rsid w:val="00A943CB"/>
    <w:rsid w:val="00A95F91"/>
    <w:rsid w:val="00A97525"/>
    <w:rsid w:val="00AA14B0"/>
    <w:rsid w:val="00AA39D0"/>
    <w:rsid w:val="00AA4E45"/>
    <w:rsid w:val="00AA50DF"/>
    <w:rsid w:val="00AA607D"/>
    <w:rsid w:val="00AA6A44"/>
    <w:rsid w:val="00AA7F45"/>
    <w:rsid w:val="00AB30C7"/>
    <w:rsid w:val="00AC0388"/>
    <w:rsid w:val="00AC0CC2"/>
    <w:rsid w:val="00AC5572"/>
    <w:rsid w:val="00AC7B89"/>
    <w:rsid w:val="00AD1612"/>
    <w:rsid w:val="00AD33B3"/>
    <w:rsid w:val="00AD3DDA"/>
    <w:rsid w:val="00AD4338"/>
    <w:rsid w:val="00AD76C7"/>
    <w:rsid w:val="00AE04F0"/>
    <w:rsid w:val="00AE0CED"/>
    <w:rsid w:val="00AE200C"/>
    <w:rsid w:val="00AE2613"/>
    <w:rsid w:val="00AE43B6"/>
    <w:rsid w:val="00AE4FBA"/>
    <w:rsid w:val="00AE59DC"/>
    <w:rsid w:val="00AE5C2E"/>
    <w:rsid w:val="00AF106B"/>
    <w:rsid w:val="00AF10FB"/>
    <w:rsid w:val="00AF1C6A"/>
    <w:rsid w:val="00AF1DE6"/>
    <w:rsid w:val="00AF397C"/>
    <w:rsid w:val="00AF55F2"/>
    <w:rsid w:val="00AF6455"/>
    <w:rsid w:val="00AF731B"/>
    <w:rsid w:val="00B0096B"/>
    <w:rsid w:val="00B01F2B"/>
    <w:rsid w:val="00B05170"/>
    <w:rsid w:val="00B07CF3"/>
    <w:rsid w:val="00B1011F"/>
    <w:rsid w:val="00B110D4"/>
    <w:rsid w:val="00B11810"/>
    <w:rsid w:val="00B11B40"/>
    <w:rsid w:val="00B11BCB"/>
    <w:rsid w:val="00B12FA7"/>
    <w:rsid w:val="00B13B5A"/>
    <w:rsid w:val="00B15D24"/>
    <w:rsid w:val="00B1688D"/>
    <w:rsid w:val="00B21BCB"/>
    <w:rsid w:val="00B22122"/>
    <w:rsid w:val="00B22B9C"/>
    <w:rsid w:val="00B2409B"/>
    <w:rsid w:val="00B24801"/>
    <w:rsid w:val="00B24BD8"/>
    <w:rsid w:val="00B24DDE"/>
    <w:rsid w:val="00B267B2"/>
    <w:rsid w:val="00B27433"/>
    <w:rsid w:val="00B33AC2"/>
    <w:rsid w:val="00B33D1F"/>
    <w:rsid w:val="00B3544F"/>
    <w:rsid w:val="00B3551F"/>
    <w:rsid w:val="00B361F2"/>
    <w:rsid w:val="00B365F8"/>
    <w:rsid w:val="00B374B9"/>
    <w:rsid w:val="00B37D18"/>
    <w:rsid w:val="00B401AF"/>
    <w:rsid w:val="00B41D48"/>
    <w:rsid w:val="00B423D1"/>
    <w:rsid w:val="00B437FC"/>
    <w:rsid w:val="00B43FB2"/>
    <w:rsid w:val="00B46028"/>
    <w:rsid w:val="00B4604F"/>
    <w:rsid w:val="00B46348"/>
    <w:rsid w:val="00B467EE"/>
    <w:rsid w:val="00B47673"/>
    <w:rsid w:val="00B47C26"/>
    <w:rsid w:val="00B47CBF"/>
    <w:rsid w:val="00B5132F"/>
    <w:rsid w:val="00B52A53"/>
    <w:rsid w:val="00B55393"/>
    <w:rsid w:val="00B558E3"/>
    <w:rsid w:val="00B56748"/>
    <w:rsid w:val="00B57DC7"/>
    <w:rsid w:val="00B60F35"/>
    <w:rsid w:val="00B63694"/>
    <w:rsid w:val="00B642A4"/>
    <w:rsid w:val="00B65B1D"/>
    <w:rsid w:val="00B668EA"/>
    <w:rsid w:val="00B67240"/>
    <w:rsid w:val="00B709D6"/>
    <w:rsid w:val="00B715FA"/>
    <w:rsid w:val="00B73985"/>
    <w:rsid w:val="00B75FA7"/>
    <w:rsid w:val="00B771F4"/>
    <w:rsid w:val="00B77FEE"/>
    <w:rsid w:val="00B815A9"/>
    <w:rsid w:val="00B81EE0"/>
    <w:rsid w:val="00B82FAC"/>
    <w:rsid w:val="00B8410B"/>
    <w:rsid w:val="00B85C6A"/>
    <w:rsid w:val="00B86E93"/>
    <w:rsid w:val="00B900E4"/>
    <w:rsid w:val="00B90657"/>
    <w:rsid w:val="00B91B4E"/>
    <w:rsid w:val="00B93C7D"/>
    <w:rsid w:val="00B960B5"/>
    <w:rsid w:val="00BA0A95"/>
    <w:rsid w:val="00BA0E07"/>
    <w:rsid w:val="00BA3227"/>
    <w:rsid w:val="00BA41F4"/>
    <w:rsid w:val="00BA6D42"/>
    <w:rsid w:val="00BA7C86"/>
    <w:rsid w:val="00BB0861"/>
    <w:rsid w:val="00BB16AE"/>
    <w:rsid w:val="00BB2302"/>
    <w:rsid w:val="00BB2468"/>
    <w:rsid w:val="00BB520F"/>
    <w:rsid w:val="00BB5544"/>
    <w:rsid w:val="00BB5CD6"/>
    <w:rsid w:val="00BB7C1C"/>
    <w:rsid w:val="00BC02F8"/>
    <w:rsid w:val="00BC0D65"/>
    <w:rsid w:val="00BC16C1"/>
    <w:rsid w:val="00BC424C"/>
    <w:rsid w:val="00BC4311"/>
    <w:rsid w:val="00BC5859"/>
    <w:rsid w:val="00BC76C2"/>
    <w:rsid w:val="00BD0A40"/>
    <w:rsid w:val="00BD2C5D"/>
    <w:rsid w:val="00BD2FFD"/>
    <w:rsid w:val="00BD77DD"/>
    <w:rsid w:val="00BD7CB5"/>
    <w:rsid w:val="00BE0A46"/>
    <w:rsid w:val="00BE266D"/>
    <w:rsid w:val="00BE3AC6"/>
    <w:rsid w:val="00BE4C16"/>
    <w:rsid w:val="00BF15E9"/>
    <w:rsid w:val="00BF3A74"/>
    <w:rsid w:val="00BF3B29"/>
    <w:rsid w:val="00BF5131"/>
    <w:rsid w:val="00C02342"/>
    <w:rsid w:val="00C026D9"/>
    <w:rsid w:val="00C0462E"/>
    <w:rsid w:val="00C04EB3"/>
    <w:rsid w:val="00C052F6"/>
    <w:rsid w:val="00C104EC"/>
    <w:rsid w:val="00C11654"/>
    <w:rsid w:val="00C12908"/>
    <w:rsid w:val="00C12A4B"/>
    <w:rsid w:val="00C13A15"/>
    <w:rsid w:val="00C1506B"/>
    <w:rsid w:val="00C15B79"/>
    <w:rsid w:val="00C16234"/>
    <w:rsid w:val="00C1634E"/>
    <w:rsid w:val="00C16360"/>
    <w:rsid w:val="00C164BD"/>
    <w:rsid w:val="00C1763B"/>
    <w:rsid w:val="00C20405"/>
    <w:rsid w:val="00C225A1"/>
    <w:rsid w:val="00C240A3"/>
    <w:rsid w:val="00C24E4C"/>
    <w:rsid w:val="00C25F3C"/>
    <w:rsid w:val="00C30533"/>
    <w:rsid w:val="00C308B9"/>
    <w:rsid w:val="00C32934"/>
    <w:rsid w:val="00C329CA"/>
    <w:rsid w:val="00C331BD"/>
    <w:rsid w:val="00C33337"/>
    <w:rsid w:val="00C33EC7"/>
    <w:rsid w:val="00C349EB"/>
    <w:rsid w:val="00C35CA4"/>
    <w:rsid w:val="00C366D6"/>
    <w:rsid w:val="00C36EFF"/>
    <w:rsid w:val="00C3716F"/>
    <w:rsid w:val="00C37D6B"/>
    <w:rsid w:val="00C37D76"/>
    <w:rsid w:val="00C41500"/>
    <w:rsid w:val="00C41698"/>
    <w:rsid w:val="00C41FDD"/>
    <w:rsid w:val="00C42472"/>
    <w:rsid w:val="00C4257E"/>
    <w:rsid w:val="00C42D2E"/>
    <w:rsid w:val="00C42F51"/>
    <w:rsid w:val="00C50FB2"/>
    <w:rsid w:val="00C51513"/>
    <w:rsid w:val="00C5419D"/>
    <w:rsid w:val="00C5500B"/>
    <w:rsid w:val="00C573A8"/>
    <w:rsid w:val="00C574AD"/>
    <w:rsid w:val="00C574F1"/>
    <w:rsid w:val="00C6304B"/>
    <w:rsid w:val="00C6371A"/>
    <w:rsid w:val="00C65749"/>
    <w:rsid w:val="00C662BC"/>
    <w:rsid w:val="00C70486"/>
    <w:rsid w:val="00C73834"/>
    <w:rsid w:val="00C745F8"/>
    <w:rsid w:val="00C74A57"/>
    <w:rsid w:val="00C762C4"/>
    <w:rsid w:val="00C777B0"/>
    <w:rsid w:val="00C7793C"/>
    <w:rsid w:val="00C80403"/>
    <w:rsid w:val="00C87538"/>
    <w:rsid w:val="00C91BD1"/>
    <w:rsid w:val="00C92D5A"/>
    <w:rsid w:val="00C93D14"/>
    <w:rsid w:val="00C9422A"/>
    <w:rsid w:val="00C958DD"/>
    <w:rsid w:val="00C96E9D"/>
    <w:rsid w:val="00CA198D"/>
    <w:rsid w:val="00CA1B7A"/>
    <w:rsid w:val="00CA2780"/>
    <w:rsid w:val="00CA38F7"/>
    <w:rsid w:val="00CA3D4F"/>
    <w:rsid w:val="00CA45B5"/>
    <w:rsid w:val="00CB0B24"/>
    <w:rsid w:val="00CB0E2B"/>
    <w:rsid w:val="00CB431F"/>
    <w:rsid w:val="00CB4CB8"/>
    <w:rsid w:val="00CB5000"/>
    <w:rsid w:val="00CB5464"/>
    <w:rsid w:val="00CB6FA5"/>
    <w:rsid w:val="00CC0812"/>
    <w:rsid w:val="00CC1917"/>
    <w:rsid w:val="00CC1F5A"/>
    <w:rsid w:val="00CC1F65"/>
    <w:rsid w:val="00CC2AFD"/>
    <w:rsid w:val="00CC2C58"/>
    <w:rsid w:val="00CC3F8E"/>
    <w:rsid w:val="00CC41CB"/>
    <w:rsid w:val="00CC4580"/>
    <w:rsid w:val="00CC5007"/>
    <w:rsid w:val="00CC70B4"/>
    <w:rsid w:val="00CD17CE"/>
    <w:rsid w:val="00CD306E"/>
    <w:rsid w:val="00CD5EC6"/>
    <w:rsid w:val="00CD7CF7"/>
    <w:rsid w:val="00CE55D7"/>
    <w:rsid w:val="00CE6869"/>
    <w:rsid w:val="00CF2189"/>
    <w:rsid w:val="00CF2EDF"/>
    <w:rsid w:val="00CF3FCF"/>
    <w:rsid w:val="00CF56E3"/>
    <w:rsid w:val="00CF655D"/>
    <w:rsid w:val="00CF6F6A"/>
    <w:rsid w:val="00CF7F26"/>
    <w:rsid w:val="00D00EA2"/>
    <w:rsid w:val="00D01470"/>
    <w:rsid w:val="00D01979"/>
    <w:rsid w:val="00D036E8"/>
    <w:rsid w:val="00D03EC9"/>
    <w:rsid w:val="00D04CD0"/>
    <w:rsid w:val="00D07876"/>
    <w:rsid w:val="00D10DB5"/>
    <w:rsid w:val="00D13F0C"/>
    <w:rsid w:val="00D14CC6"/>
    <w:rsid w:val="00D15A65"/>
    <w:rsid w:val="00D21A23"/>
    <w:rsid w:val="00D22270"/>
    <w:rsid w:val="00D22333"/>
    <w:rsid w:val="00D22CA2"/>
    <w:rsid w:val="00D26164"/>
    <w:rsid w:val="00D31AFD"/>
    <w:rsid w:val="00D321AF"/>
    <w:rsid w:val="00D333CB"/>
    <w:rsid w:val="00D34C9A"/>
    <w:rsid w:val="00D4120B"/>
    <w:rsid w:val="00D45B8F"/>
    <w:rsid w:val="00D5002A"/>
    <w:rsid w:val="00D506C5"/>
    <w:rsid w:val="00D50837"/>
    <w:rsid w:val="00D510D3"/>
    <w:rsid w:val="00D51D86"/>
    <w:rsid w:val="00D53D4A"/>
    <w:rsid w:val="00D54E08"/>
    <w:rsid w:val="00D55AC5"/>
    <w:rsid w:val="00D56DD8"/>
    <w:rsid w:val="00D608AE"/>
    <w:rsid w:val="00D60B25"/>
    <w:rsid w:val="00D613DD"/>
    <w:rsid w:val="00D618A2"/>
    <w:rsid w:val="00D64A94"/>
    <w:rsid w:val="00D650C6"/>
    <w:rsid w:val="00D74D12"/>
    <w:rsid w:val="00D76AC9"/>
    <w:rsid w:val="00D77F18"/>
    <w:rsid w:val="00D81236"/>
    <w:rsid w:val="00D8134D"/>
    <w:rsid w:val="00D81C40"/>
    <w:rsid w:val="00D8302E"/>
    <w:rsid w:val="00D8313C"/>
    <w:rsid w:val="00D84CF7"/>
    <w:rsid w:val="00D85E18"/>
    <w:rsid w:val="00D90B0A"/>
    <w:rsid w:val="00D91717"/>
    <w:rsid w:val="00D931EB"/>
    <w:rsid w:val="00D9501E"/>
    <w:rsid w:val="00DA1C0E"/>
    <w:rsid w:val="00DA24A8"/>
    <w:rsid w:val="00DA36FA"/>
    <w:rsid w:val="00DA3A1C"/>
    <w:rsid w:val="00DA4452"/>
    <w:rsid w:val="00DA5A30"/>
    <w:rsid w:val="00DB0DB9"/>
    <w:rsid w:val="00DB0FB4"/>
    <w:rsid w:val="00DB1ED4"/>
    <w:rsid w:val="00DB40CF"/>
    <w:rsid w:val="00DC0159"/>
    <w:rsid w:val="00DC0CAB"/>
    <w:rsid w:val="00DC30FF"/>
    <w:rsid w:val="00DC6155"/>
    <w:rsid w:val="00DC63F8"/>
    <w:rsid w:val="00DC78B4"/>
    <w:rsid w:val="00DC7997"/>
    <w:rsid w:val="00DC7F06"/>
    <w:rsid w:val="00DD01D9"/>
    <w:rsid w:val="00DD31DC"/>
    <w:rsid w:val="00DD53DC"/>
    <w:rsid w:val="00DD66B3"/>
    <w:rsid w:val="00DD6C5D"/>
    <w:rsid w:val="00DD6FB7"/>
    <w:rsid w:val="00DE18E9"/>
    <w:rsid w:val="00DE2DD2"/>
    <w:rsid w:val="00DE3664"/>
    <w:rsid w:val="00DE4E50"/>
    <w:rsid w:val="00DE5A1B"/>
    <w:rsid w:val="00DF1B7C"/>
    <w:rsid w:val="00DF2E3B"/>
    <w:rsid w:val="00DF31F8"/>
    <w:rsid w:val="00DF5853"/>
    <w:rsid w:val="00DF5FD7"/>
    <w:rsid w:val="00E019E6"/>
    <w:rsid w:val="00E0289E"/>
    <w:rsid w:val="00E02A04"/>
    <w:rsid w:val="00E02FA7"/>
    <w:rsid w:val="00E07676"/>
    <w:rsid w:val="00E14E04"/>
    <w:rsid w:val="00E16F23"/>
    <w:rsid w:val="00E17553"/>
    <w:rsid w:val="00E22433"/>
    <w:rsid w:val="00E2611F"/>
    <w:rsid w:val="00E264ED"/>
    <w:rsid w:val="00E27B4B"/>
    <w:rsid w:val="00E32436"/>
    <w:rsid w:val="00E32F2A"/>
    <w:rsid w:val="00E338FE"/>
    <w:rsid w:val="00E34E80"/>
    <w:rsid w:val="00E35442"/>
    <w:rsid w:val="00E35EE0"/>
    <w:rsid w:val="00E37886"/>
    <w:rsid w:val="00E40B2F"/>
    <w:rsid w:val="00E410E8"/>
    <w:rsid w:val="00E45E85"/>
    <w:rsid w:val="00E45EB4"/>
    <w:rsid w:val="00E475EE"/>
    <w:rsid w:val="00E4770A"/>
    <w:rsid w:val="00E510DB"/>
    <w:rsid w:val="00E510F5"/>
    <w:rsid w:val="00E531A0"/>
    <w:rsid w:val="00E54D4A"/>
    <w:rsid w:val="00E55F0E"/>
    <w:rsid w:val="00E56EAC"/>
    <w:rsid w:val="00E61440"/>
    <w:rsid w:val="00E61E21"/>
    <w:rsid w:val="00E61F32"/>
    <w:rsid w:val="00E636CB"/>
    <w:rsid w:val="00E64991"/>
    <w:rsid w:val="00E64EE2"/>
    <w:rsid w:val="00E650D6"/>
    <w:rsid w:val="00E65836"/>
    <w:rsid w:val="00E73060"/>
    <w:rsid w:val="00E73697"/>
    <w:rsid w:val="00E745D3"/>
    <w:rsid w:val="00E749D6"/>
    <w:rsid w:val="00E74F2C"/>
    <w:rsid w:val="00E750BE"/>
    <w:rsid w:val="00E76362"/>
    <w:rsid w:val="00E76B0F"/>
    <w:rsid w:val="00E76BA6"/>
    <w:rsid w:val="00E7737B"/>
    <w:rsid w:val="00E8035C"/>
    <w:rsid w:val="00E846D4"/>
    <w:rsid w:val="00E84BCF"/>
    <w:rsid w:val="00E85E0A"/>
    <w:rsid w:val="00E86FD2"/>
    <w:rsid w:val="00E900EE"/>
    <w:rsid w:val="00E91946"/>
    <w:rsid w:val="00E9261A"/>
    <w:rsid w:val="00E92649"/>
    <w:rsid w:val="00E929C7"/>
    <w:rsid w:val="00E93FAF"/>
    <w:rsid w:val="00E9472B"/>
    <w:rsid w:val="00E94C46"/>
    <w:rsid w:val="00E973D2"/>
    <w:rsid w:val="00E9766C"/>
    <w:rsid w:val="00EA1602"/>
    <w:rsid w:val="00EA30E4"/>
    <w:rsid w:val="00EA5DB0"/>
    <w:rsid w:val="00EA66AD"/>
    <w:rsid w:val="00EA6F79"/>
    <w:rsid w:val="00EB3FF7"/>
    <w:rsid w:val="00EB57E5"/>
    <w:rsid w:val="00EB679C"/>
    <w:rsid w:val="00EB6ACA"/>
    <w:rsid w:val="00EC0420"/>
    <w:rsid w:val="00EC1A41"/>
    <w:rsid w:val="00EC36E4"/>
    <w:rsid w:val="00EC6C91"/>
    <w:rsid w:val="00EC7CD4"/>
    <w:rsid w:val="00EC7DEA"/>
    <w:rsid w:val="00ED248B"/>
    <w:rsid w:val="00ED28EA"/>
    <w:rsid w:val="00ED37D3"/>
    <w:rsid w:val="00ED3AFB"/>
    <w:rsid w:val="00ED6417"/>
    <w:rsid w:val="00ED66F8"/>
    <w:rsid w:val="00EE070D"/>
    <w:rsid w:val="00EE0F4F"/>
    <w:rsid w:val="00EE2524"/>
    <w:rsid w:val="00EE2C1F"/>
    <w:rsid w:val="00EE3FD8"/>
    <w:rsid w:val="00EE449C"/>
    <w:rsid w:val="00EE4B9B"/>
    <w:rsid w:val="00EE60E0"/>
    <w:rsid w:val="00EE6202"/>
    <w:rsid w:val="00EF1832"/>
    <w:rsid w:val="00EF2AD8"/>
    <w:rsid w:val="00EF62EB"/>
    <w:rsid w:val="00EF6B83"/>
    <w:rsid w:val="00F004FF"/>
    <w:rsid w:val="00F00994"/>
    <w:rsid w:val="00F0106A"/>
    <w:rsid w:val="00F0170C"/>
    <w:rsid w:val="00F02304"/>
    <w:rsid w:val="00F02C6C"/>
    <w:rsid w:val="00F03538"/>
    <w:rsid w:val="00F03765"/>
    <w:rsid w:val="00F039B4"/>
    <w:rsid w:val="00F057F7"/>
    <w:rsid w:val="00F05F12"/>
    <w:rsid w:val="00F06F4B"/>
    <w:rsid w:val="00F07838"/>
    <w:rsid w:val="00F1035E"/>
    <w:rsid w:val="00F1064D"/>
    <w:rsid w:val="00F12F7C"/>
    <w:rsid w:val="00F15387"/>
    <w:rsid w:val="00F16F95"/>
    <w:rsid w:val="00F17004"/>
    <w:rsid w:val="00F21E7A"/>
    <w:rsid w:val="00F21E99"/>
    <w:rsid w:val="00F21F47"/>
    <w:rsid w:val="00F248B1"/>
    <w:rsid w:val="00F25096"/>
    <w:rsid w:val="00F25644"/>
    <w:rsid w:val="00F33998"/>
    <w:rsid w:val="00F33D00"/>
    <w:rsid w:val="00F342F5"/>
    <w:rsid w:val="00F34BD1"/>
    <w:rsid w:val="00F35809"/>
    <w:rsid w:val="00F36066"/>
    <w:rsid w:val="00F41C43"/>
    <w:rsid w:val="00F47988"/>
    <w:rsid w:val="00F47CEF"/>
    <w:rsid w:val="00F47E16"/>
    <w:rsid w:val="00F518EC"/>
    <w:rsid w:val="00F52792"/>
    <w:rsid w:val="00F527D3"/>
    <w:rsid w:val="00F54ADD"/>
    <w:rsid w:val="00F54D8A"/>
    <w:rsid w:val="00F572C6"/>
    <w:rsid w:val="00F601EE"/>
    <w:rsid w:val="00F61EC0"/>
    <w:rsid w:val="00F62C7F"/>
    <w:rsid w:val="00F664C5"/>
    <w:rsid w:val="00F66E0E"/>
    <w:rsid w:val="00F67165"/>
    <w:rsid w:val="00F67B37"/>
    <w:rsid w:val="00F7053C"/>
    <w:rsid w:val="00F705FE"/>
    <w:rsid w:val="00F70938"/>
    <w:rsid w:val="00F71ED5"/>
    <w:rsid w:val="00F71F54"/>
    <w:rsid w:val="00F73C8F"/>
    <w:rsid w:val="00F74B83"/>
    <w:rsid w:val="00F75122"/>
    <w:rsid w:val="00F762E3"/>
    <w:rsid w:val="00F81C6F"/>
    <w:rsid w:val="00F826A3"/>
    <w:rsid w:val="00F84840"/>
    <w:rsid w:val="00F86920"/>
    <w:rsid w:val="00F87FA2"/>
    <w:rsid w:val="00F90DB0"/>
    <w:rsid w:val="00F9502F"/>
    <w:rsid w:val="00F95F4B"/>
    <w:rsid w:val="00F9680D"/>
    <w:rsid w:val="00F97367"/>
    <w:rsid w:val="00F97A12"/>
    <w:rsid w:val="00FA1E43"/>
    <w:rsid w:val="00FA23AB"/>
    <w:rsid w:val="00FA6B8A"/>
    <w:rsid w:val="00FB0FBF"/>
    <w:rsid w:val="00FB12EE"/>
    <w:rsid w:val="00FB131D"/>
    <w:rsid w:val="00FB1B75"/>
    <w:rsid w:val="00FB1C9B"/>
    <w:rsid w:val="00FB2591"/>
    <w:rsid w:val="00FB2A16"/>
    <w:rsid w:val="00FB4E20"/>
    <w:rsid w:val="00FB6683"/>
    <w:rsid w:val="00FC2914"/>
    <w:rsid w:val="00FC3EF3"/>
    <w:rsid w:val="00FC58F9"/>
    <w:rsid w:val="00FC64C6"/>
    <w:rsid w:val="00FD0957"/>
    <w:rsid w:val="00FD0C8A"/>
    <w:rsid w:val="00FD1858"/>
    <w:rsid w:val="00FD1B7C"/>
    <w:rsid w:val="00FD1CD0"/>
    <w:rsid w:val="00FD3340"/>
    <w:rsid w:val="00FD352D"/>
    <w:rsid w:val="00FD5248"/>
    <w:rsid w:val="00FD5DCA"/>
    <w:rsid w:val="00FD73DC"/>
    <w:rsid w:val="00FE0DF0"/>
    <w:rsid w:val="00FE0E45"/>
    <w:rsid w:val="00FE2A73"/>
    <w:rsid w:val="00FE3907"/>
    <w:rsid w:val="00FE4170"/>
    <w:rsid w:val="00FE4F6D"/>
    <w:rsid w:val="00FE55F8"/>
    <w:rsid w:val="00FE647D"/>
    <w:rsid w:val="00FE70DF"/>
    <w:rsid w:val="00FE7F52"/>
    <w:rsid w:val="00FF25A6"/>
    <w:rsid w:val="00FF3382"/>
    <w:rsid w:val="00FF645B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C7F5373"/>
  <w15:chartTrackingRefBased/>
  <w15:docId w15:val="{5C754A46-681F-4B19-B67E-580F5B318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FE3"/>
    <w:pPr>
      <w:spacing w:after="160" w:line="259" w:lineRule="auto"/>
      <w:jc w:val="left"/>
    </w:pPr>
    <w:rPr>
      <w:rFonts w:ascii="Calibri" w:eastAsia="Calibri" w:hAnsi="Calibri" w:cs="Calibri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D0FE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FE3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9D0FE3"/>
    <w:pPr>
      <w:ind w:left="720"/>
      <w:contextualSpacing/>
    </w:pPr>
  </w:style>
  <w:style w:type="paragraph" w:styleId="Textonotapie">
    <w:name w:val="footnote text"/>
    <w:aliases w:val="fn"/>
    <w:basedOn w:val="Normal"/>
    <w:link w:val="TextonotapieCar"/>
    <w:uiPriority w:val="99"/>
    <w:unhideWhenUsed/>
    <w:rsid w:val="007C640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aliases w:val="fn Car"/>
    <w:basedOn w:val="Fuentedeprrafopredeter"/>
    <w:link w:val="Textonotapie"/>
    <w:uiPriority w:val="99"/>
    <w:rsid w:val="007C6409"/>
    <w:rPr>
      <w:rFonts w:ascii="Calibri" w:eastAsia="Calibri" w:hAnsi="Calibri" w:cs="Calibri"/>
      <w:sz w:val="20"/>
      <w:szCs w:val="20"/>
      <w:lang w:eastAsia="es-PE"/>
    </w:rPr>
  </w:style>
  <w:style w:type="character" w:styleId="Refdenotaalpie">
    <w:name w:val="footnote reference"/>
    <w:aliases w:val="sobrescrito"/>
    <w:basedOn w:val="Fuentedeprrafopredeter"/>
    <w:uiPriority w:val="99"/>
    <w:unhideWhenUsed/>
    <w:rsid w:val="007C640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560B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0B92"/>
    <w:rPr>
      <w:rFonts w:ascii="Calibri" w:eastAsia="Calibri" w:hAnsi="Calibri" w:cs="Calibri"/>
      <w:lang w:eastAsia="es-PE"/>
    </w:rPr>
  </w:style>
  <w:style w:type="paragraph" w:styleId="Piedepgina">
    <w:name w:val="footer"/>
    <w:basedOn w:val="Normal"/>
    <w:link w:val="PiedepginaCar"/>
    <w:uiPriority w:val="99"/>
    <w:unhideWhenUsed/>
    <w:rsid w:val="00560B9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0B92"/>
    <w:rPr>
      <w:rFonts w:ascii="Calibri" w:eastAsia="Calibri" w:hAnsi="Calibri" w:cs="Calibri"/>
      <w:lang w:eastAsia="es-PE"/>
    </w:rPr>
  </w:style>
  <w:style w:type="paragraph" w:styleId="Revisin">
    <w:name w:val="Revision"/>
    <w:hidden/>
    <w:uiPriority w:val="99"/>
    <w:semiHidden/>
    <w:rsid w:val="005C1080"/>
    <w:pPr>
      <w:jc w:val="left"/>
    </w:pPr>
    <w:rPr>
      <w:rFonts w:ascii="Calibri" w:eastAsia="Calibri" w:hAnsi="Calibri" w:cs="Calibri"/>
      <w:lang w:eastAsia="es-PE"/>
    </w:rPr>
  </w:style>
  <w:style w:type="character" w:styleId="Refdecomentario">
    <w:name w:val="annotation reference"/>
    <w:basedOn w:val="Fuentedeprrafopredeter"/>
    <w:uiPriority w:val="99"/>
    <w:semiHidden/>
    <w:unhideWhenUsed/>
    <w:rsid w:val="005E56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5E56F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5E56FD"/>
    <w:rPr>
      <w:rFonts w:ascii="Calibri" w:eastAsia="Calibri" w:hAnsi="Calibri" w:cs="Calibri"/>
      <w:sz w:val="20"/>
      <w:szCs w:val="20"/>
      <w:lang w:eastAsia="es-P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56F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56FD"/>
    <w:rPr>
      <w:rFonts w:ascii="Calibri" w:eastAsia="Calibri" w:hAnsi="Calibri" w:cs="Calibri"/>
      <w:b/>
      <w:bCs/>
      <w:sz w:val="20"/>
      <w:szCs w:val="20"/>
      <w:lang w:eastAsia="es-PE"/>
    </w:rPr>
  </w:style>
  <w:style w:type="character" w:styleId="Hipervnculo">
    <w:name w:val="Hyperlink"/>
    <w:basedOn w:val="Fuentedeprrafopredeter"/>
    <w:uiPriority w:val="99"/>
    <w:unhideWhenUsed/>
    <w:rsid w:val="008704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0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6504">
          <w:marLeft w:val="56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7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General a las</a:t>
            </a:r>
            <a:r>
              <a:rPr lang="es-PE" sz="1000" baseline="0" dirty="0"/>
              <a:t> Ventas</a:t>
            </a:r>
            <a:r>
              <a:rPr lang="es-PE" sz="1000" dirty="0"/>
              <a:t>: 2021 - 2023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1.5008859933117487E-2"/>
          <c:y val="1.052230219073619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72074556673"/>
          <c:y val="0.20892182271403034"/>
          <c:w val="0.77181208053691219"/>
          <c:h val="0.52386966947277702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DD21-4290-8FD1-491482C27D75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DD21-4290-8FD1-491482C27D75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DD21-4290-8FD1-491482C27D75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DD21-4290-8FD1-491482C27D75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DD21-4290-8FD1-491482C27D75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DD21-4290-8FD1-491482C27D75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DD21-4290-8FD1-491482C27D75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8-DD21-4290-8FD1-491482C27D75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DD21-4290-8FD1-491482C27D75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DD21-4290-8FD1-491482C27D75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DD21-4290-8FD1-491482C27D75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DD21-4290-8FD1-491482C27D75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DD21-4290-8FD1-491482C27D75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DD21-4290-8FD1-491482C27D75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DD21-4290-8FD1-491482C27D75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DD21-4290-8FD1-491482C27D75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DD21-4290-8FD1-491482C27D75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DD21-4290-8FD1-491482C27D75}"/>
              </c:ext>
            </c:extLst>
          </c:dPt>
          <c:dPt>
            <c:idx val="19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4-DD21-4290-8FD1-491482C27D75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DD21-4290-8FD1-491482C27D75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DD21-4290-8FD1-491482C27D75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DD21-4290-8FD1-491482C27D75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DD21-4290-8FD1-491482C27D75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DD21-4290-8FD1-491482C27D75}"/>
              </c:ext>
            </c:extLst>
          </c:dPt>
          <c:dPt>
            <c:idx val="2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A-DD21-4290-8FD1-491482C27D75}"/>
              </c:ext>
            </c:extLst>
          </c:dPt>
          <c:dPt>
            <c:idx val="2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C-DD21-4290-8FD1-491482C27D75}"/>
              </c:ext>
            </c:extLst>
          </c:dPt>
          <c:dPt>
            <c:idx val="2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E-ADD6-4682-B037-13E444BD62D7}"/>
              </c:ext>
            </c:extLst>
          </c:dPt>
          <c:dPt>
            <c:idx val="31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20-0425-45F9-8381-6FF3EDEBFD9B}"/>
              </c:ext>
            </c:extLst>
          </c:dPt>
          <c:dLbls>
            <c:dLbl>
              <c:idx val="7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DD21-4290-8FD1-491482C27D75}"/>
                </c:ext>
              </c:extLst>
            </c:dLbl>
            <c:dLbl>
              <c:idx val="1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DD21-4290-8FD1-491482C27D75}"/>
                </c:ext>
              </c:extLst>
            </c:dLbl>
            <c:dLbl>
              <c:idx val="3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0425-45F9-8381-6FF3EDEBFD9B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Hoja1!$A$2:$A$57</c:f>
              <c:strCache>
                <c:ptCount val="32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</c:strCache>
            </c:strRef>
          </c:cat>
          <c:val>
            <c:numRef>
              <c:f>Hoja1!$B$2:$B$57</c:f>
              <c:numCache>
                <c:formatCode>_ * #,##0_ ;_ * \-#,##0_ ;_ * "-"??_ ;_ @_ </c:formatCode>
                <c:ptCount val="32"/>
                <c:pt idx="0">
                  <c:v>6343.6893576983939</c:v>
                </c:pt>
                <c:pt idx="1">
                  <c:v>5623.6288904024132</c:v>
                </c:pt>
                <c:pt idx="2">
                  <c:v>6093.3190117378572</c:v>
                </c:pt>
                <c:pt idx="3">
                  <c:v>5906.2370168636126</c:v>
                </c:pt>
                <c:pt idx="4">
                  <c:v>6022.1384266739315</c:v>
                </c:pt>
                <c:pt idx="5">
                  <c:v>6170.4570452325506</c:v>
                </c:pt>
                <c:pt idx="6">
                  <c:v>6235.3764663249322</c:v>
                </c:pt>
                <c:pt idx="7">
                  <c:v>7004.1239552114903</c:v>
                </c:pt>
                <c:pt idx="8">
                  <c:v>6863.384087718151</c:v>
                </c:pt>
                <c:pt idx="9">
                  <c:v>6574.5597955193634</c:v>
                </c:pt>
                <c:pt idx="10">
                  <c:v>7487.3287247026319</c:v>
                </c:pt>
                <c:pt idx="11">
                  <c:v>7773.3392810805344</c:v>
                </c:pt>
                <c:pt idx="12">
                  <c:v>7837.8744152137442</c:v>
                </c:pt>
                <c:pt idx="13">
                  <c:v>6495.0821647086941</c:v>
                </c:pt>
                <c:pt idx="14">
                  <c:v>7036.728550604792</c:v>
                </c:pt>
                <c:pt idx="15">
                  <c:v>6974.0671460806752</c:v>
                </c:pt>
                <c:pt idx="16">
                  <c:v>7517.5186494777645</c:v>
                </c:pt>
                <c:pt idx="17">
                  <c:v>6901.4268986379393</c:v>
                </c:pt>
                <c:pt idx="18">
                  <c:v>7087.8074243599794</c:v>
                </c:pt>
                <c:pt idx="19">
                  <c:v>8248.4253892669476</c:v>
                </c:pt>
                <c:pt idx="20">
                  <c:v>7878.46595897916</c:v>
                </c:pt>
                <c:pt idx="21">
                  <c:v>7570.2773743994903</c:v>
                </c:pt>
                <c:pt idx="22">
                  <c:v>7704.988486291666</c:v>
                </c:pt>
                <c:pt idx="23">
                  <c:v>7051.8799201166976</c:v>
                </c:pt>
                <c:pt idx="24">
                  <c:v>7937.2199861947529</c:v>
                </c:pt>
                <c:pt idx="25">
                  <c:v>6567.5429748180668</c:v>
                </c:pt>
                <c:pt idx="26">
                  <c:v>6907.6321761391991</c:v>
                </c:pt>
                <c:pt idx="27">
                  <c:v>6255.687667849571</c:v>
                </c:pt>
                <c:pt idx="28">
                  <c:v>7081</c:v>
                </c:pt>
                <c:pt idx="29">
                  <c:v>6491.1812952833498</c:v>
                </c:pt>
                <c:pt idx="30">
                  <c:v>6775.0160728558149</c:v>
                </c:pt>
                <c:pt idx="31">
                  <c:v>7108.7067349099998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D-DD21-4290-8FD1-491482C27D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871808"/>
        <c:axId val="144873344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7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06A6-435A-8E00-64B6F915416D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2886-45F4-AC5A-AD5C8C7A7BB1}"/>
                </c:ext>
              </c:extLst>
            </c:dLbl>
            <c:dLbl>
              <c:idx val="19"/>
              <c:layout>
                <c:manualLayout>
                  <c:x val="-3.7175823936135409E-2"/>
                  <c:y val="6.133786848072562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06A6-435A-8E00-64B6F915416D}"/>
                </c:ext>
              </c:extLst>
            </c:dLbl>
            <c:dLbl>
              <c:idx val="31"/>
              <c:layout>
                <c:manualLayout>
                  <c:x val="-5.1026239448600783E-2"/>
                  <c:y val="0.05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7.4351449584289242E-2"/>
                      <c:h val="7.573696145124717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1-0425-45F9-8381-6FF3EDEBFD9B}"/>
                </c:ext>
              </c:extLst>
            </c:dLbl>
            <c:spPr>
              <a:noFill/>
              <a:ln>
                <a:noFill/>
              </a:ln>
              <a:effectLst/>
            </c:spPr>
            <c:dLblPos val="t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Hoja1!$A$2:$A$57</c:f>
              <c:strCache>
                <c:ptCount val="32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</c:strCache>
            </c:strRef>
          </c:cat>
          <c:val>
            <c:numRef>
              <c:f>Hoja1!$C$2:$C$57</c:f>
              <c:numCache>
                <c:formatCode>0.0</c:formatCode>
                <c:ptCount val="32"/>
                <c:pt idx="0">
                  <c:v>-3.334541013896386</c:v>
                </c:pt>
                <c:pt idx="1">
                  <c:v>12.760649894470788</c:v>
                </c:pt>
                <c:pt idx="2">
                  <c:v>41.409243852701707</c:v>
                </c:pt>
                <c:pt idx="3">
                  <c:v>70.748239312387611</c:v>
                </c:pt>
                <c:pt idx="4">
                  <c:v>82.261773333039855</c:v>
                </c:pt>
                <c:pt idx="5">
                  <c:v>79.60964370400545</c:v>
                </c:pt>
                <c:pt idx="6">
                  <c:v>48.618547859661135</c:v>
                </c:pt>
                <c:pt idx="7">
                  <c:v>48.968345980000706</c:v>
                </c:pt>
                <c:pt idx="8">
                  <c:v>34.259213448754508</c:v>
                </c:pt>
                <c:pt idx="9">
                  <c:v>19.445027952645244</c:v>
                </c:pt>
                <c:pt idx="10">
                  <c:v>30.6468470021805</c:v>
                </c:pt>
                <c:pt idx="11">
                  <c:v>22.093688133375068</c:v>
                </c:pt>
                <c:pt idx="12">
                  <c:v>16.907771790801963</c:v>
                </c:pt>
                <c:pt idx="13">
                  <c:v>8.8078159080318343</c:v>
                </c:pt>
                <c:pt idx="14">
                  <c:v>8.1054737731597992</c:v>
                </c:pt>
                <c:pt idx="15">
                  <c:v>9.3688538410029221</c:v>
                </c:pt>
                <c:pt idx="16">
                  <c:v>15.487155652260153</c:v>
                </c:pt>
                <c:pt idx="17">
                  <c:v>2.7879582382656309</c:v>
                </c:pt>
                <c:pt idx="18">
                  <c:v>4.5337591656852139</c:v>
                </c:pt>
                <c:pt idx="19">
                  <c:v>8.6415623277861453</c:v>
                </c:pt>
                <c:pt idx="20">
                  <c:v>5.7679649106155528</c:v>
                </c:pt>
                <c:pt idx="21">
                  <c:v>6.3447713352839052</c:v>
                </c:pt>
                <c:pt idx="22">
                  <c:v>-5.1131700223851713</c:v>
                </c:pt>
                <c:pt idx="23">
                  <c:v>-16.35682975605728</c:v>
                </c:pt>
                <c:pt idx="24">
                  <c:v>-6.8069850954073807</c:v>
                </c:pt>
                <c:pt idx="25">
                  <c:v>-6.9310449468802933</c:v>
                </c:pt>
                <c:pt idx="26">
                  <c:v>-9.4419996888319151</c:v>
                </c:pt>
                <c:pt idx="27">
                  <c:v>-16.918226350795752</c:v>
                </c:pt>
                <c:pt idx="28">
                  <c:v>-12.7</c:v>
                </c:pt>
                <c:pt idx="29">
                  <c:v>-11.652904122005426</c:v>
                </c:pt>
                <c:pt idx="30">
                  <c:v>-9.7228335702008053</c:v>
                </c:pt>
                <c:pt idx="31">
                  <c:v>-18.372404096067761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1-DD21-4290-8FD1-491482C27D75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cat>
            <c:strRef>
              <c:f>Hoja1!$A$2:$A$57</c:f>
              <c:strCache>
                <c:ptCount val="32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</c:strCache>
            </c:strRef>
          </c:cat>
          <c:val>
            <c:numRef>
              <c:f>Hoja1!$D$2:$D$57</c:f>
              <c:numCache>
                <c:formatCode>General</c:formatCode>
                <c:ptCount val="3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2-DD21-4290-8FD1-491482C27D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874880"/>
        <c:axId val="147063936"/>
      </c:lineChart>
      <c:catAx>
        <c:axId val="144871808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400"/>
            </a:pPr>
            <a:endParaRPr lang="es-PE"/>
          </a:p>
        </c:txPr>
        <c:crossAx val="144873344"/>
        <c:crosses val="autoZero"/>
        <c:auto val="1"/>
        <c:lblAlgn val="ctr"/>
        <c:lblOffset val="100"/>
        <c:noMultiLvlLbl val="1"/>
      </c:catAx>
      <c:valAx>
        <c:axId val="144873344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4871808"/>
        <c:crosses val="autoZero"/>
        <c:crossBetween val="between"/>
      </c:valAx>
      <c:catAx>
        <c:axId val="144874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063936"/>
        <c:crosses val="autoZero"/>
        <c:auto val="1"/>
        <c:lblAlgn val="ctr"/>
        <c:lblOffset val="100"/>
        <c:noMultiLvlLbl val="1"/>
      </c:catAx>
      <c:valAx>
        <c:axId val="14706393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487488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4.9013015370068205E-2"/>
          <c:y val="0.87091998115620151"/>
          <c:w val="0.88035227436764107"/>
          <c:h val="5.0904612950778416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a la Renta: 2021 - 2023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1.5008859933117487E-2"/>
          <c:y val="1.0522302190736191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527972074556673"/>
          <c:y val="0.18609725139564404"/>
          <c:w val="0.77181208053691219"/>
          <c:h val="0.54669437361699258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9EE3-4C2E-8A2E-16EE2876F1E7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9EE3-4C2E-8A2E-16EE2876F1E7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9EE3-4C2E-8A2E-16EE2876F1E7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9EE3-4C2E-8A2E-16EE2876F1E7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9EE3-4C2E-8A2E-16EE2876F1E7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9EE3-4C2E-8A2E-16EE2876F1E7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9EE3-4C2E-8A2E-16EE2876F1E7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8-9EE3-4C2E-8A2E-16EE2876F1E7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9EE3-4C2E-8A2E-16EE2876F1E7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9EE3-4C2E-8A2E-16EE2876F1E7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9EE3-4C2E-8A2E-16EE2876F1E7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9EE3-4C2E-8A2E-16EE2876F1E7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9EE3-4C2E-8A2E-16EE2876F1E7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9EE3-4C2E-8A2E-16EE2876F1E7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9EE3-4C2E-8A2E-16EE2876F1E7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9EE3-4C2E-8A2E-16EE2876F1E7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9EE3-4C2E-8A2E-16EE2876F1E7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9EE3-4C2E-8A2E-16EE2876F1E7}"/>
              </c:ext>
            </c:extLst>
          </c:dPt>
          <c:dPt>
            <c:idx val="19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4-9EE3-4C2E-8A2E-16EE2876F1E7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9EE3-4C2E-8A2E-16EE2876F1E7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9EE3-4C2E-8A2E-16EE2876F1E7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9EE3-4C2E-8A2E-16EE2876F1E7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9EE3-4C2E-8A2E-16EE2876F1E7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9EE3-4C2E-8A2E-16EE2876F1E7}"/>
              </c:ext>
            </c:extLst>
          </c:dPt>
          <c:dPt>
            <c:idx val="2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A-9EE3-4C2E-8A2E-16EE2876F1E7}"/>
              </c:ext>
            </c:extLst>
          </c:dPt>
          <c:dPt>
            <c:idx val="2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C-9EE3-4C2E-8A2E-16EE2876F1E7}"/>
              </c:ext>
            </c:extLst>
          </c:dPt>
          <c:dPt>
            <c:idx val="2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E-B453-4B2E-A4BC-9C300AC0F921}"/>
              </c:ext>
            </c:extLst>
          </c:dPt>
          <c:dPt>
            <c:idx val="31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20-65C9-4E83-9372-4999B3485541}"/>
              </c:ext>
            </c:extLst>
          </c:dPt>
          <c:dLbls>
            <c:dLbl>
              <c:idx val="7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9EE3-4C2E-8A2E-16EE2876F1E7}"/>
                </c:ext>
              </c:extLst>
            </c:dLbl>
            <c:dLbl>
              <c:idx val="1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9EE3-4C2E-8A2E-16EE2876F1E7}"/>
                </c:ext>
              </c:extLst>
            </c:dLbl>
            <c:dLbl>
              <c:idx val="31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65C9-4E83-9372-4999B348554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Hoja1!$A$2:$A$57</c:f>
              <c:strCache>
                <c:ptCount val="32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</c:strCache>
            </c:strRef>
          </c:cat>
          <c:val>
            <c:numRef>
              <c:f>Hoja1!$B$2:$B$57</c:f>
              <c:numCache>
                <c:formatCode>_ * #,##0_ ;_ * \-#,##0_ ;_ * "-"??_ ;_ @_ </c:formatCode>
                <c:ptCount val="32"/>
                <c:pt idx="0">
                  <c:v>4471.9462622699994</c:v>
                </c:pt>
                <c:pt idx="1">
                  <c:v>3695.7075470399996</c:v>
                </c:pt>
                <c:pt idx="2">
                  <c:v>5752.7969224099998</c:v>
                </c:pt>
                <c:pt idx="3">
                  <c:v>8125.5638842900016</c:v>
                </c:pt>
                <c:pt idx="4">
                  <c:v>3353.3452668999998</c:v>
                </c:pt>
                <c:pt idx="5">
                  <c:v>3649.2751305399993</c:v>
                </c:pt>
                <c:pt idx="6">
                  <c:v>4165.6857682400005</c:v>
                </c:pt>
                <c:pt idx="7">
                  <c:v>3827.2850066399997</c:v>
                </c:pt>
                <c:pt idx="8">
                  <c:v>3933.3115622300002</c:v>
                </c:pt>
                <c:pt idx="9">
                  <c:v>4317.146560879999</c:v>
                </c:pt>
                <c:pt idx="10">
                  <c:v>4163.7431395999993</c:v>
                </c:pt>
                <c:pt idx="11">
                  <c:v>5421.1817133199993</c:v>
                </c:pt>
                <c:pt idx="12">
                  <c:v>5455.3902150000013</c:v>
                </c:pt>
                <c:pt idx="13">
                  <c:v>4269.6271683500017</c:v>
                </c:pt>
                <c:pt idx="14">
                  <c:v>10690.65227156</c:v>
                </c:pt>
                <c:pt idx="15">
                  <c:v>13604.517631609997</c:v>
                </c:pt>
                <c:pt idx="16">
                  <c:v>4678.8152603900007</c:v>
                </c:pt>
                <c:pt idx="17">
                  <c:v>4406.2783848900008</c:v>
                </c:pt>
                <c:pt idx="18">
                  <c:v>4218.2969078699989</c:v>
                </c:pt>
                <c:pt idx="19">
                  <c:v>4219.645626919998</c:v>
                </c:pt>
                <c:pt idx="20">
                  <c:v>4366.6837682200003</c:v>
                </c:pt>
                <c:pt idx="21">
                  <c:v>5011.9027635800003</c:v>
                </c:pt>
                <c:pt idx="22">
                  <c:v>4264.0878449000002</c:v>
                </c:pt>
                <c:pt idx="23">
                  <c:v>4735.6417137999979</c:v>
                </c:pt>
                <c:pt idx="24">
                  <c:v>5886.4057224299986</c:v>
                </c:pt>
                <c:pt idx="25">
                  <c:v>5171.7336311600002</c:v>
                </c:pt>
                <c:pt idx="26">
                  <c:v>8904.57399687</c:v>
                </c:pt>
                <c:pt idx="27">
                  <c:v>9694.011493330001</c:v>
                </c:pt>
                <c:pt idx="28">
                  <c:v>4205.1735714100005</c:v>
                </c:pt>
                <c:pt idx="29">
                  <c:v>3779.2984297100002</c:v>
                </c:pt>
                <c:pt idx="30">
                  <c:v>3959.8356118300007</c:v>
                </c:pt>
                <c:pt idx="31">
                  <c:v>4012.6255188500004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D-9EE3-4C2E-8A2E-16EE2876F1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4871808"/>
        <c:axId val="144873344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7"/>
              <c:layout>
                <c:manualLayout>
                  <c:x val="-3.7322717093804428E-2"/>
                  <c:y val="-5.70613409415121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ABB4-4932-8389-28E269B8DBF1}"/>
                </c:ext>
              </c:extLst>
            </c:dLbl>
            <c:dLbl>
              <c:idx val="31"/>
              <c:dLblPos val="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65C9-4E83-9372-4999B348554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Hoja1!$A$2:$A$57</c:f>
              <c:strCache>
                <c:ptCount val="32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</c:strCache>
            </c:strRef>
          </c:cat>
          <c:val>
            <c:numRef>
              <c:f>Hoja1!$C$2:$C$57</c:f>
              <c:numCache>
                <c:formatCode>0.0</c:formatCode>
                <c:ptCount val="32"/>
                <c:pt idx="0">
                  <c:v>-0.44023744453924873</c:v>
                </c:pt>
                <c:pt idx="1">
                  <c:v>5.9727246557977898</c:v>
                </c:pt>
                <c:pt idx="2">
                  <c:v>45.468281860599433</c:v>
                </c:pt>
                <c:pt idx="3">
                  <c:v>71.857139961041568</c:v>
                </c:pt>
                <c:pt idx="4">
                  <c:v>-22.703862969507128</c:v>
                </c:pt>
                <c:pt idx="5">
                  <c:v>122.79814895742831</c:v>
                </c:pt>
                <c:pt idx="6">
                  <c:v>68.834529969625422</c:v>
                </c:pt>
                <c:pt idx="7">
                  <c:v>47.733097800044931</c:v>
                </c:pt>
                <c:pt idx="8">
                  <c:v>53.910469281501719</c:v>
                </c:pt>
                <c:pt idx="9">
                  <c:v>36.883178336018993</c:v>
                </c:pt>
                <c:pt idx="10">
                  <c:v>41.688598139310741</c:v>
                </c:pt>
                <c:pt idx="11">
                  <c:v>66.577098393572356</c:v>
                </c:pt>
                <c:pt idx="12">
                  <c:v>15.429346056143501</c:v>
                </c:pt>
                <c:pt idx="13">
                  <c:v>8.8389766073256659</c:v>
                </c:pt>
                <c:pt idx="14">
                  <c:v>73.967188138020461</c:v>
                </c:pt>
                <c:pt idx="15">
                  <c:v>55.084206226302456</c:v>
                </c:pt>
                <c:pt idx="16">
                  <c:v>29.082548546419673</c:v>
                </c:pt>
                <c:pt idx="17">
                  <c:v>10.964996847799991</c:v>
                </c:pt>
                <c:pt idx="18">
                  <c:v>-6.8767816643242945</c:v>
                </c:pt>
                <c:pt idx="19">
                  <c:v>1.7100694937971506</c:v>
                </c:pt>
                <c:pt idx="20">
                  <c:v>2.2925916342797281</c:v>
                </c:pt>
                <c:pt idx="21">
                  <c:v>7.2202642219105995</c:v>
                </c:pt>
                <c:pt idx="22">
                  <c:v>-5.5670083946791848</c:v>
                </c:pt>
                <c:pt idx="23">
                  <c:v>-19.458701312724479</c:v>
                </c:pt>
                <c:pt idx="24">
                  <c:v>-0.70265935607963792</c:v>
                </c:pt>
                <c:pt idx="25">
                  <c:v>11.489189745414885</c:v>
                </c:pt>
                <c:pt idx="26">
                  <c:v>-23.161768330198473</c:v>
                </c:pt>
                <c:pt idx="27">
                  <c:v>-34.001022227376232</c:v>
                </c:pt>
                <c:pt idx="28">
                  <c:v>-16.698812087768356</c:v>
                </c:pt>
                <c:pt idx="29">
                  <c:v>-19.434948998957157</c:v>
                </c:pt>
                <c:pt idx="30">
                  <c:v>-11.341677236016679</c:v>
                </c:pt>
                <c:pt idx="31">
                  <c:v>-9.93208501155104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1-9EE3-4C2E-8A2E-16EE2876F1E7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12700">
              <a:solidFill>
                <a:schemeClr val="accent1"/>
              </a:solidFill>
              <a:prstDash val="dash"/>
            </a:ln>
          </c:spPr>
          <c:marker>
            <c:symbol val="none"/>
          </c:marker>
          <c:dLbls>
            <c:dLbl>
              <c:idx val="19"/>
              <c:layout>
                <c:manualLayout>
                  <c:x val="-2.4881811395869619E-2"/>
                  <c:y val="-4.5649072753209702E-2"/>
                </c:manualLayout>
              </c:layout>
              <c:numFmt formatCode="#,##0.0" sourceLinked="0"/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spAutoFit/>
                </a:bodyPr>
                <a:lstStyle/>
                <a:p>
                  <a:pPr>
                    <a:defRPr/>
                  </a:pPr>
                  <a:endParaRPr lang="es-PE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ABB4-4932-8389-28E269B8DBF1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Hoja1!$A$2:$A$57</c:f>
              <c:strCache>
                <c:ptCount val="32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</c:strCache>
            </c:strRef>
          </c:cat>
          <c:val>
            <c:numRef>
              <c:f>Hoja1!$D$2:$D$57</c:f>
              <c:numCache>
                <c:formatCode>General</c:formatCode>
                <c:ptCount val="3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2-9EE3-4C2E-8A2E-16EE2876F1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874880"/>
        <c:axId val="147063936"/>
      </c:lineChart>
      <c:catAx>
        <c:axId val="144871808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400"/>
            </a:pPr>
            <a:endParaRPr lang="es-PE"/>
          </a:p>
        </c:txPr>
        <c:crossAx val="144873344"/>
        <c:crosses val="autoZero"/>
        <c:auto val="1"/>
        <c:lblAlgn val="ctr"/>
        <c:lblOffset val="100"/>
        <c:noMultiLvlLbl val="1"/>
      </c:catAx>
      <c:valAx>
        <c:axId val="144873344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4871808"/>
        <c:crosses val="autoZero"/>
        <c:crossBetween val="between"/>
      </c:valAx>
      <c:catAx>
        <c:axId val="14487488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063936"/>
        <c:crosses val="autoZero"/>
        <c:auto val="1"/>
        <c:lblAlgn val="ctr"/>
        <c:lblOffset val="100"/>
        <c:noMultiLvlLbl val="1"/>
      </c:catAx>
      <c:valAx>
        <c:axId val="147063936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4874880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20825664706815852"/>
          <c:y val="0.85876169734102381"/>
          <c:w val="0.52549993828527097"/>
          <c:h val="9.024675107100974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Impuesto Selectivo al Consumo: 2021 -2023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898939773814339"/>
          <c:y val="0.25506406373759494"/>
          <c:w val="0.77181208053691219"/>
          <c:h val="0.539580708526475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A8EF-49D9-80BA-BA5E5E0CB65B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A8EF-49D9-80BA-BA5E5E0CB65B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A8EF-49D9-80BA-BA5E5E0CB65B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A8EF-49D9-80BA-BA5E5E0CB65B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A8EF-49D9-80BA-BA5E5E0CB65B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A8EF-49D9-80BA-BA5E5E0CB65B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A8EF-49D9-80BA-BA5E5E0CB65B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8-A8EF-49D9-80BA-BA5E5E0CB65B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A8EF-49D9-80BA-BA5E5E0CB65B}"/>
              </c:ext>
            </c:extLst>
          </c:dPt>
          <c:dPt>
            <c:idx val="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A8EF-49D9-80BA-BA5E5E0CB65B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A8EF-49D9-80BA-BA5E5E0CB65B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A8EF-49D9-80BA-BA5E5E0CB65B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A8EF-49D9-80BA-BA5E5E0CB65B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A8EF-49D9-80BA-BA5E5E0CB65B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F-A8EF-49D9-80BA-BA5E5E0CB65B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A8EF-49D9-80BA-BA5E5E0CB65B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A8EF-49D9-80BA-BA5E5E0CB65B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3-A8EF-49D9-80BA-BA5E5E0CB65B}"/>
              </c:ext>
            </c:extLst>
          </c:dPt>
          <c:dPt>
            <c:idx val="19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4-A8EF-49D9-80BA-BA5E5E0CB65B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A8EF-49D9-80BA-BA5E5E0CB65B}"/>
              </c:ext>
            </c:extLst>
          </c:dPt>
          <c:dPt>
            <c:idx val="2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A8EF-49D9-80BA-BA5E5E0CB65B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A8EF-49D9-80BA-BA5E5E0CB65B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A8EF-49D9-80BA-BA5E5E0CB65B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9-A8EF-49D9-80BA-BA5E5E0CB65B}"/>
              </c:ext>
            </c:extLst>
          </c:dPt>
          <c:dPt>
            <c:idx val="2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A-A8EF-49D9-80BA-BA5E5E0CB65B}"/>
              </c:ext>
            </c:extLst>
          </c:dPt>
          <c:dPt>
            <c:idx val="2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C-A8EF-49D9-80BA-BA5E5E0CB65B}"/>
              </c:ext>
            </c:extLst>
          </c:dPt>
          <c:dPt>
            <c:idx val="2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E-24DA-451A-BBE8-33955B88F80F}"/>
              </c:ext>
            </c:extLst>
          </c:dPt>
          <c:dPt>
            <c:idx val="31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20-288D-49A7-855B-EB0E8C3322B9}"/>
              </c:ext>
            </c:extLst>
          </c:dPt>
          <c:dLbls>
            <c:dLbl>
              <c:idx val="7"/>
              <c:layout>
                <c:manualLayout>
                  <c:x val="0"/>
                  <c:y val="-0.14201183431952669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A8EF-49D9-80BA-BA5E5E0CB65B}"/>
                </c:ext>
              </c:extLst>
            </c:dLbl>
            <c:dLbl>
              <c:idx val="1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4-A8EF-49D9-80BA-BA5E5E0CB65B}"/>
                </c:ext>
              </c:extLst>
            </c:dLbl>
            <c:dLbl>
              <c:idx val="31"/>
              <c:layout>
                <c:manualLayout>
                  <c:x val="2.5876568766981497E-3"/>
                  <c:y val="-6.5088757396449703E-2"/>
                </c:manualLayout>
              </c:layout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288D-49A7-855B-EB0E8C3322B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Hoja1!$A$2:$A$57</c:f>
              <c:strCache>
                <c:ptCount val="32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</c:strCache>
            </c:strRef>
          </c:cat>
          <c:val>
            <c:numRef>
              <c:f>Hoja1!$B$2:$B$57</c:f>
              <c:numCache>
                <c:formatCode>_ * #,##0_ ;_ * \-#,##0_ ;_ * "-"??_ ;_ @_ </c:formatCode>
                <c:ptCount val="32"/>
                <c:pt idx="0">
                  <c:v>883.23857244714952</c:v>
                </c:pt>
                <c:pt idx="1">
                  <c:v>696.78826587000003</c:v>
                </c:pt>
                <c:pt idx="2">
                  <c:v>709.48963996000009</c:v>
                </c:pt>
                <c:pt idx="3">
                  <c:v>703.13503943581031</c:v>
                </c:pt>
                <c:pt idx="4">
                  <c:v>660.4005959499998</c:v>
                </c:pt>
                <c:pt idx="5">
                  <c:v>679.61585008999987</c:v>
                </c:pt>
                <c:pt idx="6">
                  <c:v>723.59360617889786</c:v>
                </c:pt>
                <c:pt idx="7">
                  <c:v>819.25913312518537</c:v>
                </c:pt>
                <c:pt idx="8">
                  <c:v>741.81619597376709</c:v>
                </c:pt>
                <c:pt idx="9">
                  <c:v>801.93143897999983</c:v>
                </c:pt>
                <c:pt idx="10">
                  <c:v>851.47573002000013</c:v>
                </c:pt>
                <c:pt idx="11">
                  <c:v>867.65660188000015</c:v>
                </c:pt>
                <c:pt idx="12">
                  <c:v>923.88320605000024</c:v>
                </c:pt>
                <c:pt idx="13">
                  <c:v>803.16341792999981</c:v>
                </c:pt>
                <c:pt idx="14">
                  <c:v>645.61855411466479</c:v>
                </c:pt>
                <c:pt idx="15">
                  <c:v>843.29260213167834</c:v>
                </c:pt>
                <c:pt idx="16">
                  <c:v>572.24213474692351</c:v>
                </c:pt>
                <c:pt idx="17">
                  <c:v>530.68895388178851</c:v>
                </c:pt>
                <c:pt idx="18">
                  <c:v>549.08954829281458</c:v>
                </c:pt>
                <c:pt idx="19">
                  <c:v>812.20006718661091</c:v>
                </c:pt>
                <c:pt idx="20">
                  <c:v>842.70640650652558</c:v>
                </c:pt>
                <c:pt idx="21">
                  <c:v>818.86550608000016</c:v>
                </c:pt>
                <c:pt idx="22">
                  <c:v>861.02382519608875</c:v>
                </c:pt>
                <c:pt idx="23">
                  <c:v>822.8154959200001</c:v>
                </c:pt>
                <c:pt idx="24">
                  <c:v>817.24611390999974</c:v>
                </c:pt>
                <c:pt idx="25">
                  <c:v>756.13355803000002</c:v>
                </c:pt>
                <c:pt idx="26">
                  <c:v>752.44119710408995</c:v>
                </c:pt>
                <c:pt idx="27">
                  <c:v>709.75602995999986</c:v>
                </c:pt>
                <c:pt idx="28">
                  <c:v>711</c:v>
                </c:pt>
                <c:pt idx="29">
                  <c:v>760.82716138522414</c:v>
                </c:pt>
                <c:pt idx="30">
                  <c:v>866.81781383323096</c:v>
                </c:pt>
                <c:pt idx="31">
                  <c:v>823.80069378999997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D-A8EF-49D9-80BA-BA5E5E0CB6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7737216"/>
        <c:axId val="14774720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4474-4933-BFA3-03FF714CB854}"/>
                </c:ext>
              </c:extLst>
            </c:dLbl>
            <c:dLbl>
              <c:idx val="7"/>
              <c:layout>
                <c:manualLayout>
                  <c:x val="-4.7269971056956003E-2"/>
                  <c:y val="5.32544378698224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0-D24E-4B41-A675-FF4F03534B48}"/>
                </c:ext>
              </c:extLst>
            </c:dLbl>
            <c:dLbl>
              <c:idx val="19"/>
              <c:layout>
                <c:manualLayout>
                  <c:x val="-4.2081820895431159E-2"/>
                  <c:y val="3.55029585798815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D24E-4B41-A675-FF4F03534B48}"/>
                </c:ext>
              </c:extLst>
            </c:dLbl>
            <c:dLbl>
              <c:idx val="31"/>
              <c:layout>
                <c:manualLayout>
                  <c:x val="-6.2795810440890054E-2"/>
                  <c:y val="2.6627218934911243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wrap="square" lIns="38100" tIns="19050" rIns="38100" bIns="19050" anchor="ctr">
                  <a:noAutofit/>
                </a:bodyPr>
                <a:lstStyle/>
                <a:p>
                  <a:pPr>
                    <a:defRPr/>
                  </a:pPr>
                  <a:endParaRPr lang="es-PE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8.6776971483817453E-2"/>
                      <c:h val="0.1441420118343195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1-288D-49A7-855B-EB0E8C3322B9}"/>
                </c:ext>
              </c:extLst>
            </c:dLbl>
            <c:spPr>
              <a:noFill/>
              <a:ln>
                <a:noFill/>
              </a:ln>
              <a:effectLst/>
            </c:sp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Hoja1!$A$2:$A$57</c:f>
              <c:strCache>
                <c:ptCount val="32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</c:strCache>
            </c:strRef>
          </c:cat>
          <c:val>
            <c:numRef>
              <c:f>Hoja1!$C$2:$C$57</c:f>
              <c:numCache>
                <c:formatCode>0.0</c:formatCode>
                <c:ptCount val="32"/>
                <c:pt idx="0">
                  <c:v>-8.069978575230973</c:v>
                </c:pt>
                <c:pt idx="1">
                  <c:v>1.5208894792315464</c:v>
                </c:pt>
                <c:pt idx="2">
                  <c:v>-1.7639810346156248</c:v>
                </c:pt>
                <c:pt idx="3">
                  <c:v>105.66653872100247</c:v>
                </c:pt>
                <c:pt idx="4">
                  <c:v>164.83453510400574</c:v>
                </c:pt>
                <c:pt idx="5">
                  <c:v>102.43522824162588</c:v>
                </c:pt>
                <c:pt idx="6">
                  <c:v>50.145827577159416</c:v>
                </c:pt>
                <c:pt idx="7">
                  <c:v>40.701978352222248</c:v>
                </c:pt>
                <c:pt idx="8">
                  <c:v>36.071445207742833</c:v>
                </c:pt>
                <c:pt idx="9">
                  <c:v>28.832815338460161</c:v>
                </c:pt>
                <c:pt idx="10">
                  <c:v>6.2290154874449666</c:v>
                </c:pt>
                <c:pt idx="11">
                  <c:v>-1.0864862412733767</c:v>
                </c:pt>
                <c:pt idx="12">
                  <c:v>-1.024880183103638</c:v>
                </c:pt>
                <c:pt idx="13">
                  <c:v>8.5913388348930031</c:v>
                </c:pt>
                <c:pt idx="14">
                  <c:v>-14.815466968212231</c:v>
                </c:pt>
                <c:pt idx="15">
                  <c:v>11.085649163178601</c:v>
                </c:pt>
                <c:pt idx="16">
                  <c:v>-19.8354644386175</c:v>
                </c:pt>
                <c:pt idx="17">
                  <c:v>-28.237554573285518</c:v>
                </c:pt>
                <c:pt idx="18">
                  <c:v>-30.216010330461561</c:v>
                </c:pt>
                <c:pt idx="19">
                  <c:v>-8.5422516829971364</c:v>
                </c:pt>
                <c:pt idx="20">
                  <c:v>4.6720604719719727</c:v>
                </c:pt>
                <c:pt idx="21">
                  <c:v>-5.6924708718805501</c:v>
                </c:pt>
                <c:pt idx="22">
                  <c:v>-6.7552410508057275</c:v>
                </c:pt>
                <c:pt idx="23">
                  <c:v>-12.564390479174293</c:v>
                </c:pt>
                <c:pt idx="24">
                  <c:v>-18.595383140741394</c:v>
                </c:pt>
                <c:pt idx="25">
                  <c:v>-13.347487896693966</c:v>
                </c:pt>
                <c:pt idx="26">
                  <c:v>7.5139903622241988</c:v>
                </c:pt>
                <c:pt idx="27">
                  <c:v>-22.044344628214475</c:v>
                </c:pt>
                <c:pt idx="28">
                  <c:v>15.1</c:v>
                </c:pt>
                <c:pt idx="29">
                  <c:v>34.66458336205487</c:v>
                </c:pt>
                <c:pt idx="30">
                  <c:v>49.095367329674701</c:v>
                </c:pt>
                <c:pt idx="31">
                  <c:v>-3.9324775690632752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21-A8EF-49D9-80BA-BA5E5E0CB65B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9525">
              <a:solidFill>
                <a:schemeClr val="accent5">
                  <a:lumMod val="75000"/>
                </a:schemeClr>
              </a:solidFill>
              <a:prstDash val="dash"/>
            </a:ln>
          </c:spPr>
          <c:marker>
            <c:symbol val="none"/>
          </c:marker>
          <c:cat>
            <c:strRef>
              <c:f>Hoja1!$A$2:$A$57</c:f>
              <c:strCache>
                <c:ptCount val="32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</c:strCache>
            </c:strRef>
          </c:cat>
          <c:val>
            <c:numRef>
              <c:f>Hoja1!$D$2:$D$57</c:f>
              <c:numCache>
                <c:formatCode>General</c:formatCode>
                <c:ptCount val="3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2-A8EF-49D9-80BA-BA5E5E0CB6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748736"/>
        <c:axId val="147750272"/>
      </c:lineChart>
      <c:catAx>
        <c:axId val="14773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400"/>
            </a:pPr>
            <a:endParaRPr lang="es-PE"/>
          </a:p>
        </c:txPr>
        <c:crossAx val="147747200"/>
        <c:crosses val="autoZero"/>
        <c:auto val="1"/>
        <c:lblAlgn val="ctr"/>
        <c:lblOffset val="100"/>
        <c:noMultiLvlLbl val="1"/>
      </c:catAx>
      <c:valAx>
        <c:axId val="14774720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7737216"/>
        <c:crosses val="autoZero"/>
        <c:crossBetween val="between"/>
      </c:valAx>
      <c:catAx>
        <c:axId val="1477487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750272"/>
        <c:crosses val="autoZero"/>
        <c:auto val="1"/>
        <c:lblAlgn val="ctr"/>
        <c:lblOffset val="100"/>
        <c:noMultiLvlLbl val="1"/>
      </c:catAx>
      <c:valAx>
        <c:axId val="147750272"/>
        <c:scaling>
          <c:orientation val="minMax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7748736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1.4506363700267836E-2"/>
          <c:y val="0.91221777011601357"/>
          <c:w val="0.9415034693958636"/>
          <c:h val="8.1865070120672789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l">
              <a:defRPr sz="1000"/>
            </a:pPr>
            <a:r>
              <a:rPr lang="es-PE" sz="1000" dirty="0"/>
              <a:t>Devoluciones</a:t>
            </a:r>
            <a:r>
              <a:rPr lang="es-PE" sz="1000" baseline="0" dirty="0"/>
              <a:t>: 2021 - 2023</a:t>
            </a:r>
            <a:r>
              <a:rPr lang="es-PE" sz="1000" dirty="0"/>
              <a:t> </a:t>
            </a:r>
          </a:p>
          <a:p>
            <a:pPr algn="l">
              <a:defRPr sz="1000"/>
            </a:pPr>
            <a:r>
              <a:rPr lang="es-PE" sz="1000" b="0" dirty="0"/>
              <a:t>En millones de soles y Var. % real anual </a:t>
            </a:r>
          </a:p>
        </c:rich>
      </c:tx>
      <c:layout>
        <c:manualLayout>
          <c:xMode val="edge"/>
          <c:yMode val="edge"/>
          <c:x val="2.4264200334386176E-3"/>
          <c:y val="5.062731125113082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2898940689967711"/>
          <c:y val="0.26098107910131341"/>
          <c:w val="0.77181208053691219"/>
          <c:h val="0.53958070852647577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Recaudación</c:v>
                </c:pt>
              </c:strCache>
            </c:strRef>
          </c:tx>
          <c:spPr>
            <a:solidFill>
              <a:schemeClr val="bg1">
                <a:lumMod val="85000"/>
              </a:schemeClr>
            </a:solidFill>
            <a:ln w="6350" cap="flat" cmpd="sng" algn="ctr">
              <a:solidFill>
                <a:schemeClr val="bg1">
                  <a:lumMod val="75000"/>
                </a:schemeClr>
              </a:solidFill>
              <a:prstDash val="solid"/>
              <a:miter lim="800000"/>
            </a:ln>
            <a:effectLst/>
          </c:spPr>
          <c:invertIfNegative val="0"/>
          <c:dPt>
            <c:idx val="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0-171F-47A0-9AF5-A776BE1DC5CA}"/>
              </c:ext>
            </c:extLst>
          </c:dPt>
          <c:dPt>
            <c:idx val="1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1-171F-47A0-9AF5-A776BE1DC5CA}"/>
              </c:ext>
            </c:extLst>
          </c:dPt>
          <c:dPt>
            <c:idx val="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2-171F-47A0-9AF5-A776BE1DC5CA}"/>
              </c:ext>
            </c:extLst>
          </c:dPt>
          <c:dPt>
            <c:idx val="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3-171F-47A0-9AF5-A776BE1DC5CA}"/>
              </c:ext>
            </c:extLst>
          </c:dPt>
          <c:dPt>
            <c:idx val="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5-171F-47A0-9AF5-A776BE1DC5CA}"/>
              </c:ext>
            </c:extLst>
          </c:dPt>
          <c:dPt>
            <c:idx val="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6-171F-47A0-9AF5-A776BE1DC5CA}"/>
              </c:ext>
            </c:extLst>
          </c:dPt>
          <c:dPt>
            <c:idx val="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7-171F-47A0-9AF5-A776BE1DC5CA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08-171F-47A0-9AF5-A776BE1DC5CA}"/>
              </c:ext>
            </c:extLst>
          </c:dPt>
          <c:dPt>
            <c:idx val="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9-171F-47A0-9AF5-A776BE1DC5CA}"/>
              </c:ext>
            </c:extLst>
          </c:dPt>
          <c:dPt>
            <c:idx val="1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A-171F-47A0-9AF5-A776BE1DC5CA}"/>
              </c:ext>
            </c:extLst>
          </c:dPt>
          <c:dPt>
            <c:idx val="12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B-171F-47A0-9AF5-A776BE1DC5CA}"/>
              </c:ext>
            </c:extLst>
          </c:dPt>
          <c:dPt>
            <c:idx val="13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C-171F-47A0-9AF5-A776BE1DC5CA}"/>
              </c:ext>
            </c:extLst>
          </c:dPt>
          <c:dPt>
            <c:idx val="1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D-171F-47A0-9AF5-A776BE1DC5CA}"/>
              </c:ext>
            </c:extLst>
          </c:dPt>
          <c:dPt>
            <c:idx val="1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0E-171F-47A0-9AF5-A776BE1DC5CA}"/>
              </c:ext>
            </c:extLst>
          </c:dPt>
          <c:dPt>
            <c:idx val="1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0-171F-47A0-9AF5-A776BE1DC5CA}"/>
              </c:ext>
            </c:extLst>
          </c:dPt>
          <c:dPt>
            <c:idx val="1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1-171F-47A0-9AF5-A776BE1DC5CA}"/>
              </c:ext>
            </c:extLst>
          </c:dPt>
          <c:dPt>
            <c:idx val="1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2-171F-47A0-9AF5-A776BE1DC5CA}"/>
              </c:ext>
            </c:extLst>
          </c:dPt>
          <c:dPt>
            <c:idx val="19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3-171F-47A0-9AF5-A776BE1DC5CA}"/>
              </c:ext>
            </c:extLst>
          </c:dPt>
          <c:dPt>
            <c:idx val="20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4-171F-47A0-9AF5-A776BE1DC5CA}"/>
              </c:ext>
            </c:extLst>
          </c:dPt>
          <c:dPt>
            <c:idx val="24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5-171F-47A0-9AF5-A776BE1DC5CA}"/>
              </c:ext>
            </c:extLst>
          </c:dPt>
          <c:dPt>
            <c:idx val="25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6-171F-47A0-9AF5-A776BE1DC5CA}"/>
              </c:ext>
            </c:extLst>
          </c:dPt>
          <c:dPt>
            <c:idx val="26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7-171F-47A0-9AF5-A776BE1DC5CA}"/>
              </c:ext>
            </c:extLst>
          </c:dPt>
          <c:dPt>
            <c:idx val="27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8-171F-47A0-9AF5-A776BE1DC5CA}"/>
              </c:ext>
            </c:extLst>
          </c:dPt>
          <c:dPt>
            <c:idx val="28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A-171F-47A0-9AF5-A776BE1DC5CA}"/>
              </c:ext>
            </c:extLst>
          </c:dPt>
          <c:dPt>
            <c:idx val="29"/>
            <c:invertIfNegative val="0"/>
            <c:bubble3D val="0"/>
            <c:extLst>
              <c:ext xmlns:c16="http://schemas.microsoft.com/office/drawing/2014/chart" uri="{C3380CC4-5D6E-409C-BE32-E72D297353CC}">
                <c16:uniqueId val="{0000001C-B8CA-4A00-A1F9-1880734DCBCC}"/>
              </c:ext>
            </c:extLst>
          </c:dPt>
          <c:dPt>
            <c:idx val="31"/>
            <c:invertIfNegative val="0"/>
            <c:bubble3D val="0"/>
            <c:spPr>
              <a:solidFill>
                <a:schemeClr val="accent1">
                  <a:lumMod val="20000"/>
                  <a:lumOff val="80000"/>
                </a:schemeClr>
              </a:solidFill>
              <a:ln w="6350" cap="flat" cmpd="sng" algn="ctr">
                <a:solidFill>
                  <a:schemeClr val="bg1">
                    <a:lumMod val="75000"/>
                  </a:schemeClr>
                </a:solidFill>
                <a:prstDash val="solid"/>
                <a:miter lim="800000"/>
              </a:ln>
              <a:effectLst/>
            </c:spPr>
            <c:extLst>
              <c:ext xmlns:c16="http://schemas.microsoft.com/office/drawing/2014/chart" uri="{C3380CC4-5D6E-409C-BE32-E72D297353CC}">
                <c16:uniqueId val="{0000001E-057A-4BD7-8A00-7E1DCDB7B3C6}"/>
              </c:ext>
            </c:extLst>
          </c:dPt>
          <c:dLbls>
            <c:dLbl>
              <c:idx val="7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71F-47A0-9AF5-A776BE1DC5CA}"/>
                </c:ext>
              </c:extLst>
            </c:dLbl>
            <c:dLbl>
              <c:idx val="19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171F-47A0-9AF5-A776BE1DC5CA}"/>
                </c:ext>
              </c:extLst>
            </c:dLbl>
            <c:dLbl>
              <c:idx val="31"/>
              <c:layout>
                <c:manualLayout>
                  <c:x val="0"/>
                  <c:y val="-4.287245444801714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057A-4BD7-8A00-7E1DCDB7B3C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Hoja1!$A$2:$A$57</c:f>
              <c:strCache>
                <c:ptCount val="32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</c:strCache>
            </c:strRef>
          </c:cat>
          <c:val>
            <c:numRef>
              <c:f>Hoja1!$B$2:$B$57</c:f>
              <c:numCache>
                <c:formatCode>_ * #,##0_ ;_ * \-#,##0_ ;_ * "-"??_ ;_ @_ </c:formatCode>
                <c:ptCount val="32"/>
                <c:pt idx="0">
                  <c:v>1371.1450600999999</c:v>
                </c:pt>
                <c:pt idx="1">
                  <c:v>1170.1521685299999</c:v>
                </c:pt>
                <c:pt idx="2">
                  <c:v>1877.9982875500002</c:v>
                </c:pt>
                <c:pt idx="3">
                  <c:v>1652.3172830199999</c:v>
                </c:pt>
                <c:pt idx="4">
                  <c:v>1442.1443238600002</c:v>
                </c:pt>
                <c:pt idx="5">
                  <c:v>1983.1557679</c:v>
                </c:pt>
                <c:pt idx="6">
                  <c:v>1998.9975050599999</c:v>
                </c:pt>
                <c:pt idx="7">
                  <c:v>1510.6622531200001</c:v>
                </c:pt>
                <c:pt idx="8">
                  <c:v>1565.4263235399999</c:v>
                </c:pt>
                <c:pt idx="9">
                  <c:v>1710.8572098900001</c:v>
                </c:pt>
                <c:pt idx="10">
                  <c:v>1522.4275231599997</c:v>
                </c:pt>
                <c:pt idx="11">
                  <c:v>2018.2218230799999</c:v>
                </c:pt>
                <c:pt idx="12">
                  <c:v>2205.9801578299998</c:v>
                </c:pt>
                <c:pt idx="13">
                  <c:v>1743.8910244000001</c:v>
                </c:pt>
                <c:pt idx="14">
                  <c:v>2900.9628683400001</c:v>
                </c:pt>
                <c:pt idx="15">
                  <c:v>2440.4010071399998</c:v>
                </c:pt>
                <c:pt idx="16">
                  <c:v>1720.1364200099999</c:v>
                </c:pt>
                <c:pt idx="17">
                  <c:v>2155.3456029200001</c:v>
                </c:pt>
                <c:pt idx="18">
                  <c:v>1843.85264674</c:v>
                </c:pt>
                <c:pt idx="19">
                  <c:v>2280.4926827899999</c:v>
                </c:pt>
                <c:pt idx="20">
                  <c:v>1638.34736266</c:v>
                </c:pt>
                <c:pt idx="21">
                  <c:v>2487.2657001099997</c:v>
                </c:pt>
                <c:pt idx="22">
                  <c:v>2003.08451913</c:v>
                </c:pt>
                <c:pt idx="23">
                  <c:v>2204.8196107200001</c:v>
                </c:pt>
                <c:pt idx="24">
                  <c:v>1958.2098802999999</c:v>
                </c:pt>
                <c:pt idx="25">
                  <c:v>1408.97123031</c:v>
                </c:pt>
                <c:pt idx="26">
                  <c:v>2082.0103981100001</c:v>
                </c:pt>
                <c:pt idx="27">
                  <c:v>2005.6983144200001</c:v>
                </c:pt>
                <c:pt idx="28">
                  <c:v>2081.1999999999998</c:v>
                </c:pt>
                <c:pt idx="29">
                  <c:v>2267.9880878200001</c:v>
                </c:pt>
                <c:pt idx="30">
                  <c:v>2674.60868037</c:v>
                </c:pt>
                <c:pt idx="31">
                  <c:v>2328.8000000000002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B-171F-47A0-9AF5-A776BE1DC5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5"/>
        <c:overlap val="100"/>
        <c:axId val="147737216"/>
        <c:axId val="147747200"/>
      </c:barChart>
      <c:lineChart>
        <c:grouping val="standard"/>
        <c:varyColors val="0"/>
        <c:ser>
          <c:idx val="4"/>
          <c:order val="1"/>
          <c:tx>
            <c:strRef>
              <c:f>Hoja1!$C$1</c:f>
              <c:strCache>
                <c:ptCount val="1"/>
                <c:pt idx="0">
                  <c:v>Var % Real</c:v>
                </c:pt>
              </c:strCache>
            </c:strRef>
          </c:tx>
          <c:spPr>
            <a:ln w="19050">
              <a:solidFill>
                <a:srgbClr val="0070C0"/>
              </a:solidFill>
            </a:ln>
            <a:effectLst/>
          </c:spPr>
          <c:marker>
            <c:symbol val="none"/>
          </c:marker>
          <c:dLbls>
            <c:dLbl>
              <c:idx val="7"/>
              <c:layout>
                <c:manualLayout>
                  <c:x val="-3.110419906687403E-2"/>
                  <c:y val="-3.75133976420151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4C4E-417C-A074-0869F4F96D67}"/>
                </c:ext>
              </c:extLst>
            </c:dLbl>
            <c:dLbl>
              <c:idx val="19"/>
              <c:layout>
                <c:manualLayout>
                  <c:x val="-4.4064282011404873E-2"/>
                  <c:y val="-5.359056806002148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4C4E-417C-A074-0869F4F96D67}"/>
                </c:ext>
              </c:extLst>
            </c:dLbl>
            <c:dLbl>
              <c:idx val="31"/>
              <c:layout>
                <c:manualLayout>
                  <c:x val="-4.2152720801035173E-2"/>
                  <c:y val="3.7513397642015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057A-4BD7-8A00-7E1DCDB7B3C6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Hoja1!$A$2:$A$57</c:f>
              <c:strCache>
                <c:ptCount val="32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</c:strCache>
            </c:strRef>
          </c:cat>
          <c:val>
            <c:numRef>
              <c:f>Hoja1!$C$2:$C$57</c:f>
              <c:numCache>
                <c:formatCode>0.0</c:formatCode>
                <c:ptCount val="32"/>
                <c:pt idx="0">
                  <c:v>-0.82101437509206621</c:v>
                </c:pt>
                <c:pt idx="1">
                  <c:v>-24.35659177823527</c:v>
                </c:pt>
                <c:pt idx="2">
                  <c:v>27.784294173044643</c:v>
                </c:pt>
                <c:pt idx="3">
                  <c:v>15.348413298586493</c:v>
                </c:pt>
                <c:pt idx="4">
                  <c:v>33.126202870686704</c:v>
                </c:pt>
                <c:pt idx="5">
                  <c:v>39.751415253202047</c:v>
                </c:pt>
                <c:pt idx="6">
                  <c:v>43.462133499045223</c:v>
                </c:pt>
                <c:pt idx="7">
                  <c:v>6.3696825883116315</c:v>
                </c:pt>
                <c:pt idx="8">
                  <c:v>-4.0946208618087514</c:v>
                </c:pt>
                <c:pt idx="9">
                  <c:v>7.5815538950552153E-2</c:v>
                </c:pt>
                <c:pt idx="10">
                  <c:v>-7.3604658316815179</c:v>
                </c:pt>
                <c:pt idx="11">
                  <c:v>15.308066622823535</c:v>
                </c:pt>
                <c:pt idx="12">
                  <c:v>52.231732308452528</c:v>
                </c:pt>
                <c:pt idx="13">
                  <c:v>40.400642007724997</c:v>
                </c:pt>
                <c:pt idx="14">
                  <c:v>44.606948482440686</c:v>
                </c:pt>
                <c:pt idx="15">
                  <c:v>36.806169430291867</c:v>
                </c:pt>
                <c:pt idx="16">
                  <c:v>10.347899665355897</c:v>
                </c:pt>
                <c:pt idx="17">
                  <c:v>-0.11948545414367517</c:v>
                </c:pt>
                <c:pt idx="18">
                  <c:v>-15.175502088740133</c:v>
                </c:pt>
                <c:pt idx="19">
                  <c:v>39.264389885606654</c:v>
                </c:pt>
                <c:pt idx="20">
                  <c:v>-3.5673408504720228</c:v>
                </c:pt>
                <c:pt idx="21">
                  <c:v>34.27014120499463</c:v>
                </c:pt>
                <c:pt idx="22">
                  <c:v>21.323291183201974</c:v>
                </c:pt>
                <c:pt idx="23">
                  <c:v>0.72514948519277755</c:v>
                </c:pt>
                <c:pt idx="24">
                  <c:v>-18.3096266468092</c:v>
                </c:pt>
                <c:pt idx="25">
                  <c:v>-25.634869072656041</c:v>
                </c:pt>
                <c:pt idx="26">
                  <c:v>-33.792202255092519</c:v>
                </c:pt>
                <c:pt idx="27">
                  <c:v>-23.876063112470934</c:v>
                </c:pt>
                <c:pt idx="28">
                  <c:v>12.138332070549328</c:v>
                </c:pt>
                <c:pt idx="29">
                  <c:v>-1.1603309205536649</c:v>
                </c:pt>
                <c:pt idx="30">
                  <c:v>36.99778243681704</c:v>
                </c:pt>
                <c:pt idx="31">
                  <c:v>-3.2789578122369822</c:v>
                </c:pt>
              </c:numCache>
            </c:numRef>
          </c:val>
          <c:smooth val="1"/>
          <c:extLst>
            <c:ext xmlns:c16="http://schemas.microsoft.com/office/drawing/2014/chart" uri="{C3380CC4-5D6E-409C-BE32-E72D297353CC}">
              <c16:uniqueId val="{0000001F-171F-47A0-9AF5-A776BE1DC5CA}"/>
            </c:ext>
          </c:extLst>
        </c:ser>
        <c:ser>
          <c:idx val="1"/>
          <c:order val="2"/>
          <c:tx>
            <c:strRef>
              <c:f>Hoja1!$D$1</c:f>
              <c:strCache>
                <c:ptCount val="1"/>
                <c:pt idx="0">
                  <c:v>Columna1</c:v>
                </c:pt>
              </c:strCache>
            </c:strRef>
          </c:tx>
          <c:spPr>
            <a:ln w="9525">
              <a:solidFill>
                <a:schemeClr val="accent5">
                  <a:lumMod val="75000"/>
                </a:schemeClr>
              </a:solidFill>
              <a:prstDash val="dash"/>
            </a:ln>
          </c:spPr>
          <c:marker>
            <c:symbol val="none"/>
          </c:marker>
          <c:cat>
            <c:strRef>
              <c:f>Hoja1!$A$2:$A$57</c:f>
              <c:strCache>
                <c:ptCount val="32"/>
                <c:pt idx="0">
                  <c:v>E-21</c:v>
                </c:pt>
                <c:pt idx="1">
                  <c:v>F</c:v>
                </c:pt>
                <c:pt idx="2">
                  <c:v>M</c:v>
                </c:pt>
                <c:pt idx="3">
                  <c:v>A</c:v>
                </c:pt>
                <c:pt idx="4">
                  <c:v>M</c:v>
                </c:pt>
                <c:pt idx="5">
                  <c:v>J</c:v>
                </c:pt>
                <c:pt idx="6">
                  <c:v>Jl</c:v>
                </c:pt>
                <c:pt idx="7">
                  <c:v>A</c:v>
                </c:pt>
                <c:pt idx="8">
                  <c:v>S</c:v>
                </c:pt>
                <c:pt idx="9">
                  <c:v>O</c:v>
                </c:pt>
                <c:pt idx="10">
                  <c:v>N</c:v>
                </c:pt>
                <c:pt idx="11">
                  <c:v>D</c:v>
                </c:pt>
                <c:pt idx="12">
                  <c:v>E-22</c:v>
                </c:pt>
                <c:pt idx="13">
                  <c:v>F</c:v>
                </c:pt>
                <c:pt idx="14">
                  <c:v>M</c:v>
                </c:pt>
                <c:pt idx="15">
                  <c:v>A</c:v>
                </c:pt>
                <c:pt idx="16">
                  <c:v>M</c:v>
                </c:pt>
                <c:pt idx="17">
                  <c:v>J</c:v>
                </c:pt>
                <c:pt idx="18">
                  <c:v>Jl</c:v>
                </c:pt>
                <c:pt idx="19">
                  <c:v>A</c:v>
                </c:pt>
                <c:pt idx="20">
                  <c:v>S</c:v>
                </c:pt>
                <c:pt idx="21">
                  <c:v>O</c:v>
                </c:pt>
                <c:pt idx="22">
                  <c:v>N</c:v>
                </c:pt>
                <c:pt idx="23">
                  <c:v>D</c:v>
                </c:pt>
                <c:pt idx="24">
                  <c:v>E-23</c:v>
                </c:pt>
                <c:pt idx="25">
                  <c:v>F</c:v>
                </c:pt>
                <c:pt idx="26">
                  <c:v>M</c:v>
                </c:pt>
                <c:pt idx="27">
                  <c:v>A</c:v>
                </c:pt>
                <c:pt idx="28">
                  <c:v>M</c:v>
                </c:pt>
                <c:pt idx="29">
                  <c:v>J</c:v>
                </c:pt>
                <c:pt idx="30">
                  <c:v>Jl</c:v>
                </c:pt>
                <c:pt idx="31">
                  <c:v>A</c:v>
                </c:pt>
              </c:strCache>
            </c:strRef>
          </c:cat>
          <c:val>
            <c:numRef>
              <c:f>Hoja1!$D$2:$D$57</c:f>
              <c:numCache>
                <c:formatCode>General</c:formatCode>
                <c:ptCount val="3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20-171F-47A0-9AF5-A776BE1DC5C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7748736"/>
        <c:axId val="147750272"/>
      </c:lineChart>
      <c:catAx>
        <c:axId val="147737216"/>
        <c:scaling>
          <c:orientation val="minMax"/>
        </c:scaling>
        <c:delete val="0"/>
        <c:axPos val="b"/>
        <c:numFmt formatCode="mmm\-yy" sourceLinked="0"/>
        <c:majorTickMark val="none"/>
        <c:minorTickMark val="none"/>
        <c:tickLblPos val="nextTo"/>
        <c:txPr>
          <a:bodyPr rot="0" vert="horz"/>
          <a:lstStyle/>
          <a:p>
            <a:pPr>
              <a:defRPr sz="400"/>
            </a:pPr>
            <a:endParaRPr lang="es-PE"/>
          </a:p>
        </c:txPr>
        <c:crossAx val="147747200"/>
        <c:crosses val="autoZero"/>
        <c:auto val="1"/>
        <c:lblAlgn val="ctr"/>
        <c:lblOffset val="100"/>
        <c:noMultiLvlLbl val="1"/>
      </c:catAx>
      <c:valAx>
        <c:axId val="147747200"/>
        <c:scaling>
          <c:orientation val="minMax"/>
          <c:min val="0"/>
        </c:scaling>
        <c:delete val="0"/>
        <c:axPos val="l"/>
        <c:numFmt formatCode="#,##0" sourceLinked="0"/>
        <c:majorTickMark val="none"/>
        <c:minorTickMark val="none"/>
        <c:tickLblPos val="nextTo"/>
        <c:spPr>
          <a:ln w="8578">
            <a:solidFill>
              <a:schemeClr val="tx1">
                <a:alpha val="66000"/>
              </a:schemeClr>
            </a:solidFill>
          </a:ln>
        </c:spPr>
        <c:txPr>
          <a:bodyPr/>
          <a:lstStyle/>
          <a:p>
            <a:pPr>
              <a:defRPr sz="700"/>
            </a:pPr>
            <a:endParaRPr lang="es-PE"/>
          </a:p>
        </c:txPr>
        <c:crossAx val="147737216"/>
        <c:crosses val="autoZero"/>
        <c:crossBetween val="between"/>
      </c:valAx>
      <c:catAx>
        <c:axId val="1477487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47750272"/>
        <c:crosses val="autoZero"/>
        <c:auto val="1"/>
        <c:lblAlgn val="ctr"/>
        <c:lblOffset val="100"/>
        <c:noMultiLvlLbl val="1"/>
      </c:catAx>
      <c:valAx>
        <c:axId val="147750272"/>
        <c:scaling>
          <c:orientation val="minMax"/>
          <c:min val="-40"/>
        </c:scaling>
        <c:delete val="0"/>
        <c:axPos val="r"/>
        <c:numFmt formatCode="0" sourceLinked="0"/>
        <c:majorTickMark val="out"/>
        <c:minorTickMark val="none"/>
        <c:tickLblPos val="nextTo"/>
        <c:txPr>
          <a:bodyPr/>
          <a:lstStyle/>
          <a:p>
            <a:pPr>
              <a:defRPr sz="700">
                <a:solidFill>
                  <a:schemeClr val="accent5"/>
                </a:solidFill>
              </a:defRPr>
            </a:pPr>
            <a:endParaRPr lang="es-PE"/>
          </a:p>
        </c:txPr>
        <c:crossAx val="147748736"/>
        <c:crosses val="max"/>
        <c:crossBetween val="between"/>
      </c:valAx>
      <c:spPr>
        <a:noFill/>
        <a:ln w="22874">
          <a:noFill/>
        </a:ln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17408825144722403"/>
          <c:y val="0.91813464181577631"/>
          <c:w val="0.70195304136831838"/>
          <c:h val="8.0726430403377389E-2"/>
        </c:manualLayout>
      </c:layout>
      <c:overlay val="0"/>
      <c:txPr>
        <a:bodyPr/>
        <a:lstStyle/>
        <a:p>
          <a:pPr>
            <a:defRPr sz="800"/>
          </a:pPr>
          <a:endParaRPr lang="es-PE"/>
        </a:p>
      </c:txPr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901" baseline="0"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es-PE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03D5E-472F-421A-8087-FD10F5326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921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E-RECA-DE</dc:creator>
  <cp:keywords/>
  <dc:description/>
  <cp:lastModifiedBy>Manzaneda Miranda Gardy Raul</cp:lastModifiedBy>
  <cp:revision>9</cp:revision>
  <cp:lastPrinted>2023-02-03T18:20:00Z</cp:lastPrinted>
  <dcterms:created xsi:type="dcterms:W3CDTF">2023-09-08T17:52:00Z</dcterms:created>
  <dcterms:modified xsi:type="dcterms:W3CDTF">2023-09-11T14:09:00Z</dcterms:modified>
</cp:coreProperties>
</file>