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6596A" w14:textId="115F7152" w:rsidR="00261A89" w:rsidRPr="00261A89" w:rsidRDefault="00261A89" w:rsidP="00261A89">
      <w:pPr>
        <w:spacing w:after="120"/>
        <w:jc w:val="right"/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</w:pPr>
      <w:r w:rsidRPr="00261A89"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NOTA DE PRENSA N° 06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es-PE"/>
        </w:rPr>
        <w:t>3</w:t>
      </w:r>
    </w:p>
    <w:p w14:paraId="07946CD7" w14:textId="64CF6A1A" w:rsidR="008437BA" w:rsidRPr="00335EFA" w:rsidRDefault="00335EFA" w:rsidP="005A0A2D">
      <w:pPr>
        <w:spacing w:after="120"/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</w:pPr>
      <w:r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En tercera r</w:t>
      </w:r>
      <w:r w:rsidR="00E11977" w:rsidRPr="00335EFA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eunión del Comité Tributario</w:t>
      </w:r>
    </w:p>
    <w:p w14:paraId="64202748" w14:textId="4B6F3BC3" w:rsidR="00875A2D" w:rsidRDefault="008437BA" w:rsidP="0051184D">
      <w:pPr>
        <w:spacing w:after="0"/>
        <w:jc w:val="center"/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</w:pPr>
      <w:r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 xml:space="preserve">SUNAT </w:t>
      </w:r>
      <w:r w:rsidR="00E11977">
        <w:rPr>
          <w:rFonts w:ascii="Arial" w:eastAsia="Times New Roman" w:hAnsi="Arial" w:cs="Arial"/>
          <w:b/>
          <w:bCs/>
          <w:color w:val="222222"/>
          <w:sz w:val="36"/>
          <w:szCs w:val="36"/>
          <w:lang w:eastAsia="es-PE"/>
        </w:rPr>
        <w:t>Y GREMIOS EMPRESARIALES EVALÚAN PROCEDIMIENTOS DE FISCALIZACIÓN TRIBUTARIA A CONTRIBUYENTES</w:t>
      </w:r>
    </w:p>
    <w:p w14:paraId="408FD151" w14:textId="6133DB69" w:rsidR="00875A2D" w:rsidRDefault="00875A2D" w:rsidP="00253AF7">
      <w:pPr>
        <w:spacing w:after="0"/>
        <w:jc w:val="center"/>
        <w:rPr>
          <w:rFonts w:ascii="Arial" w:eastAsia="Times New Roman" w:hAnsi="Arial" w:cs="Arial"/>
          <w:b/>
          <w:bCs/>
          <w:color w:val="222222"/>
          <w:lang w:eastAsia="es-PE"/>
        </w:rPr>
      </w:pPr>
    </w:p>
    <w:p w14:paraId="1D75394B" w14:textId="717FE800" w:rsidR="00FE2BD2" w:rsidRPr="00F37B1F" w:rsidRDefault="00F37B1F" w:rsidP="00FE2BD2">
      <w:pPr>
        <w:pStyle w:val="Prrafodelista"/>
        <w:numPr>
          <w:ilvl w:val="0"/>
          <w:numId w:val="11"/>
        </w:numPr>
        <w:spacing w:after="0"/>
        <w:jc w:val="both"/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</w:pPr>
      <w:r w:rsidRPr="00F37B1F">
        <w:rPr>
          <w:rFonts w:ascii="Arial" w:eastAsia="Times New Roman" w:hAnsi="Arial" w:cs="Arial"/>
          <w:b/>
          <w:bCs/>
          <w:i/>
          <w:iCs/>
          <w:color w:val="222222"/>
          <w:lang w:eastAsia="es-PE"/>
        </w:rPr>
        <w:t>Se presentaron “Declaración de Principios del Procedimiento de Fiscalización Tributaria” y “Guías de Referencia sobre la fehaciencia de los gastos”.</w:t>
      </w:r>
    </w:p>
    <w:p w14:paraId="33AABB1B" w14:textId="77777777" w:rsidR="00FE2BD2" w:rsidRPr="005A0A2D" w:rsidRDefault="00FE2BD2" w:rsidP="00253AF7">
      <w:pPr>
        <w:spacing w:after="0"/>
        <w:jc w:val="center"/>
        <w:rPr>
          <w:rFonts w:ascii="Arial" w:eastAsia="Times New Roman" w:hAnsi="Arial" w:cs="Arial"/>
          <w:b/>
          <w:bCs/>
          <w:color w:val="222222"/>
          <w:lang w:eastAsia="es-PE"/>
        </w:rPr>
      </w:pPr>
    </w:p>
    <w:p w14:paraId="685DFA4C" w14:textId="57536A8B" w:rsidR="00347D26" w:rsidRPr="00335EFA" w:rsidRDefault="008437BA" w:rsidP="00347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r w:rsidRPr="00335EFA">
        <w:rPr>
          <w:rFonts w:ascii="Arial" w:eastAsia="Times New Roman" w:hAnsi="Arial" w:cs="Arial"/>
          <w:color w:val="222222"/>
          <w:lang w:eastAsia="es-PE"/>
        </w:rPr>
        <w:t xml:space="preserve">La </w:t>
      </w:r>
      <w:r w:rsidR="009D0452" w:rsidRPr="00335EFA">
        <w:rPr>
          <w:rFonts w:ascii="Arial" w:eastAsia="Times New Roman" w:hAnsi="Arial" w:cs="Arial"/>
          <w:color w:val="222222"/>
          <w:lang w:eastAsia="es-PE"/>
        </w:rPr>
        <w:t>Superintendencia Nacional de Aduanas y de Administración Tributaria (SUNAT)</w:t>
      </w:r>
      <w:r w:rsidRPr="00335EFA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0231DC" w:rsidRPr="00335EFA">
        <w:rPr>
          <w:rFonts w:ascii="Arial" w:eastAsia="Times New Roman" w:hAnsi="Arial" w:cs="Arial"/>
          <w:color w:val="222222"/>
          <w:lang w:eastAsia="es-PE"/>
        </w:rPr>
        <w:t>realizó</w:t>
      </w:r>
      <w:r w:rsidR="00347D26" w:rsidRPr="00335EFA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E11977" w:rsidRPr="00335EFA">
        <w:rPr>
          <w:rFonts w:ascii="Arial" w:eastAsia="Times New Roman" w:hAnsi="Arial" w:cs="Arial"/>
          <w:color w:val="222222"/>
          <w:lang w:eastAsia="es-PE"/>
        </w:rPr>
        <w:t xml:space="preserve">hoy una nueva </w:t>
      </w:r>
      <w:r w:rsidR="00326F4E" w:rsidRPr="00335EFA">
        <w:rPr>
          <w:rFonts w:ascii="Arial" w:eastAsia="Times New Roman" w:hAnsi="Arial" w:cs="Arial"/>
          <w:color w:val="222222"/>
          <w:lang w:eastAsia="es-PE"/>
        </w:rPr>
        <w:t xml:space="preserve">reunión </w:t>
      </w:r>
      <w:r w:rsidR="004A0FFC" w:rsidRPr="00335EFA">
        <w:rPr>
          <w:rFonts w:ascii="Arial" w:eastAsia="Times New Roman" w:hAnsi="Arial" w:cs="Arial"/>
          <w:color w:val="222222"/>
          <w:lang w:eastAsia="es-PE"/>
        </w:rPr>
        <w:t xml:space="preserve">en el marco </w:t>
      </w:r>
      <w:r w:rsidR="00347D26" w:rsidRPr="00335EFA">
        <w:rPr>
          <w:rFonts w:ascii="Arial" w:eastAsia="Times New Roman" w:hAnsi="Arial" w:cs="Arial"/>
          <w:color w:val="222222"/>
          <w:lang w:eastAsia="es-PE"/>
        </w:rPr>
        <w:t xml:space="preserve">del Comité Tributario </w:t>
      </w:r>
      <w:r w:rsidR="002B4E80" w:rsidRPr="00335EFA">
        <w:rPr>
          <w:rFonts w:ascii="Arial" w:eastAsia="Times New Roman" w:hAnsi="Arial" w:cs="Arial"/>
          <w:color w:val="222222"/>
          <w:lang w:eastAsia="es-PE"/>
        </w:rPr>
        <w:t>con</w:t>
      </w:r>
      <w:r w:rsidR="00347D26" w:rsidRPr="00335EFA">
        <w:rPr>
          <w:rFonts w:ascii="Arial" w:eastAsia="Times New Roman" w:hAnsi="Arial" w:cs="Arial"/>
          <w:color w:val="222222"/>
          <w:lang w:eastAsia="es-PE"/>
        </w:rPr>
        <w:t xml:space="preserve"> Gremios</w:t>
      </w:r>
      <w:r w:rsidR="00E11977" w:rsidRPr="00335EFA">
        <w:rPr>
          <w:rFonts w:ascii="Arial" w:eastAsia="Times New Roman" w:hAnsi="Arial" w:cs="Arial"/>
          <w:color w:val="222222"/>
          <w:lang w:eastAsia="es-PE"/>
        </w:rPr>
        <w:t xml:space="preserve">, encuentros que tienen </w:t>
      </w:r>
      <w:r w:rsidR="004A0FFC" w:rsidRPr="00335EFA">
        <w:rPr>
          <w:rFonts w:ascii="Arial" w:eastAsia="Times New Roman" w:hAnsi="Arial" w:cs="Arial"/>
          <w:color w:val="222222"/>
          <w:lang w:eastAsia="es-PE"/>
        </w:rPr>
        <w:t xml:space="preserve">como objetivo fortalecer el diálogo, permitiendo la recopilación de propuestas del sector privado </w:t>
      </w:r>
      <w:r w:rsidR="00326F4E" w:rsidRPr="00335EFA">
        <w:rPr>
          <w:rFonts w:ascii="Arial" w:eastAsia="Times New Roman" w:hAnsi="Arial" w:cs="Arial"/>
          <w:color w:val="222222"/>
          <w:lang w:eastAsia="es-PE"/>
        </w:rPr>
        <w:t>con la finalidad de</w:t>
      </w:r>
      <w:r w:rsidR="004A0FFC" w:rsidRPr="00335EFA">
        <w:rPr>
          <w:rFonts w:ascii="Arial" w:eastAsia="Times New Roman" w:hAnsi="Arial" w:cs="Arial"/>
          <w:color w:val="222222"/>
          <w:lang w:eastAsia="es-PE"/>
        </w:rPr>
        <w:t xml:space="preserve"> optimizar los procedimientos y servicios </w:t>
      </w:r>
      <w:r w:rsidR="00347D26" w:rsidRPr="00335EFA">
        <w:rPr>
          <w:rFonts w:ascii="Arial" w:eastAsia="Times New Roman" w:hAnsi="Arial" w:cs="Arial"/>
          <w:color w:val="26292E"/>
          <w:lang w:val="es-419" w:eastAsia="es-419"/>
        </w:rPr>
        <w:t>que se brindan a los contribuyentes.</w:t>
      </w:r>
    </w:p>
    <w:p w14:paraId="785828B2" w14:textId="77777777" w:rsidR="007529C8" w:rsidRPr="00335EFA" w:rsidRDefault="007529C8" w:rsidP="00347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691E34DD" w14:textId="311CF38A" w:rsidR="00DF606D" w:rsidRPr="00335EFA" w:rsidRDefault="00347D26" w:rsidP="00347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r w:rsidRPr="00335EFA">
        <w:rPr>
          <w:rFonts w:ascii="Arial" w:eastAsia="Times New Roman" w:hAnsi="Arial" w:cs="Arial"/>
          <w:color w:val="26292E"/>
          <w:lang w:val="es-419" w:eastAsia="es-419"/>
        </w:rPr>
        <w:t xml:space="preserve">En esta tercera reunión se </w:t>
      </w:r>
      <w:r w:rsidR="00326F4E" w:rsidRPr="00335EFA">
        <w:rPr>
          <w:rFonts w:ascii="Arial" w:eastAsia="Times New Roman" w:hAnsi="Arial" w:cs="Arial"/>
          <w:color w:val="26292E"/>
          <w:lang w:val="es-419" w:eastAsia="es-419"/>
        </w:rPr>
        <w:t xml:space="preserve">expusieron </w:t>
      </w:r>
      <w:r w:rsidRPr="00335EFA">
        <w:rPr>
          <w:rFonts w:ascii="Arial" w:eastAsia="Times New Roman" w:hAnsi="Arial" w:cs="Arial"/>
          <w:color w:val="26292E"/>
          <w:lang w:val="es-419" w:eastAsia="es-419"/>
        </w:rPr>
        <w:t xml:space="preserve">los resultados del análisis </w:t>
      </w:r>
      <w:r w:rsidR="00326F4E" w:rsidRPr="00335EFA">
        <w:rPr>
          <w:rFonts w:ascii="Arial" w:eastAsia="Times New Roman" w:hAnsi="Arial" w:cs="Arial"/>
          <w:color w:val="26292E"/>
          <w:lang w:val="es-419" w:eastAsia="es-419"/>
        </w:rPr>
        <w:t>sobre e</w:t>
      </w:r>
      <w:r w:rsidRPr="00335EFA">
        <w:rPr>
          <w:rFonts w:ascii="Arial" w:eastAsia="Times New Roman" w:hAnsi="Arial" w:cs="Arial"/>
          <w:color w:val="26292E"/>
          <w:lang w:val="es-419" w:eastAsia="es-419"/>
        </w:rPr>
        <w:t>l tema elegido en la segunda reunión</w:t>
      </w:r>
      <w:r w:rsidR="001857EB">
        <w:rPr>
          <w:rFonts w:ascii="Arial" w:eastAsia="Times New Roman" w:hAnsi="Arial" w:cs="Arial"/>
          <w:color w:val="26292E"/>
          <w:lang w:val="es-419" w:eastAsia="es-419"/>
        </w:rPr>
        <w:t xml:space="preserve"> y propuesto por los gremios empresariales</w:t>
      </w:r>
      <w:r w:rsidRPr="00335EFA">
        <w:rPr>
          <w:rFonts w:ascii="Arial" w:eastAsia="Times New Roman" w:hAnsi="Arial" w:cs="Arial"/>
          <w:color w:val="26292E"/>
          <w:lang w:val="es-419" w:eastAsia="es-419"/>
        </w:rPr>
        <w:t xml:space="preserve">, referido </w:t>
      </w:r>
      <w:r w:rsidR="001D1EDD" w:rsidRPr="00335EFA">
        <w:rPr>
          <w:rFonts w:ascii="Arial" w:eastAsia="Times New Roman" w:hAnsi="Arial" w:cs="Arial"/>
          <w:color w:val="26292E"/>
          <w:lang w:val="es-419" w:eastAsia="es-419"/>
        </w:rPr>
        <w:t xml:space="preserve">al sustento de la fehaciencia de las operaciones en el </w:t>
      </w:r>
      <w:r w:rsidR="00335EFA">
        <w:rPr>
          <w:rFonts w:ascii="Arial" w:eastAsia="Times New Roman" w:hAnsi="Arial" w:cs="Arial"/>
          <w:color w:val="26292E"/>
          <w:lang w:val="es-419" w:eastAsia="es-419"/>
        </w:rPr>
        <w:t>I</w:t>
      </w:r>
      <w:r w:rsidR="001D1EDD" w:rsidRPr="00335EFA">
        <w:rPr>
          <w:rFonts w:ascii="Arial" w:eastAsia="Times New Roman" w:hAnsi="Arial" w:cs="Arial"/>
          <w:color w:val="26292E"/>
          <w:lang w:val="es-419" w:eastAsia="es-419"/>
        </w:rPr>
        <w:t xml:space="preserve">mpuesto a la </w:t>
      </w:r>
      <w:r w:rsidR="00335EFA">
        <w:rPr>
          <w:rFonts w:ascii="Arial" w:eastAsia="Times New Roman" w:hAnsi="Arial" w:cs="Arial"/>
          <w:color w:val="26292E"/>
          <w:lang w:val="es-419" w:eastAsia="es-419"/>
        </w:rPr>
        <w:t>R</w:t>
      </w:r>
      <w:r w:rsidR="001D1EDD" w:rsidRPr="00335EFA">
        <w:rPr>
          <w:rFonts w:ascii="Arial" w:eastAsia="Times New Roman" w:hAnsi="Arial" w:cs="Arial"/>
          <w:color w:val="26292E"/>
          <w:lang w:val="es-419" w:eastAsia="es-419"/>
        </w:rPr>
        <w:t>enta</w:t>
      </w:r>
      <w:r w:rsidRPr="00335EFA">
        <w:rPr>
          <w:rFonts w:ascii="Arial" w:eastAsia="Times New Roman" w:hAnsi="Arial" w:cs="Arial"/>
          <w:color w:val="26292E"/>
          <w:lang w:val="es-419" w:eastAsia="es-419"/>
        </w:rPr>
        <w:t xml:space="preserve">. </w:t>
      </w:r>
    </w:p>
    <w:p w14:paraId="46DEFA65" w14:textId="77777777" w:rsidR="00DF606D" w:rsidRPr="00335EFA" w:rsidRDefault="00DF606D" w:rsidP="00347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29668192" w14:textId="3145DEBD" w:rsidR="00E11977" w:rsidRPr="00335EFA" w:rsidRDefault="001857EB" w:rsidP="00581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r>
        <w:rPr>
          <w:rFonts w:ascii="Arial" w:eastAsia="Times New Roman" w:hAnsi="Arial" w:cs="Arial"/>
          <w:color w:val="26292E"/>
          <w:lang w:val="es-419" w:eastAsia="es-419"/>
        </w:rPr>
        <w:t>L</w:t>
      </w:r>
      <w:r w:rsidR="00E8297A" w:rsidRPr="00335EFA">
        <w:rPr>
          <w:rFonts w:ascii="Arial" w:eastAsia="Times New Roman" w:hAnsi="Arial" w:cs="Arial"/>
          <w:color w:val="26292E"/>
          <w:lang w:val="es-419" w:eastAsia="es-419"/>
        </w:rPr>
        <w:t>uego de</w:t>
      </w:r>
      <w:r w:rsidR="00D83BC3" w:rsidRPr="00335EFA">
        <w:rPr>
          <w:rFonts w:ascii="Arial" w:eastAsia="Times New Roman" w:hAnsi="Arial" w:cs="Arial"/>
          <w:color w:val="26292E"/>
          <w:lang w:val="es-419" w:eastAsia="es-419"/>
        </w:rPr>
        <w:t xml:space="preserve"> una</w:t>
      </w:r>
      <w:r w:rsidR="00E8297A" w:rsidRPr="00335EFA"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  <w:r w:rsidR="00D83BC3" w:rsidRPr="00335EFA">
        <w:rPr>
          <w:rFonts w:ascii="Arial" w:eastAsia="Times New Roman" w:hAnsi="Arial" w:cs="Arial"/>
          <w:color w:val="26292E"/>
          <w:lang w:val="es-419" w:eastAsia="es-419"/>
        </w:rPr>
        <w:t xml:space="preserve">detallada </w:t>
      </w:r>
      <w:r w:rsidR="00E8297A" w:rsidRPr="00335EFA">
        <w:rPr>
          <w:rFonts w:ascii="Arial" w:eastAsia="Times New Roman" w:hAnsi="Arial" w:cs="Arial"/>
          <w:color w:val="26292E"/>
          <w:lang w:val="es-419" w:eastAsia="es-419"/>
        </w:rPr>
        <w:t xml:space="preserve">evaluación </w:t>
      </w:r>
      <w:r>
        <w:rPr>
          <w:rFonts w:ascii="Arial" w:eastAsia="Times New Roman" w:hAnsi="Arial" w:cs="Arial"/>
          <w:color w:val="26292E"/>
          <w:lang w:val="es-419" w:eastAsia="es-419"/>
        </w:rPr>
        <w:t>del tema propuesto</w:t>
      </w:r>
      <w:r w:rsidR="00E8297A" w:rsidRPr="00335EFA">
        <w:rPr>
          <w:rFonts w:ascii="Arial" w:eastAsia="Times New Roman" w:hAnsi="Arial" w:cs="Arial"/>
          <w:color w:val="26292E"/>
          <w:lang w:val="es-419" w:eastAsia="es-419"/>
        </w:rPr>
        <w:t xml:space="preserve">, </w:t>
      </w:r>
      <w:r>
        <w:rPr>
          <w:rFonts w:ascii="Arial" w:eastAsia="Times New Roman" w:hAnsi="Arial" w:cs="Arial"/>
          <w:color w:val="26292E"/>
          <w:lang w:val="es-419" w:eastAsia="es-419"/>
        </w:rPr>
        <w:t xml:space="preserve">la SUNAT </w:t>
      </w:r>
      <w:r w:rsidR="000231DC" w:rsidRPr="00335EFA">
        <w:rPr>
          <w:rFonts w:ascii="Arial" w:eastAsia="Times New Roman" w:hAnsi="Arial" w:cs="Arial"/>
          <w:color w:val="26292E"/>
          <w:lang w:val="es-419" w:eastAsia="es-419"/>
        </w:rPr>
        <w:t>presentó</w:t>
      </w:r>
      <w:r w:rsidR="00D83BC3" w:rsidRPr="00335EFA"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  <w:r>
        <w:rPr>
          <w:rFonts w:ascii="Arial" w:eastAsia="Times New Roman" w:hAnsi="Arial" w:cs="Arial"/>
          <w:color w:val="26292E"/>
          <w:lang w:val="es-419" w:eastAsia="es-419"/>
        </w:rPr>
        <w:t>un documento denominado</w:t>
      </w:r>
      <w:r w:rsidR="00E8297A" w:rsidRPr="00335EFA"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  <w:r w:rsidR="00273201" w:rsidRPr="00335EFA">
        <w:rPr>
          <w:rFonts w:ascii="Arial" w:eastAsia="Times New Roman" w:hAnsi="Arial" w:cs="Arial"/>
          <w:color w:val="26292E"/>
          <w:lang w:val="es-419" w:eastAsia="es-419"/>
        </w:rPr>
        <w:t>“</w:t>
      </w:r>
      <w:r w:rsidR="007529C8" w:rsidRPr="00335EFA">
        <w:rPr>
          <w:rFonts w:ascii="Arial" w:eastAsia="Times New Roman" w:hAnsi="Arial" w:cs="Arial"/>
          <w:color w:val="26292E"/>
          <w:lang w:val="es-419" w:eastAsia="es-419"/>
        </w:rPr>
        <w:t>Declaración de Principios del Procedimiento de Fiscalización Tributaria</w:t>
      </w:r>
      <w:r w:rsidR="00273201" w:rsidRPr="00335EFA">
        <w:rPr>
          <w:rFonts w:ascii="Arial" w:eastAsia="Times New Roman" w:hAnsi="Arial" w:cs="Arial"/>
          <w:color w:val="26292E"/>
          <w:lang w:val="es-419" w:eastAsia="es-419"/>
        </w:rPr>
        <w:t>”</w:t>
      </w:r>
      <w:r>
        <w:rPr>
          <w:rFonts w:ascii="Arial" w:eastAsia="Times New Roman" w:hAnsi="Arial" w:cs="Arial"/>
          <w:color w:val="26292E"/>
          <w:lang w:val="es-419" w:eastAsia="es-419"/>
        </w:rPr>
        <w:t>,</w:t>
      </w:r>
      <w:r w:rsidR="00581BEF" w:rsidRPr="00335EFA">
        <w:rPr>
          <w:rFonts w:ascii="Arial" w:eastAsia="Times New Roman" w:hAnsi="Arial" w:cs="Arial"/>
          <w:color w:val="26292E"/>
          <w:lang w:val="es-419" w:eastAsia="es-419"/>
        </w:rPr>
        <w:t xml:space="preserve"> que </w:t>
      </w:r>
      <w:r w:rsidR="00335EFA">
        <w:rPr>
          <w:rFonts w:ascii="Arial" w:eastAsia="Times New Roman" w:hAnsi="Arial" w:cs="Arial"/>
          <w:color w:val="26292E"/>
          <w:lang w:val="es-419" w:eastAsia="es-419"/>
        </w:rPr>
        <w:t>establece una manifestación</w:t>
      </w:r>
      <w:r w:rsidR="00581BEF" w:rsidRPr="00335EFA">
        <w:rPr>
          <w:rFonts w:ascii="Arial" w:eastAsia="Times New Roman" w:hAnsi="Arial" w:cs="Arial"/>
          <w:color w:val="26292E"/>
          <w:lang w:val="es-419" w:eastAsia="es-419"/>
        </w:rPr>
        <w:t xml:space="preserve"> de principios, garantías y derechos de los contribuyentes y que los agentes fiscalizadores tienen presente </w:t>
      </w:r>
      <w:r w:rsidR="00EE5E39" w:rsidRPr="00335EFA">
        <w:rPr>
          <w:rFonts w:ascii="Arial" w:eastAsia="Times New Roman" w:hAnsi="Arial" w:cs="Arial"/>
          <w:color w:val="26292E"/>
          <w:lang w:val="es-419" w:eastAsia="es-419"/>
        </w:rPr>
        <w:t>durante</w:t>
      </w:r>
      <w:r w:rsidR="00581BEF" w:rsidRPr="00335EFA">
        <w:rPr>
          <w:rFonts w:ascii="Arial" w:eastAsia="Times New Roman" w:hAnsi="Arial" w:cs="Arial"/>
          <w:color w:val="26292E"/>
          <w:lang w:val="es-419" w:eastAsia="es-419"/>
        </w:rPr>
        <w:t xml:space="preserve"> un procedimiento de fiscalización</w:t>
      </w:r>
      <w:r w:rsidR="00E11977" w:rsidRPr="00335EFA">
        <w:rPr>
          <w:rFonts w:ascii="Arial" w:eastAsia="Times New Roman" w:hAnsi="Arial" w:cs="Arial"/>
          <w:color w:val="26292E"/>
          <w:lang w:val="es-419" w:eastAsia="es-419"/>
        </w:rPr>
        <w:t>.</w:t>
      </w:r>
    </w:p>
    <w:p w14:paraId="0B0990F5" w14:textId="77777777" w:rsidR="00E11977" w:rsidRPr="00335EFA" w:rsidRDefault="00E11977" w:rsidP="00581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7338D50C" w14:textId="607ECAA1" w:rsidR="003934E5" w:rsidRDefault="001857EB" w:rsidP="00581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r>
        <w:rPr>
          <w:rFonts w:ascii="Arial" w:eastAsia="Times New Roman" w:hAnsi="Arial" w:cs="Arial"/>
          <w:color w:val="26292E"/>
          <w:lang w:val="es-419" w:eastAsia="es-419"/>
        </w:rPr>
        <w:t xml:space="preserve">También </w:t>
      </w:r>
      <w:r w:rsidR="00335EFA">
        <w:rPr>
          <w:rFonts w:ascii="Arial" w:eastAsia="Times New Roman" w:hAnsi="Arial" w:cs="Arial"/>
          <w:color w:val="26292E"/>
          <w:lang w:val="es-419" w:eastAsia="es-419"/>
        </w:rPr>
        <w:t xml:space="preserve">se presentaron </w:t>
      </w:r>
      <w:r w:rsidR="007529C8" w:rsidRPr="00335EFA">
        <w:rPr>
          <w:rFonts w:ascii="Arial" w:eastAsia="Times New Roman" w:hAnsi="Arial" w:cs="Arial"/>
          <w:color w:val="26292E"/>
          <w:lang w:val="es-419" w:eastAsia="es-419"/>
        </w:rPr>
        <w:t xml:space="preserve">las </w:t>
      </w:r>
      <w:r w:rsidR="00273201" w:rsidRPr="00335EFA">
        <w:rPr>
          <w:rFonts w:ascii="Arial" w:eastAsia="Times New Roman" w:hAnsi="Arial" w:cs="Arial"/>
          <w:color w:val="26292E"/>
          <w:lang w:val="es-419" w:eastAsia="es-419"/>
        </w:rPr>
        <w:t>“</w:t>
      </w:r>
      <w:r w:rsidR="007529C8" w:rsidRPr="00335EFA">
        <w:rPr>
          <w:rFonts w:ascii="Arial" w:eastAsia="Times New Roman" w:hAnsi="Arial" w:cs="Arial"/>
          <w:color w:val="26292E"/>
          <w:lang w:val="es-419" w:eastAsia="es-419"/>
        </w:rPr>
        <w:t>Guías de Referencia sobre la fehaciencia de los gastos</w:t>
      </w:r>
      <w:r w:rsidR="00EE5E39" w:rsidRPr="00335EFA">
        <w:rPr>
          <w:rFonts w:ascii="Arial" w:eastAsia="Times New Roman" w:hAnsi="Arial" w:cs="Arial"/>
          <w:color w:val="26292E"/>
          <w:lang w:val="es-419" w:eastAsia="es-419"/>
        </w:rPr>
        <w:t>”</w:t>
      </w:r>
      <w:r w:rsidR="00E8297A" w:rsidRPr="00335EFA">
        <w:rPr>
          <w:rFonts w:ascii="Arial" w:eastAsia="Times New Roman" w:hAnsi="Arial" w:cs="Arial"/>
          <w:color w:val="26292E"/>
          <w:lang w:val="es-419" w:eastAsia="es-419"/>
        </w:rPr>
        <w:t xml:space="preserve">, </w:t>
      </w:r>
      <w:r>
        <w:rPr>
          <w:rFonts w:ascii="Arial" w:eastAsia="Times New Roman" w:hAnsi="Arial" w:cs="Arial"/>
          <w:color w:val="26292E"/>
          <w:lang w:val="es-419" w:eastAsia="es-419"/>
        </w:rPr>
        <w:t xml:space="preserve">marco de referencia </w:t>
      </w:r>
      <w:r w:rsidR="007529C8" w:rsidRPr="00335EFA">
        <w:rPr>
          <w:rFonts w:ascii="Arial" w:eastAsia="Times New Roman" w:hAnsi="Arial" w:cs="Arial"/>
          <w:color w:val="26292E"/>
          <w:lang w:val="es-419" w:eastAsia="es-419"/>
        </w:rPr>
        <w:t>que</w:t>
      </w:r>
      <w:r w:rsidR="00261A37" w:rsidRPr="00335EFA"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  <w:r w:rsidR="00581BEF" w:rsidRPr="00335EFA">
        <w:rPr>
          <w:rFonts w:ascii="Arial" w:eastAsia="Times New Roman" w:hAnsi="Arial" w:cs="Arial"/>
          <w:color w:val="26292E"/>
          <w:lang w:val="es-419" w:eastAsia="es-419"/>
        </w:rPr>
        <w:t>describen situaciones en la</w:t>
      </w:r>
      <w:r w:rsidR="00335EFA">
        <w:rPr>
          <w:rFonts w:ascii="Arial" w:eastAsia="Times New Roman" w:hAnsi="Arial" w:cs="Arial"/>
          <w:color w:val="26292E"/>
          <w:lang w:val="es-419" w:eastAsia="es-419"/>
        </w:rPr>
        <w:t>s</w:t>
      </w:r>
      <w:r w:rsidR="00581BEF" w:rsidRPr="00335EFA">
        <w:rPr>
          <w:rFonts w:ascii="Arial" w:eastAsia="Times New Roman" w:hAnsi="Arial" w:cs="Arial"/>
          <w:color w:val="26292E"/>
          <w:lang w:val="es-419" w:eastAsia="es-419"/>
        </w:rPr>
        <w:t xml:space="preserve"> que se valoran los medios probatorios relacionados con la fehaciencia de </w:t>
      </w:r>
      <w:r w:rsidR="00180663" w:rsidRPr="00335EFA">
        <w:rPr>
          <w:rFonts w:ascii="Arial" w:eastAsia="Times New Roman" w:hAnsi="Arial" w:cs="Arial"/>
          <w:color w:val="26292E"/>
          <w:lang w:val="es-419" w:eastAsia="es-419"/>
        </w:rPr>
        <w:t xml:space="preserve">los gastos en </w:t>
      </w:r>
      <w:r w:rsidR="00581BEF" w:rsidRPr="00335EFA">
        <w:rPr>
          <w:rFonts w:ascii="Arial" w:eastAsia="Times New Roman" w:hAnsi="Arial" w:cs="Arial"/>
          <w:color w:val="26292E"/>
          <w:lang w:val="es-419" w:eastAsia="es-419"/>
        </w:rPr>
        <w:t xml:space="preserve">las operaciones </w:t>
      </w:r>
      <w:r w:rsidR="00180663" w:rsidRPr="00335EFA">
        <w:rPr>
          <w:rFonts w:ascii="Arial" w:eastAsia="Times New Roman" w:hAnsi="Arial" w:cs="Arial"/>
          <w:color w:val="26292E"/>
          <w:lang w:val="es-419" w:eastAsia="es-419"/>
        </w:rPr>
        <w:t>realizadas por grandes empresas</w:t>
      </w:r>
      <w:r w:rsidR="00581BEF" w:rsidRPr="00335EFA">
        <w:rPr>
          <w:rFonts w:ascii="Arial" w:eastAsia="Times New Roman" w:hAnsi="Arial" w:cs="Arial"/>
          <w:color w:val="26292E"/>
          <w:lang w:val="es-419" w:eastAsia="es-419"/>
        </w:rPr>
        <w:t>.</w:t>
      </w:r>
    </w:p>
    <w:p w14:paraId="7B3077BF" w14:textId="0D6EE4DC" w:rsidR="001857EB" w:rsidRDefault="001857EB" w:rsidP="00581BE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74E6F283" w14:textId="77777777" w:rsidR="00405F73" w:rsidRDefault="001857EB" w:rsidP="00347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r>
        <w:rPr>
          <w:rFonts w:ascii="Arial" w:eastAsia="Times New Roman" w:hAnsi="Arial" w:cs="Arial"/>
          <w:color w:val="26292E"/>
          <w:lang w:val="es-419" w:eastAsia="es-419"/>
        </w:rPr>
        <w:t xml:space="preserve">Ambos documentos representan el esfuerzo de la </w:t>
      </w:r>
      <w:r w:rsidR="00FE2BD2">
        <w:rPr>
          <w:rFonts w:ascii="Arial" w:eastAsia="Times New Roman" w:hAnsi="Arial" w:cs="Arial"/>
          <w:color w:val="26292E"/>
          <w:lang w:val="es-419" w:eastAsia="es-419"/>
        </w:rPr>
        <w:t>SUNAT</w:t>
      </w:r>
      <w:r>
        <w:rPr>
          <w:rFonts w:ascii="Arial" w:eastAsia="Times New Roman" w:hAnsi="Arial" w:cs="Arial"/>
          <w:color w:val="26292E"/>
          <w:lang w:val="es-419" w:eastAsia="es-419"/>
        </w:rPr>
        <w:t xml:space="preserve"> por transparentar las acciones </w:t>
      </w:r>
      <w:r w:rsidR="00FE2BD2">
        <w:rPr>
          <w:rFonts w:ascii="Arial" w:eastAsia="Times New Roman" w:hAnsi="Arial" w:cs="Arial"/>
          <w:color w:val="26292E"/>
          <w:lang w:val="es-419" w:eastAsia="es-419"/>
        </w:rPr>
        <w:t xml:space="preserve">de control </w:t>
      </w:r>
      <w:r>
        <w:rPr>
          <w:rFonts w:ascii="Arial" w:eastAsia="Times New Roman" w:hAnsi="Arial" w:cs="Arial"/>
          <w:color w:val="26292E"/>
          <w:lang w:val="es-419" w:eastAsia="es-419"/>
        </w:rPr>
        <w:t>que realiza</w:t>
      </w:r>
      <w:r w:rsidR="00FE2BD2">
        <w:rPr>
          <w:rFonts w:ascii="Arial" w:eastAsia="Times New Roman" w:hAnsi="Arial" w:cs="Arial"/>
          <w:color w:val="26292E"/>
          <w:lang w:val="es-419" w:eastAsia="es-419"/>
        </w:rPr>
        <w:t xml:space="preserve">, siendo una de las primeras administraciones de la región en presentar este tipo de herramientas a las que tendrán acceso los contribuyentes desde su portal institucional </w:t>
      </w:r>
      <w:hyperlink r:id="rId8" w:history="1">
        <w:r w:rsidR="00FE2BD2" w:rsidRPr="00F70586">
          <w:rPr>
            <w:rStyle w:val="Hipervnculo"/>
            <w:rFonts w:ascii="Arial" w:eastAsia="Times New Roman" w:hAnsi="Arial" w:cs="Arial"/>
            <w:lang w:val="es-419" w:eastAsia="es-419"/>
          </w:rPr>
          <w:t>www.sunat.gob.pe</w:t>
        </w:r>
      </w:hyperlink>
      <w:r w:rsidR="00FE2BD2">
        <w:rPr>
          <w:rFonts w:ascii="Arial" w:eastAsia="Times New Roman" w:hAnsi="Arial" w:cs="Arial"/>
          <w:color w:val="26292E"/>
          <w:lang w:val="es-419" w:eastAsia="es-419"/>
        </w:rPr>
        <w:t>, ingresando a los siguientes enlaces:</w:t>
      </w:r>
    </w:p>
    <w:p w14:paraId="238857E9" w14:textId="77777777" w:rsidR="00405F73" w:rsidRDefault="00405F73" w:rsidP="00347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66521DD3" w14:textId="17661003" w:rsidR="003934E5" w:rsidRPr="00405F73" w:rsidRDefault="00261A89" w:rsidP="00405F73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hyperlink r:id="rId9" w:history="1">
        <w:r w:rsidR="00405F73" w:rsidRPr="00405F73">
          <w:rPr>
            <w:rStyle w:val="Hipervnculo"/>
            <w:rFonts w:ascii="Arial" w:eastAsia="Times New Roman" w:hAnsi="Arial" w:cs="Arial"/>
            <w:lang w:val="es-419" w:eastAsia="es-419"/>
          </w:rPr>
          <w:t>https://www.sunat.gob.pe/institucional/publicaciones/declaraPrincipios/declaracionPrincipios.pdf</w:t>
        </w:r>
      </w:hyperlink>
    </w:p>
    <w:p w14:paraId="09858D79" w14:textId="77777777" w:rsidR="00405F73" w:rsidRDefault="00405F73" w:rsidP="00347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62B87E09" w14:textId="121DD165" w:rsidR="00FE2BD2" w:rsidRPr="00405F73" w:rsidRDefault="00261A89" w:rsidP="00405F73">
      <w:pPr>
        <w:pStyle w:val="Prrafodelista"/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hyperlink r:id="rId10" w:history="1">
        <w:r w:rsidR="00405F73" w:rsidRPr="00405F73">
          <w:rPr>
            <w:rStyle w:val="Hipervnculo"/>
            <w:rFonts w:ascii="Arial" w:eastAsia="Times New Roman" w:hAnsi="Arial" w:cs="Arial"/>
            <w:lang w:val="es-419" w:eastAsia="es-419"/>
          </w:rPr>
          <w:t>https://orientacion.sunat.gob.pe/sites/default/files/inline-files/Guias_Gastos_v5.pdf</w:t>
        </w:r>
      </w:hyperlink>
    </w:p>
    <w:p w14:paraId="4F8B50BF" w14:textId="77777777" w:rsidR="00FE2BD2" w:rsidRDefault="00FE2BD2" w:rsidP="00347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0C02E79A" w14:textId="59CE7A3A" w:rsidR="00FE2BD2" w:rsidRPr="00FE2BD2" w:rsidRDefault="00FE2BD2" w:rsidP="00163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6292E"/>
          <w:lang w:val="es-419" w:eastAsia="es-419"/>
        </w:rPr>
      </w:pPr>
      <w:r w:rsidRPr="00FE2BD2">
        <w:rPr>
          <w:rFonts w:ascii="Arial" w:eastAsia="Times New Roman" w:hAnsi="Arial" w:cs="Arial"/>
          <w:b/>
          <w:bCs/>
          <w:color w:val="26292E"/>
          <w:lang w:val="es-419" w:eastAsia="es-419"/>
        </w:rPr>
        <w:t>Diálogo permanente con los gremios</w:t>
      </w:r>
    </w:p>
    <w:p w14:paraId="640E14ED" w14:textId="77777777" w:rsidR="00FE2BD2" w:rsidRPr="00335EFA" w:rsidRDefault="00FE2BD2" w:rsidP="00163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10BD3EBA" w14:textId="77777777" w:rsidR="0016314F" w:rsidRPr="00335EFA" w:rsidRDefault="0016314F" w:rsidP="00163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419" w:eastAsia="es-419"/>
        </w:rPr>
      </w:pPr>
      <w:r w:rsidRPr="00335EFA">
        <w:rPr>
          <w:rFonts w:ascii="Arial" w:eastAsia="Times New Roman" w:hAnsi="Arial" w:cs="Arial"/>
          <w:lang w:val="es-419" w:eastAsia="es-419"/>
        </w:rPr>
        <w:t>Entre los gremios que participaron en la reunión destacan representantes de la Asociación de Exportadores (ADEX), Sociedad Nacional de Pesquería (SNP), Cámara de Comercio Americana del Perú (AMCHAM) y la Confederación Nacional de Instituciones Empresariales Privadas (CONFIEP).</w:t>
      </w:r>
    </w:p>
    <w:p w14:paraId="471C15F9" w14:textId="77777777" w:rsidR="0016314F" w:rsidRPr="00335EFA" w:rsidRDefault="0016314F" w:rsidP="00163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419" w:eastAsia="es-419"/>
        </w:rPr>
      </w:pPr>
    </w:p>
    <w:p w14:paraId="1B83D856" w14:textId="77777777" w:rsidR="0016314F" w:rsidRPr="00335EFA" w:rsidRDefault="0016314F" w:rsidP="00163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val="es-419" w:eastAsia="es-419"/>
        </w:rPr>
      </w:pPr>
      <w:r w:rsidRPr="00335EFA">
        <w:rPr>
          <w:rFonts w:ascii="Arial" w:eastAsia="Times New Roman" w:hAnsi="Arial" w:cs="Arial"/>
          <w:lang w:val="es-419" w:eastAsia="es-419"/>
        </w:rPr>
        <w:t xml:space="preserve">También asistieron integrantes de la Sociedad Nacional de Minería, Petróleo y Energía (SNMPE), Sociedad de Comercio Exterior del Perú (COMEX PERÚ), Asociación de Bancos del Perú (ASBANC), Cámara de Comercio e Industria Peruano Japonesa </w:t>
      </w:r>
      <w:r w:rsidRPr="00335EFA">
        <w:rPr>
          <w:rFonts w:ascii="Arial" w:eastAsia="Times New Roman" w:hAnsi="Arial" w:cs="Arial"/>
          <w:lang w:val="es-419" w:eastAsia="es-419"/>
        </w:rPr>
        <w:lastRenderedPageBreak/>
        <w:t>(CCIPJ), Cámara de Comercio de Lima (CCL), la Sociedad Nacional de Industrias (SNI), y la Asociación de Gremios Productores Agrarios del Perú (AGAP).</w:t>
      </w:r>
    </w:p>
    <w:p w14:paraId="2C0F1DC8" w14:textId="77777777" w:rsidR="0016314F" w:rsidRPr="00335EFA" w:rsidRDefault="0016314F" w:rsidP="0016314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</w:p>
    <w:p w14:paraId="5AF64085" w14:textId="36ECBF50" w:rsidR="00347D26" w:rsidRPr="00335EFA" w:rsidRDefault="00335EFA" w:rsidP="00347D2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6292E"/>
          <w:lang w:val="es-419" w:eastAsia="es-419"/>
        </w:rPr>
      </w:pPr>
      <w:r>
        <w:rPr>
          <w:rFonts w:ascii="Arial" w:eastAsia="Times New Roman" w:hAnsi="Arial" w:cs="Arial"/>
          <w:color w:val="26292E"/>
          <w:lang w:val="es-419" w:eastAsia="es-419"/>
        </w:rPr>
        <w:t>C</w:t>
      </w:r>
      <w:r w:rsidR="00084EBC" w:rsidRPr="00335EFA">
        <w:rPr>
          <w:rFonts w:ascii="Arial" w:eastAsia="Times New Roman" w:hAnsi="Arial" w:cs="Arial"/>
          <w:color w:val="26292E"/>
          <w:lang w:val="es-419" w:eastAsia="es-419"/>
        </w:rPr>
        <w:t xml:space="preserve">on </w:t>
      </w:r>
      <w:r w:rsidR="002B4E80" w:rsidRPr="00335EFA">
        <w:rPr>
          <w:rFonts w:ascii="Arial" w:eastAsia="Times New Roman" w:hAnsi="Arial" w:cs="Arial"/>
          <w:color w:val="26292E"/>
          <w:lang w:val="es-419" w:eastAsia="es-419"/>
        </w:rPr>
        <w:t>el desarrollo del Tercer</w:t>
      </w:r>
      <w:r w:rsidR="00347D26" w:rsidRPr="00335EFA">
        <w:rPr>
          <w:rFonts w:ascii="Arial" w:eastAsia="Times New Roman" w:hAnsi="Arial" w:cs="Arial"/>
          <w:color w:val="26292E"/>
          <w:lang w:val="es-419" w:eastAsia="es-419"/>
        </w:rPr>
        <w:t xml:space="preserve"> Comité Tributario con Gremios, la SUNAT reafirma su compromiso de brindar más y mejores servicios, promov</w:t>
      </w:r>
      <w:r w:rsidR="00084EBC" w:rsidRPr="00335EFA">
        <w:rPr>
          <w:rFonts w:ascii="Arial" w:eastAsia="Times New Roman" w:hAnsi="Arial" w:cs="Arial"/>
          <w:color w:val="26292E"/>
          <w:lang w:val="es-419" w:eastAsia="es-419"/>
        </w:rPr>
        <w:t>iendo</w:t>
      </w:r>
      <w:r w:rsidR="00347D26" w:rsidRPr="00335EFA">
        <w:rPr>
          <w:rFonts w:ascii="Arial" w:eastAsia="Times New Roman" w:hAnsi="Arial" w:cs="Arial"/>
          <w:color w:val="26292E"/>
          <w:lang w:val="es-419" w:eastAsia="es-419"/>
        </w:rPr>
        <w:t xml:space="preserve"> </w:t>
      </w:r>
      <w:r w:rsidR="00084EBC" w:rsidRPr="00335EFA">
        <w:rPr>
          <w:rFonts w:ascii="Arial" w:eastAsia="Times New Roman" w:hAnsi="Arial" w:cs="Arial"/>
          <w:color w:val="26292E"/>
          <w:lang w:val="es-419" w:eastAsia="es-419"/>
        </w:rPr>
        <w:t>y reduciendo los co</w:t>
      </w:r>
      <w:r w:rsidR="00152A4F" w:rsidRPr="00335EFA">
        <w:rPr>
          <w:rFonts w:ascii="Arial" w:eastAsia="Times New Roman" w:hAnsi="Arial" w:cs="Arial"/>
          <w:color w:val="26292E"/>
          <w:lang w:val="es-419" w:eastAsia="es-419"/>
        </w:rPr>
        <w:t>s</w:t>
      </w:r>
      <w:r w:rsidR="00084EBC" w:rsidRPr="00335EFA">
        <w:rPr>
          <w:rFonts w:ascii="Arial" w:eastAsia="Times New Roman" w:hAnsi="Arial" w:cs="Arial"/>
          <w:color w:val="26292E"/>
          <w:lang w:val="es-419" w:eastAsia="es-419"/>
        </w:rPr>
        <w:t>tos de</w:t>
      </w:r>
      <w:r w:rsidR="00347D26" w:rsidRPr="00335EFA">
        <w:rPr>
          <w:rFonts w:ascii="Arial" w:eastAsia="Times New Roman" w:hAnsi="Arial" w:cs="Arial"/>
          <w:color w:val="26292E"/>
          <w:lang w:val="es-419" w:eastAsia="es-419"/>
        </w:rPr>
        <w:t xml:space="preserve"> cumplimiento de las obligaciones tributarias</w:t>
      </w:r>
      <w:r w:rsidR="001857EB">
        <w:rPr>
          <w:rFonts w:ascii="Arial" w:eastAsia="Times New Roman" w:hAnsi="Arial" w:cs="Arial"/>
          <w:color w:val="26292E"/>
          <w:lang w:val="es-419" w:eastAsia="es-419"/>
        </w:rPr>
        <w:t>, en coordinación permanente con el sector privado</w:t>
      </w:r>
      <w:r w:rsidR="00607DE8" w:rsidRPr="00335EFA">
        <w:rPr>
          <w:rFonts w:ascii="Arial" w:eastAsia="Times New Roman" w:hAnsi="Arial" w:cs="Arial"/>
          <w:color w:val="26292E"/>
          <w:lang w:val="es-419" w:eastAsia="es-419"/>
        </w:rPr>
        <w:t>.</w:t>
      </w:r>
    </w:p>
    <w:p w14:paraId="3416175E" w14:textId="43F5F787" w:rsidR="00D754E1" w:rsidRDefault="00D754E1" w:rsidP="00347D26">
      <w:pPr>
        <w:spacing w:after="0"/>
        <w:jc w:val="both"/>
        <w:rPr>
          <w:rFonts w:ascii="Arial" w:hAnsi="Arial" w:cs="Arial"/>
          <w:color w:val="222222"/>
        </w:rPr>
      </w:pPr>
    </w:p>
    <w:p w14:paraId="4E25E0AA" w14:textId="77777777" w:rsidR="001857EB" w:rsidRPr="00335EFA" w:rsidRDefault="001857EB" w:rsidP="00347D26">
      <w:pPr>
        <w:spacing w:after="0"/>
        <w:jc w:val="both"/>
        <w:rPr>
          <w:rFonts w:ascii="Arial" w:hAnsi="Arial" w:cs="Arial"/>
          <w:color w:val="222222"/>
        </w:rPr>
      </w:pPr>
    </w:p>
    <w:p w14:paraId="4E8B3DF3" w14:textId="77777777" w:rsidR="00CD4986" w:rsidRPr="00335EFA" w:rsidRDefault="00CD4986" w:rsidP="00CD4986">
      <w:pPr>
        <w:spacing w:after="0"/>
        <w:jc w:val="both"/>
        <w:rPr>
          <w:rFonts w:ascii="Arial" w:eastAsia="Times New Roman" w:hAnsi="Arial" w:cs="Arial"/>
          <w:b/>
          <w:bCs/>
          <w:color w:val="222222"/>
          <w:lang w:eastAsia="es-PE"/>
        </w:rPr>
      </w:pPr>
      <w:r w:rsidRPr="00335EFA">
        <w:rPr>
          <w:rFonts w:ascii="Arial" w:eastAsia="Times New Roman" w:hAnsi="Arial" w:cs="Arial"/>
          <w:b/>
          <w:bCs/>
          <w:color w:val="222222"/>
          <w:lang w:eastAsia="es-PE"/>
        </w:rPr>
        <w:t>Gerencia de Comunicaciones e Imagen Institucional</w:t>
      </w:r>
    </w:p>
    <w:p w14:paraId="4ED47416" w14:textId="77777777" w:rsidR="008D679D" w:rsidRPr="00335EFA" w:rsidRDefault="00CD4986" w:rsidP="00CD4986">
      <w:pPr>
        <w:spacing w:after="0"/>
        <w:jc w:val="both"/>
        <w:rPr>
          <w:rFonts w:ascii="Arial" w:eastAsia="Times New Roman" w:hAnsi="Arial" w:cs="Arial"/>
          <w:color w:val="222222"/>
          <w:lang w:eastAsia="es-PE"/>
        </w:rPr>
      </w:pPr>
      <w:r w:rsidRPr="00335EFA">
        <w:rPr>
          <w:rFonts w:ascii="Arial" w:eastAsia="Times New Roman" w:hAnsi="Arial" w:cs="Arial"/>
          <w:color w:val="222222"/>
          <w:lang w:eastAsia="es-PE"/>
        </w:rPr>
        <w:t xml:space="preserve">Lima, </w:t>
      </w:r>
      <w:r w:rsidR="00F01636" w:rsidRPr="00335EFA">
        <w:rPr>
          <w:rFonts w:ascii="Arial" w:eastAsia="Times New Roman" w:hAnsi="Arial" w:cs="Arial"/>
          <w:color w:val="222222"/>
          <w:lang w:eastAsia="es-PE"/>
        </w:rPr>
        <w:t>lunes</w:t>
      </w:r>
      <w:r w:rsidR="004A2667" w:rsidRPr="00335EFA">
        <w:rPr>
          <w:rFonts w:ascii="Arial" w:eastAsia="Times New Roman" w:hAnsi="Arial" w:cs="Arial"/>
          <w:color w:val="222222"/>
          <w:lang w:eastAsia="es-PE"/>
        </w:rPr>
        <w:t xml:space="preserve"> </w:t>
      </w:r>
      <w:r w:rsidR="002806D9" w:rsidRPr="00335EFA">
        <w:rPr>
          <w:rFonts w:ascii="Arial" w:eastAsia="Times New Roman" w:hAnsi="Arial" w:cs="Arial"/>
          <w:color w:val="222222"/>
          <w:lang w:eastAsia="es-PE"/>
        </w:rPr>
        <w:t>1</w:t>
      </w:r>
      <w:r w:rsidR="00F01636" w:rsidRPr="00335EFA">
        <w:rPr>
          <w:rFonts w:ascii="Arial" w:eastAsia="Times New Roman" w:hAnsi="Arial" w:cs="Arial"/>
          <w:color w:val="222222"/>
          <w:lang w:eastAsia="es-PE"/>
        </w:rPr>
        <w:t>9</w:t>
      </w:r>
      <w:r w:rsidR="004A2667" w:rsidRPr="00335EFA">
        <w:rPr>
          <w:rFonts w:ascii="Arial" w:eastAsia="Times New Roman" w:hAnsi="Arial" w:cs="Arial"/>
          <w:color w:val="222222"/>
          <w:lang w:eastAsia="es-PE"/>
        </w:rPr>
        <w:t xml:space="preserve"> de </w:t>
      </w:r>
      <w:r w:rsidR="0036713A" w:rsidRPr="00335EFA">
        <w:rPr>
          <w:rFonts w:ascii="Arial" w:eastAsia="Times New Roman" w:hAnsi="Arial" w:cs="Arial"/>
          <w:color w:val="222222"/>
          <w:lang w:eastAsia="es-PE"/>
        </w:rPr>
        <w:t>agosto</w:t>
      </w:r>
      <w:r w:rsidRPr="00335EFA">
        <w:rPr>
          <w:rFonts w:ascii="Arial" w:eastAsia="Times New Roman" w:hAnsi="Arial" w:cs="Arial"/>
          <w:color w:val="222222"/>
          <w:lang w:eastAsia="es-PE"/>
        </w:rPr>
        <w:t xml:space="preserve"> de 202</w:t>
      </w:r>
      <w:r w:rsidR="00E33DF3" w:rsidRPr="00335EFA">
        <w:rPr>
          <w:rFonts w:ascii="Arial" w:eastAsia="Times New Roman" w:hAnsi="Arial" w:cs="Arial"/>
          <w:color w:val="222222"/>
          <w:lang w:eastAsia="es-PE"/>
        </w:rPr>
        <w:t>4</w:t>
      </w:r>
      <w:r w:rsidRPr="00335EFA">
        <w:rPr>
          <w:rFonts w:ascii="Arial" w:eastAsia="Times New Roman" w:hAnsi="Arial" w:cs="Arial"/>
          <w:color w:val="222222"/>
          <w:lang w:eastAsia="es-PE"/>
        </w:rPr>
        <w:t>.</w:t>
      </w:r>
    </w:p>
    <w:sectPr w:rsidR="008D679D" w:rsidRPr="00335EFA" w:rsidSect="00D754E1">
      <w:headerReference w:type="default" r:id="rId11"/>
      <w:pgSz w:w="11906" w:h="16838"/>
      <w:pgMar w:top="1134" w:right="1701" w:bottom="993" w:left="1701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B3374" w14:textId="77777777" w:rsidR="00D16E45" w:rsidRDefault="00D16E45" w:rsidP="00A62652">
      <w:pPr>
        <w:spacing w:after="0" w:line="240" w:lineRule="auto"/>
      </w:pPr>
      <w:r>
        <w:separator/>
      </w:r>
    </w:p>
  </w:endnote>
  <w:endnote w:type="continuationSeparator" w:id="0">
    <w:p w14:paraId="50BA631C" w14:textId="77777777" w:rsidR="00D16E45" w:rsidRDefault="00D16E45" w:rsidP="00A62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E9B34" w14:textId="77777777" w:rsidR="00D16E45" w:rsidRDefault="00D16E45" w:rsidP="00A62652">
      <w:pPr>
        <w:spacing w:after="0" w:line="240" w:lineRule="auto"/>
      </w:pPr>
      <w:r>
        <w:separator/>
      </w:r>
    </w:p>
  </w:footnote>
  <w:footnote w:type="continuationSeparator" w:id="0">
    <w:p w14:paraId="7B38B4D9" w14:textId="77777777" w:rsidR="00D16E45" w:rsidRDefault="00D16E45" w:rsidP="00A62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18851" w14:textId="567810B5" w:rsidR="00A62652" w:rsidRDefault="002167DB" w:rsidP="00A62652">
    <w:pPr>
      <w:pStyle w:val="Encabezado"/>
      <w:ind w:left="-284"/>
    </w:pPr>
    <w:r w:rsidRPr="000F63EA">
      <w:rPr>
        <w:noProof/>
        <w:lang w:eastAsia="es-PE"/>
      </w:rPr>
      <w:drawing>
        <wp:inline distT="0" distB="0" distL="0" distR="0" wp14:anchorId="214A8175" wp14:editId="17ACAD11">
          <wp:extent cx="2211070" cy="702945"/>
          <wp:effectExtent l="0" t="0" r="0" b="0"/>
          <wp:docPr id="1" name="Imagen 3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107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15BAB"/>
    <w:multiLevelType w:val="hybridMultilevel"/>
    <w:tmpl w:val="DF9274BA"/>
    <w:lvl w:ilvl="0" w:tplc="5D6EC92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A9A31F0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065C7A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C43CBE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A44E4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7C6BF4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DACF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924D0B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8015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14472"/>
    <w:multiLevelType w:val="hybridMultilevel"/>
    <w:tmpl w:val="3C32D952"/>
    <w:lvl w:ilvl="0" w:tplc="293073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CC5814"/>
    <w:multiLevelType w:val="hybridMultilevel"/>
    <w:tmpl w:val="8BE675F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3B42F6"/>
    <w:multiLevelType w:val="hybridMultilevel"/>
    <w:tmpl w:val="172C373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496AC0"/>
    <w:multiLevelType w:val="hybridMultilevel"/>
    <w:tmpl w:val="C8FAA39C"/>
    <w:lvl w:ilvl="0" w:tplc="F084B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9489D"/>
    <w:multiLevelType w:val="hybridMultilevel"/>
    <w:tmpl w:val="10B422E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D8109C"/>
    <w:multiLevelType w:val="hybridMultilevel"/>
    <w:tmpl w:val="DB001866"/>
    <w:lvl w:ilvl="0" w:tplc="F084BC0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D65A9"/>
    <w:multiLevelType w:val="hybridMultilevel"/>
    <w:tmpl w:val="60F61F28"/>
    <w:lvl w:ilvl="0" w:tplc="2930734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00EA1"/>
    <w:multiLevelType w:val="hybridMultilevel"/>
    <w:tmpl w:val="F67CAD74"/>
    <w:lvl w:ilvl="0" w:tplc="F740EF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color w:val="2222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4589B"/>
    <w:multiLevelType w:val="hybridMultilevel"/>
    <w:tmpl w:val="E06C543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3F6D77"/>
    <w:multiLevelType w:val="hybridMultilevel"/>
    <w:tmpl w:val="3B78F9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E76E7"/>
    <w:multiLevelType w:val="multilevel"/>
    <w:tmpl w:val="A91A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4578CF"/>
    <w:multiLevelType w:val="hybridMultilevel"/>
    <w:tmpl w:val="E9A05E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6583450">
    <w:abstractNumId w:val="9"/>
  </w:num>
  <w:num w:numId="2" w16cid:durableId="1544057397">
    <w:abstractNumId w:val="3"/>
  </w:num>
  <w:num w:numId="3" w16cid:durableId="301036100">
    <w:abstractNumId w:val="2"/>
  </w:num>
  <w:num w:numId="4" w16cid:durableId="1864898754">
    <w:abstractNumId w:val="5"/>
  </w:num>
  <w:num w:numId="5" w16cid:durableId="237787488">
    <w:abstractNumId w:val="10"/>
  </w:num>
  <w:num w:numId="6" w16cid:durableId="342241800">
    <w:abstractNumId w:val="0"/>
  </w:num>
  <w:num w:numId="7" w16cid:durableId="186800643">
    <w:abstractNumId w:val="11"/>
  </w:num>
  <w:num w:numId="8" w16cid:durableId="1417282878">
    <w:abstractNumId w:val="8"/>
  </w:num>
  <w:num w:numId="9" w16cid:durableId="955449961">
    <w:abstractNumId w:val="4"/>
  </w:num>
  <w:num w:numId="10" w16cid:durableId="317657150">
    <w:abstractNumId w:val="6"/>
  </w:num>
  <w:num w:numId="11" w16cid:durableId="1249339544">
    <w:abstractNumId w:val="12"/>
  </w:num>
  <w:num w:numId="12" w16cid:durableId="2140804526">
    <w:abstractNumId w:val="7"/>
  </w:num>
  <w:num w:numId="13" w16cid:durableId="8062396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794"/>
    <w:rsid w:val="0000139B"/>
    <w:rsid w:val="000231DC"/>
    <w:rsid w:val="000341DD"/>
    <w:rsid w:val="00047BF3"/>
    <w:rsid w:val="00070A38"/>
    <w:rsid w:val="00076794"/>
    <w:rsid w:val="0008142C"/>
    <w:rsid w:val="000841D4"/>
    <w:rsid w:val="00084EBC"/>
    <w:rsid w:val="000B05A8"/>
    <w:rsid w:val="000D3B8B"/>
    <w:rsid w:val="000E7384"/>
    <w:rsid w:val="00113A01"/>
    <w:rsid w:val="00131153"/>
    <w:rsid w:val="00140BA9"/>
    <w:rsid w:val="00152A4F"/>
    <w:rsid w:val="0016314F"/>
    <w:rsid w:val="00167F0E"/>
    <w:rsid w:val="00180663"/>
    <w:rsid w:val="0018241E"/>
    <w:rsid w:val="001857EB"/>
    <w:rsid w:val="00191004"/>
    <w:rsid w:val="001A02EA"/>
    <w:rsid w:val="001A5E4F"/>
    <w:rsid w:val="001A5F74"/>
    <w:rsid w:val="001B48A6"/>
    <w:rsid w:val="001B516B"/>
    <w:rsid w:val="001C2895"/>
    <w:rsid w:val="001C28D6"/>
    <w:rsid w:val="001D1EDD"/>
    <w:rsid w:val="001E4912"/>
    <w:rsid w:val="001E7BD0"/>
    <w:rsid w:val="001F2735"/>
    <w:rsid w:val="00201C73"/>
    <w:rsid w:val="0021594A"/>
    <w:rsid w:val="002167DB"/>
    <w:rsid w:val="00224C95"/>
    <w:rsid w:val="002527F8"/>
    <w:rsid w:val="00253AF7"/>
    <w:rsid w:val="00261A37"/>
    <w:rsid w:val="00261A89"/>
    <w:rsid w:val="00272453"/>
    <w:rsid w:val="00273201"/>
    <w:rsid w:val="002806D9"/>
    <w:rsid w:val="002853BE"/>
    <w:rsid w:val="00295AA2"/>
    <w:rsid w:val="002B4E80"/>
    <w:rsid w:val="002C330F"/>
    <w:rsid w:val="002F27FD"/>
    <w:rsid w:val="002F5E14"/>
    <w:rsid w:val="003131A0"/>
    <w:rsid w:val="00326F4E"/>
    <w:rsid w:val="00335EFA"/>
    <w:rsid w:val="00343C49"/>
    <w:rsid w:val="00347D26"/>
    <w:rsid w:val="00362A6D"/>
    <w:rsid w:val="0036713A"/>
    <w:rsid w:val="00385EF7"/>
    <w:rsid w:val="003934E5"/>
    <w:rsid w:val="003A2D47"/>
    <w:rsid w:val="003E30B2"/>
    <w:rsid w:val="003E35F3"/>
    <w:rsid w:val="003E5059"/>
    <w:rsid w:val="003F2CAD"/>
    <w:rsid w:val="00400B38"/>
    <w:rsid w:val="00404B90"/>
    <w:rsid w:val="00405F73"/>
    <w:rsid w:val="004247E1"/>
    <w:rsid w:val="0043182A"/>
    <w:rsid w:val="004519E4"/>
    <w:rsid w:val="00463923"/>
    <w:rsid w:val="00465333"/>
    <w:rsid w:val="004673EF"/>
    <w:rsid w:val="00473323"/>
    <w:rsid w:val="00474827"/>
    <w:rsid w:val="004A0CA8"/>
    <w:rsid w:val="004A0FFC"/>
    <w:rsid w:val="004A2667"/>
    <w:rsid w:val="004A46F2"/>
    <w:rsid w:val="0050472C"/>
    <w:rsid w:val="0051184D"/>
    <w:rsid w:val="005348A0"/>
    <w:rsid w:val="00543F06"/>
    <w:rsid w:val="00544063"/>
    <w:rsid w:val="00557E33"/>
    <w:rsid w:val="00576391"/>
    <w:rsid w:val="00581BEF"/>
    <w:rsid w:val="005A0A2D"/>
    <w:rsid w:val="005C3DB9"/>
    <w:rsid w:val="005C41B3"/>
    <w:rsid w:val="005C500A"/>
    <w:rsid w:val="005C6613"/>
    <w:rsid w:val="005E2002"/>
    <w:rsid w:val="005E3CF8"/>
    <w:rsid w:val="005F05BE"/>
    <w:rsid w:val="005F2A2C"/>
    <w:rsid w:val="00607DE8"/>
    <w:rsid w:val="00617436"/>
    <w:rsid w:val="006250B1"/>
    <w:rsid w:val="00646BDB"/>
    <w:rsid w:val="006550FA"/>
    <w:rsid w:val="00670B59"/>
    <w:rsid w:val="0067156E"/>
    <w:rsid w:val="00675CA4"/>
    <w:rsid w:val="006843CB"/>
    <w:rsid w:val="006930F9"/>
    <w:rsid w:val="006A2089"/>
    <w:rsid w:val="007067D0"/>
    <w:rsid w:val="00712B3B"/>
    <w:rsid w:val="0072704E"/>
    <w:rsid w:val="0073342E"/>
    <w:rsid w:val="00740AAC"/>
    <w:rsid w:val="007469DA"/>
    <w:rsid w:val="007529C8"/>
    <w:rsid w:val="007557C4"/>
    <w:rsid w:val="007870AC"/>
    <w:rsid w:val="00796836"/>
    <w:rsid w:val="00803640"/>
    <w:rsid w:val="00811787"/>
    <w:rsid w:val="008332E7"/>
    <w:rsid w:val="008437BA"/>
    <w:rsid w:val="0084799E"/>
    <w:rsid w:val="00850B55"/>
    <w:rsid w:val="008671F8"/>
    <w:rsid w:val="00870C02"/>
    <w:rsid w:val="00875A2D"/>
    <w:rsid w:val="00875BEF"/>
    <w:rsid w:val="008A441B"/>
    <w:rsid w:val="008D679D"/>
    <w:rsid w:val="008E137C"/>
    <w:rsid w:val="008E5E16"/>
    <w:rsid w:val="00924483"/>
    <w:rsid w:val="00926A2F"/>
    <w:rsid w:val="00931752"/>
    <w:rsid w:val="00933055"/>
    <w:rsid w:val="00947A41"/>
    <w:rsid w:val="009607AD"/>
    <w:rsid w:val="00963FC9"/>
    <w:rsid w:val="00970E04"/>
    <w:rsid w:val="00971CF1"/>
    <w:rsid w:val="0097481E"/>
    <w:rsid w:val="00992B31"/>
    <w:rsid w:val="00994017"/>
    <w:rsid w:val="009B1770"/>
    <w:rsid w:val="009B3DE7"/>
    <w:rsid w:val="009C4AD7"/>
    <w:rsid w:val="009D0452"/>
    <w:rsid w:val="009D3BB4"/>
    <w:rsid w:val="00A0733E"/>
    <w:rsid w:val="00A146F5"/>
    <w:rsid w:val="00A15852"/>
    <w:rsid w:val="00A43720"/>
    <w:rsid w:val="00A45B01"/>
    <w:rsid w:val="00A47E2F"/>
    <w:rsid w:val="00A61B6B"/>
    <w:rsid w:val="00A62652"/>
    <w:rsid w:val="00A62E51"/>
    <w:rsid w:val="00A76FC6"/>
    <w:rsid w:val="00AA4B60"/>
    <w:rsid w:val="00AF0950"/>
    <w:rsid w:val="00AF63B4"/>
    <w:rsid w:val="00B00CCC"/>
    <w:rsid w:val="00B273E8"/>
    <w:rsid w:val="00B35F8C"/>
    <w:rsid w:val="00B43B0A"/>
    <w:rsid w:val="00B609A9"/>
    <w:rsid w:val="00B6753F"/>
    <w:rsid w:val="00B71B3E"/>
    <w:rsid w:val="00B724D5"/>
    <w:rsid w:val="00B9733A"/>
    <w:rsid w:val="00BA54EE"/>
    <w:rsid w:val="00BC48B9"/>
    <w:rsid w:val="00BC56FA"/>
    <w:rsid w:val="00BE58F7"/>
    <w:rsid w:val="00BE6FF5"/>
    <w:rsid w:val="00BF0680"/>
    <w:rsid w:val="00C54546"/>
    <w:rsid w:val="00C81411"/>
    <w:rsid w:val="00C900F0"/>
    <w:rsid w:val="00C9602F"/>
    <w:rsid w:val="00CC0955"/>
    <w:rsid w:val="00CC123C"/>
    <w:rsid w:val="00CD4986"/>
    <w:rsid w:val="00CE4EF2"/>
    <w:rsid w:val="00CF7BB6"/>
    <w:rsid w:val="00D11A9D"/>
    <w:rsid w:val="00D16E45"/>
    <w:rsid w:val="00D20225"/>
    <w:rsid w:val="00D2242F"/>
    <w:rsid w:val="00D41179"/>
    <w:rsid w:val="00D42FE2"/>
    <w:rsid w:val="00D70FBD"/>
    <w:rsid w:val="00D754E1"/>
    <w:rsid w:val="00D83BC3"/>
    <w:rsid w:val="00D92273"/>
    <w:rsid w:val="00D92526"/>
    <w:rsid w:val="00D94011"/>
    <w:rsid w:val="00D9419E"/>
    <w:rsid w:val="00D95611"/>
    <w:rsid w:val="00DA69F3"/>
    <w:rsid w:val="00DB337C"/>
    <w:rsid w:val="00DD322F"/>
    <w:rsid w:val="00DD63FC"/>
    <w:rsid w:val="00DF2929"/>
    <w:rsid w:val="00DF606D"/>
    <w:rsid w:val="00DF7B03"/>
    <w:rsid w:val="00E11724"/>
    <w:rsid w:val="00E11977"/>
    <w:rsid w:val="00E21EC4"/>
    <w:rsid w:val="00E33DF3"/>
    <w:rsid w:val="00E537AC"/>
    <w:rsid w:val="00E65043"/>
    <w:rsid w:val="00E6615C"/>
    <w:rsid w:val="00E75DA8"/>
    <w:rsid w:val="00E8297A"/>
    <w:rsid w:val="00EC74FC"/>
    <w:rsid w:val="00EE5E39"/>
    <w:rsid w:val="00EF20FC"/>
    <w:rsid w:val="00EF39FC"/>
    <w:rsid w:val="00EF42DD"/>
    <w:rsid w:val="00F01636"/>
    <w:rsid w:val="00F0418D"/>
    <w:rsid w:val="00F37B1F"/>
    <w:rsid w:val="00F613C8"/>
    <w:rsid w:val="00F912D0"/>
    <w:rsid w:val="00FA1CC5"/>
    <w:rsid w:val="00FD2F02"/>
    <w:rsid w:val="00FD655B"/>
    <w:rsid w:val="00FE2BD2"/>
    <w:rsid w:val="00FE6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AC777C5"/>
  <w15:docId w15:val="{1DCF875F-FCD9-4428-978B-EA5E7FD88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s-PE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7679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2652"/>
  </w:style>
  <w:style w:type="paragraph" w:styleId="Piedepgina">
    <w:name w:val="footer"/>
    <w:basedOn w:val="Normal"/>
    <w:link w:val="PiedepginaCar"/>
    <w:uiPriority w:val="99"/>
    <w:unhideWhenUsed/>
    <w:rsid w:val="00A626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2652"/>
  </w:style>
  <w:style w:type="character" w:styleId="Hipervnculo">
    <w:name w:val="Hyperlink"/>
    <w:uiPriority w:val="99"/>
    <w:unhideWhenUsed/>
    <w:rsid w:val="00CD4986"/>
    <w:rPr>
      <w:color w:val="0563C1"/>
      <w:u w:val="single"/>
    </w:rPr>
  </w:style>
  <w:style w:type="character" w:styleId="Mencinsinresolver">
    <w:name w:val="Unresolved Mention"/>
    <w:uiPriority w:val="99"/>
    <w:semiHidden/>
    <w:unhideWhenUsed/>
    <w:rsid w:val="00CD4986"/>
    <w:rPr>
      <w:color w:val="605E5C"/>
      <w:shd w:val="clear" w:color="auto" w:fill="E1DFDD"/>
    </w:rPr>
  </w:style>
  <w:style w:type="character" w:styleId="Refdecomentario">
    <w:name w:val="annotation reference"/>
    <w:uiPriority w:val="99"/>
    <w:semiHidden/>
    <w:unhideWhenUsed/>
    <w:rsid w:val="0019100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91004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rsid w:val="00191004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1004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91004"/>
    <w:rPr>
      <w:b/>
      <w:bCs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10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191004"/>
    <w:rPr>
      <w:rFonts w:ascii="Segoe UI" w:hAnsi="Segoe UI" w:cs="Segoe UI"/>
      <w:sz w:val="18"/>
      <w:szCs w:val="18"/>
      <w:lang w:eastAsia="en-US"/>
    </w:rPr>
  </w:style>
  <w:style w:type="paragraph" w:styleId="Prrafodelista">
    <w:name w:val="List Paragraph"/>
    <w:basedOn w:val="Normal"/>
    <w:uiPriority w:val="34"/>
    <w:qFormat/>
    <w:rsid w:val="007870AC"/>
    <w:pPr>
      <w:ind w:left="708"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E5E16"/>
    <w:pPr>
      <w:spacing w:after="0" w:line="240" w:lineRule="auto"/>
    </w:pPr>
    <w:rPr>
      <w:rFonts w:ascii="Arial" w:eastAsia="Times New Roman" w:hAnsi="Arial"/>
      <w:sz w:val="20"/>
      <w:szCs w:val="20"/>
      <w:lang w:val="es-ES" w:eastAsia="es-ES"/>
    </w:rPr>
  </w:style>
  <w:style w:type="character" w:customStyle="1" w:styleId="TextonotapieCar">
    <w:name w:val="Texto nota pie Car"/>
    <w:link w:val="Textonotapie"/>
    <w:uiPriority w:val="99"/>
    <w:semiHidden/>
    <w:rsid w:val="008E5E16"/>
    <w:rPr>
      <w:rFonts w:ascii="Arial" w:eastAsia="Times New Roman" w:hAnsi="Arial"/>
      <w:lang w:val="es-ES" w:eastAsia="es-ES"/>
    </w:rPr>
  </w:style>
  <w:style w:type="character" w:styleId="Refdenotaalpie">
    <w:name w:val="footnote reference"/>
    <w:uiPriority w:val="99"/>
    <w:semiHidden/>
    <w:unhideWhenUsed/>
    <w:rsid w:val="008E5E16"/>
    <w:rPr>
      <w:vertAlign w:val="superscript"/>
    </w:rPr>
  </w:style>
  <w:style w:type="character" w:styleId="Textoennegrita">
    <w:name w:val="Strong"/>
    <w:uiPriority w:val="22"/>
    <w:qFormat/>
    <w:rsid w:val="00FE6A64"/>
    <w:rPr>
      <w:b/>
      <w:bCs/>
    </w:rPr>
  </w:style>
  <w:style w:type="paragraph" w:styleId="Revisin">
    <w:name w:val="Revision"/>
    <w:hidden/>
    <w:uiPriority w:val="99"/>
    <w:semiHidden/>
    <w:rsid w:val="00463923"/>
    <w:rPr>
      <w:sz w:val="22"/>
      <w:szCs w:val="22"/>
      <w:lang w:val="es-PE" w:eastAsia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405F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986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3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75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84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52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62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2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2147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1999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00181205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428231328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47653043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500609110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51160228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697074084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925871105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834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189157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  <w:div w:id="1926185351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2154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nat.gob.p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orientacion.sunat.gob.pe/sites/default/files/inline-files/Guias_Gastos_v5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unat.gob.pe/institucional/publicaciones/declaraPrincipios/declaracionPrincipios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B56ADB-4B70-4C3B-BF50-DF9F2483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520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Manzaneda Miranda Gardy Raul</cp:lastModifiedBy>
  <cp:revision>4</cp:revision>
  <dcterms:created xsi:type="dcterms:W3CDTF">2024-08-19T15:33:00Z</dcterms:created>
  <dcterms:modified xsi:type="dcterms:W3CDTF">2024-08-20T14:12:00Z</dcterms:modified>
</cp:coreProperties>
</file>