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9390" w14:textId="4B37B708" w:rsidR="00D47619" w:rsidRPr="006955AA" w:rsidRDefault="00D47619" w:rsidP="006955AA">
      <w:pPr>
        <w:spacing w:after="0" w:line="240" w:lineRule="auto"/>
        <w:ind w:left="68"/>
        <w:contextualSpacing/>
        <w:jc w:val="right"/>
        <w:rPr>
          <w:rFonts w:ascii="Arial Nova" w:hAnsi="Arial Nova" w:cs="Arial"/>
          <w:b/>
          <w:bCs/>
          <w:sz w:val="24"/>
          <w:szCs w:val="24"/>
        </w:rPr>
      </w:pPr>
      <w:r w:rsidRPr="006955AA">
        <w:rPr>
          <w:rFonts w:ascii="Arial Nova" w:hAnsi="Arial Nova" w:cs="Arial"/>
          <w:b/>
          <w:bCs/>
          <w:sz w:val="24"/>
          <w:szCs w:val="24"/>
        </w:rPr>
        <w:t xml:space="preserve">Nota de Prensa </w:t>
      </w:r>
      <w:proofErr w:type="spellStart"/>
      <w:r w:rsidRPr="006955AA">
        <w:rPr>
          <w:rFonts w:ascii="Arial Nova" w:hAnsi="Arial Nova" w:cs="Arial"/>
          <w:b/>
          <w:bCs/>
          <w:sz w:val="24"/>
          <w:szCs w:val="24"/>
        </w:rPr>
        <w:t>N°</w:t>
      </w:r>
      <w:proofErr w:type="spellEnd"/>
      <w:r w:rsidRPr="006955AA">
        <w:rPr>
          <w:rFonts w:ascii="Arial Nova" w:hAnsi="Arial Nova" w:cs="Arial"/>
          <w:b/>
          <w:bCs/>
          <w:sz w:val="24"/>
          <w:szCs w:val="24"/>
        </w:rPr>
        <w:t xml:space="preserve"> 001</w:t>
      </w:r>
    </w:p>
    <w:p w14:paraId="33757ED4" w14:textId="77777777" w:rsidR="00D47619" w:rsidRDefault="00D47619" w:rsidP="00D31A3B">
      <w:pPr>
        <w:spacing w:after="0" w:line="240" w:lineRule="auto"/>
        <w:ind w:left="68"/>
        <w:contextualSpacing/>
        <w:jc w:val="center"/>
        <w:rPr>
          <w:rFonts w:ascii="Arial Nova" w:hAnsi="Arial Nova" w:cs="Arial"/>
          <w:b/>
          <w:bCs/>
          <w:sz w:val="36"/>
          <w:szCs w:val="36"/>
        </w:rPr>
      </w:pPr>
    </w:p>
    <w:p w14:paraId="48F63050" w14:textId="34CBB189" w:rsidR="00AA106A" w:rsidRPr="00D31A3B" w:rsidRDefault="00951FB6" w:rsidP="00D31A3B">
      <w:pPr>
        <w:spacing w:after="0" w:line="240" w:lineRule="auto"/>
        <w:ind w:left="68"/>
        <w:contextualSpacing/>
        <w:jc w:val="center"/>
        <w:rPr>
          <w:rFonts w:ascii="Arial Nova" w:hAnsi="Arial Nova" w:cs="Arial"/>
          <w:b/>
          <w:bCs/>
          <w:sz w:val="36"/>
          <w:szCs w:val="36"/>
        </w:rPr>
      </w:pPr>
      <w:r>
        <w:rPr>
          <w:rFonts w:ascii="Arial Nova" w:hAnsi="Arial Nova" w:cs="Arial"/>
          <w:b/>
          <w:bCs/>
          <w:sz w:val="36"/>
          <w:szCs w:val="36"/>
        </w:rPr>
        <w:t>RECAUDACIÓN TRIBUTARIA DEL AÑO 2023 ASCENDIÓ A S/ 147 246 MILLONES</w:t>
      </w:r>
    </w:p>
    <w:p w14:paraId="5679E014" w14:textId="77777777" w:rsidR="00D31A3B" w:rsidRDefault="00D31A3B" w:rsidP="00D31A3B">
      <w:pPr>
        <w:pStyle w:val="Prrafodelista"/>
        <w:ind w:left="426"/>
        <w:jc w:val="both"/>
        <w:rPr>
          <w:rFonts w:ascii="Arial Nova" w:hAnsi="Arial Nova" w:cs="Arial"/>
          <w:i/>
          <w:iCs/>
          <w:sz w:val="22"/>
          <w:szCs w:val="22"/>
        </w:rPr>
      </w:pPr>
    </w:p>
    <w:p w14:paraId="37CE3A54" w14:textId="52E7E3AD" w:rsidR="005F617B" w:rsidRPr="000E4C47" w:rsidRDefault="008E4015" w:rsidP="000E4C47">
      <w:pPr>
        <w:spacing w:after="0"/>
        <w:jc w:val="both"/>
        <w:rPr>
          <w:rFonts w:ascii="Arial" w:hAnsi="Arial" w:cs="Arial"/>
          <w:color w:val="000000" w:themeColor="text1"/>
          <w:kern w:val="24"/>
        </w:rPr>
      </w:pPr>
      <w:r w:rsidRPr="000E4C47">
        <w:rPr>
          <w:rFonts w:ascii="Arial" w:hAnsi="Arial" w:cs="Arial"/>
          <w:kern w:val="24"/>
        </w:rPr>
        <w:t xml:space="preserve">En el </w:t>
      </w:r>
      <w:r w:rsidR="0003019D" w:rsidRPr="000E4C47">
        <w:rPr>
          <w:rFonts w:ascii="Arial" w:hAnsi="Arial" w:cs="Arial"/>
          <w:kern w:val="24"/>
        </w:rPr>
        <w:t>2023</w:t>
      </w:r>
      <w:r w:rsidRPr="000E4C47">
        <w:rPr>
          <w:rFonts w:ascii="Arial" w:hAnsi="Arial" w:cs="Arial"/>
          <w:kern w:val="24"/>
        </w:rPr>
        <w:t>, se recaudaron S/ 1</w:t>
      </w:r>
      <w:r w:rsidR="00452810" w:rsidRPr="000E4C47">
        <w:rPr>
          <w:rFonts w:ascii="Arial" w:hAnsi="Arial" w:cs="Arial"/>
          <w:kern w:val="24"/>
        </w:rPr>
        <w:t>47</w:t>
      </w:r>
      <w:r w:rsidRPr="000E4C47">
        <w:rPr>
          <w:rFonts w:ascii="Arial" w:hAnsi="Arial" w:cs="Arial"/>
          <w:kern w:val="24"/>
        </w:rPr>
        <w:t xml:space="preserve"> </w:t>
      </w:r>
      <w:r w:rsidR="00452810" w:rsidRPr="000E4C47">
        <w:rPr>
          <w:rFonts w:ascii="Arial" w:hAnsi="Arial" w:cs="Arial"/>
          <w:kern w:val="24"/>
        </w:rPr>
        <w:t>2</w:t>
      </w:r>
      <w:r w:rsidR="00423BEF" w:rsidRPr="000E4C47">
        <w:rPr>
          <w:rFonts w:ascii="Arial" w:hAnsi="Arial" w:cs="Arial"/>
          <w:kern w:val="24"/>
        </w:rPr>
        <w:t>46</w:t>
      </w:r>
      <w:r w:rsidRPr="000E4C47">
        <w:rPr>
          <w:rFonts w:ascii="Arial" w:hAnsi="Arial" w:cs="Arial"/>
          <w:kern w:val="24"/>
        </w:rPr>
        <w:t xml:space="preserve"> millones de ingresos tributarios del Gobierno Central (descontando las devoluciones de impuestos)</w:t>
      </w:r>
      <w:r w:rsidR="00951FB6" w:rsidRPr="000E4C47">
        <w:rPr>
          <w:rFonts w:ascii="Arial" w:hAnsi="Arial" w:cs="Arial"/>
          <w:kern w:val="24"/>
        </w:rPr>
        <w:t xml:space="preserve">. Entre </w:t>
      </w:r>
      <w:r w:rsidR="001E4544" w:rsidRPr="000E4C47">
        <w:rPr>
          <w:rFonts w:ascii="Arial" w:hAnsi="Arial" w:cs="Arial"/>
          <w:kern w:val="24"/>
        </w:rPr>
        <w:t xml:space="preserve">los factores que </w:t>
      </w:r>
      <w:r w:rsidR="00B075BE" w:rsidRPr="000E4C47">
        <w:rPr>
          <w:rFonts w:ascii="Arial" w:hAnsi="Arial" w:cs="Arial"/>
          <w:kern w:val="24"/>
        </w:rPr>
        <w:t>afectaron la recaudación destacan</w:t>
      </w:r>
      <w:r w:rsidR="005F617B" w:rsidRPr="000E4C47">
        <w:rPr>
          <w:rFonts w:ascii="Arial" w:hAnsi="Arial" w:cs="Arial"/>
          <w:color w:val="000000" w:themeColor="text1"/>
          <w:kern w:val="24"/>
        </w:rPr>
        <w:t>:</w:t>
      </w:r>
    </w:p>
    <w:p w14:paraId="3CE93601" w14:textId="32CFC7DA" w:rsidR="005F617B" w:rsidRPr="000E4C47" w:rsidRDefault="005F617B" w:rsidP="000E4C4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kern w:val="24"/>
          <w:lang w:eastAsia="es-PE"/>
        </w:rPr>
      </w:pPr>
    </w:p>
    <w:p w14:paraId="6A5E1C90" w14:textId="77777777" w:rsidR="00B075BE" w:rsidRPr="000E4C47" w:rsidRDefault="00B075BE" w:rsidP="000E4C47">
      <w:pPr>
        <w:pStyle w:val="Prrafodelista"/>
        <w:numPr>
          <w:ilvl w:val="0"/>
          <w:numId w:val="18"/>
        </w:numPr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r w:rsidRPr="000E4C47">
        <w:rPr>
          <w:rFonts w:ascii="Arial" w:hAnsi="Arial" w:cs="Arial"/>
          <w:kern w:val="24"/>
          <w:sz w:val="22"/>
          <w:szCs w:val="22"/>
        </w:rPr>
        <w:t>La evolución de la actividad económica, con un retroceso del PBI y la demanda interna de alrededor de 0,5% y 1,6% respectivamente. Asimismo, la caída de las importaciones CIF en 13,5% y del tipo de cambio en 2,1%, considerando un promedio anual de alrededor de S/ 3,75 por dólar.</w:t>
      </w:r>
    </w:p>
    <w:p w14:paraId="377ABABF" w14:textId="77777777" w:rsidR="00B075BE" w:rsidRPr="000E4C47" w:rsidRDefault="00B075BE" w:rsidP="000E4C47">
      <w:pPr>
        <w:pStyle w:val="Prrafodelista"/>
        <w:ind w:left="709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</w:p>
    <w:p w14:paraId="7A5B0394" w14:textId="77777777" w:rsidR="00B075BE" w:rsidRPr="000E4C47" w:rsidRDefault="00B075BE" w:rsidP="000E4C47">
      <w:pPr>
        <w:pStyle w:val="Prrafodelista"/>
        <w:numPr>
          <w:ilvl w:val="0"/>
          <w:numId w:val="18"/>
        </w:numPr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r w:rsidRPr="000E4C47">
        <w:rPr>
          <w:rFonts w:ascii="Arial" w:hAnsi="Arial" w:cs="Arial"/>
          <w:kern w:val="24"/>
          <w:sz w:val="22"/>
          <w:szCs w:val="22"/>
        </w:rPr>
        <w:t>Las menores cotizaciones de los principales productos exportados por la economía nacional, en especial el gas natural, el petróleo y metales como el cobre, lo que redujo los ingresos y bases imponibles de las empresas vinculadas a la producción y/o comercio de dichos bienes.</w:t>
      </w:r>
    </w:p>
    <w:p w14:paraId="10A54EF0" w14:textId="77777777" w:rsidR="00B075BE" w:rsidRPr="000E4C47" w:rsidRDefault="00B075BE" w:rsidP="000E4C47">
      <w:pPr>
        <w:pStyle w:val="Prrafodelista"/>
        <w:rPr>
          <w:rFonts w:ascii="Arial" w:hAnsi="Arial" w:cs="Arial"/>
          <w:kern w:val="24"/>
          <w:sz w:val="22"/>
          <w:szCs w:val="22"/>
        </w:rPr>
      </w:pPr>
    </w:p>
    <w:p w14:paraId="30D1FE91" w14:textId="77777777" w:rsidR="00B075BE" w:rsidRPr="000E4C47" w:rsidRDefault="00B075BE" w:rsidP="000E4C47">
      <w:pPr>
        <w:pStyle w:val="Prrafodelista"/>
        <w:numPr>
          <w:ilvl w:val="0"/>
          <w:numId w:val="18"/>
        </w:numPr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r w:rsidRPr="000E4C47">
        <w:rPr>
          <w:rFonts w:ascii="Arial" w:hAnsi="Arial" w:cs="Arial"/>
          <w:kern w:val="24"/>
          <w:sz w:val="22"/>
          <w:szCs w:val="22"/>
        </w:rPr>
        <w:t>Los menores ingresos provenientes de la recaudación correspondiente a la campaña de regularización del ejercicio 2022, que se pagó en el 2023.</w:t>
      </w:r>
    </w:p>
    <w:p w14:paraId="031FCF0E" w14:textId="77777777" w:rsidR="00B075BE" w:rsidRPr="000E4C47" w:rsidRDefault="00B075BE" w:rsidP="000E4C47">
      <w:pPr>
        <w:pStyle w:val="Prrafodelista"/>
        <w:ind w:left="709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</w:p>
    <w:p w14:paraId="21730004" w14:textId="7397208B" w:rsidR="00B075BE" w:rsidRPr="000E4C47" w:rsidRDefault="00B075BE" w:rsidP="000E4C47">
      <w:pPr>
        <w:pStyle w:val="Prrafodelista"/>
        <w:numPr>
          <w:ilvl w:val="0"/>
          <w:numId w:val="18"/>
        </w:numPr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r w:rsidRPr="000E4C47">
        <w:rPr>
          <w:rFonts w:ascii="Arial" w:hAnsi="Arial" w:cs="Arial"/>
          <w:kern w:val="24"/>
          <w:sz w:val="22"/>
          <w:szCs w:val="22"/>
        </w:rPr>
        <w:t>El impacto negativo de algunas medidas normativas como la Ley N° 31556 que establece la tasa especial temporal de IGV de 8% para restaurantes, hospedajes y hoteles; o la Ley N° 31903 que permite la libre disposición de los fondos de las cuentas de detracciones correspondientes a las MYPES.</w:t>
      </w:r>
    </w:p>
    <w:p w14:paraId="2CFE8DB5" w14:textId="77777777" w:rsidR="00B075BE" w:rsidRPr="000E4C47" w:rsidRDefault="00B075BE" w:rsidP="000E4C47">
      <w:pPr>
        <w:pStyle w:val="Prrafodelista"/>
        <w:rPr>
          <w:rFonts w:ascii="Arial" w:hAnsi="Arial" w:cs="Arial"/>
          <w:kern w:val="24"/>
          <w:sz w:val="22"/>
          <w:szCs w:val="22"/>
        </w:rPr>
      </w:pPr>
    </w:p>
    <w:p w14:paraId="07C85F59" w14:textId="1697EF40" w:rsidR="00B075BE" w:rsidRPr="000E4C47" w:rsidRDefault="00B075BE" w:rsidP="000E4C47">
      <w:pPr>
        <w:spacing w:after="0"/>
        <w:ind w:firstLine="708"/>
        <w:jc w:val="both"/>
        <w:rPr>
          <w:rFonts w:ascii="Arial" w:hAnsi="Arial" w:cs="Arial"/>
          <w:b/>
          <w:bCs/>
          <w:kern w:val="24"/>
        </w:rPr>
      </w:pPr>
      <w:r w:rsidRPr="000E4C47">
        <w:rPr>
          <w:rFonts w:ascii="Arial" w:hAnsi="Arial" w:cs="Arial"/>
          <w:b/>
          <w:bCs/>
          <w:kern w:val="24"/>
        </w:rPr>
        <w:t>Factores que contribuyeron positivamente a la recaudación:</w:t>
      </w:r>
    </w:p>
    <w:p w14:paraId="145883F6" w14:textId="22CB30B0" w:rsidR="00B075BE" w:rsidRPr="000E4C47" w:rsidRDefault="00B075BE" w:rsidP="000E4C47">
      <w:pPr>
        <w:spacing w:after="0" w:line="240" w:lineRule="auto"/>
        <w:ind w:left="1416" w:hanging="707"/>
        <w:jc w:val="both"/>
        <w:rPr>
          <w:rFonts w:ascii="Arial" w:eastAsia="Times New Roman" w:hAnsi="Arial" w:cs="Arial"/>
          <w:b/>
          <w:bCs/>
          <w:color w:val="000000" w:themeColor="text1"/>
          <w:kern w:val="24"/>
          <w:lang w:eastAsia="es-PE"/>
        </w:rPr>
      </w:pPr>
    </w:p>
    <w:p w14:paraId="41757554" w14:textId="57CE4430" w:rsidR="005F617B" w:rsidRPr="000E4C47" w:rsidRDefault="005F617B" w:rsidP="000E4C4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0E4C47">
        <w:rPr>
          <w:rFonts w:ascii="Arial" w:hAnsi="Arial" w:cs="Arial"/>
          <w:color w:val="000000" w:themeColor="text1"/>
          <w:kern w:val="24"/>
          <w:sz w:val="22"/>
          <w:szCs w:val="22"/>
        </w:rPr>
        <w:t>Los mayores pagos extraordinarios obtenidos principalmente como resultado de las acciones de control llevadas a cabo por la SUNAT y operaciones empresariales que incrementaron la recaudación, que en el periodo 2023 ascendieron a S/ 3 309 millones, cifra superior a los S/ 3 039 millones registrados en el año 2022.</w:t>
      </w:r>
    </w:p>
    <w:p w14:paraId="219201BC" w14:textId="77777777" w:rsidR="005F617B" w:rsidRPr="000E4C47" w:rsidRDefault="005F617B" w:rsidP="000E4C47">
      <w:pPr>
        <w:pStyle w:val="Prrafodelista"/>
        <w:ind w:left="1429"/>
        <w:jc w:val="both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14:paraId="3CAF1AE1" w14:textId="5BEE9D54" w:rsidR="005F617B" w:rsidRPr="000E4C47" w:rsidRDefault="005F617B" w:rsidP="000E4C4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0E4C47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También, las menores devoluciones de impuestos realizadas durante el año 2023, las mismas que disminuyeron 12,2% con respecto al año 2022, ello como consecuencia de la mejora de la eficiencia de los servicios </w:t>
      </w:r>
      <w:r w:rsidR="004E5178" w:rsidRPr="000E4C47">
        <w:rPr>
          <w:rFonts w:ascii="Arial" w:hAnsi="Arial" w:cs="Arial"/>
          <w:color w:val="000000" w:themeColor="text1"/>
          <w:kern w:val="24"/>
          <w:sz w:val="22"/>
          <w:szCs w:val="22"/>
        </w:rPr>
        <w:t>brindados a los contribuyentes que cumplieron oportunamente con sus obligaciones</w:t>
      </w:r>
      <w:r w:rsidRPr="000E4C47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14:paraId="627438A1" w14:textId="77777777" w:rsidR="00C63E08" w:rsidRPr="000E4C47" w:rsidRDefault="00C63E08" w:rsidP="000E4C47">
      <w:pPr>
        <w:spacing w:after="0"/>
        <w:ind w:left="708"/>
        <w:jc w:val="both"/>
        <w:rPr>
          <w:rFonts w:ascii="Arial" w:hAnsi="Arial" w:cs="Arial"/>
          <w:kern w:val="24"/>
        </w:rPr>
      </w:pPr>
    </w:p>
    <w:p w14:paraId="296BA86F" w14:textId="77777777" w:rsidR="005F617B" w:rsidRPr="000E4C47" w:rsidRDefault="005F617B" w:rsidP="000E4C47">
      <w:pPr>
        <w:pStyle w:val="Prrafodelista"/>
        <w:rPr>
          <w:rFonts w:ascii="Arial" w:hAnsi="Arial" w:cs="Arial"/>
          <w:kern w:val="24"/>
          <w:sz w:val="22"/>
          <w:szCs w:val="22"/>
        </w:rPr>
      </w:pPr>
    </w:p>
    <w:p w14:paraId="1D737955" w14:textId="47D33AF1" w:rsidR="003531BB" w:rsidRPr="000E4C47" w:rsidRDefault="002F0C2F" w:rsidP="000E4C47">
      <w:pPr>
        <w:spacing w:after="0" w:line="240" w:lineRule="auto"/>
        <w:ind w:left="709"/>
        <w:rPr>
          <w:rFonts w:ascii="Arial" w:hAnsi="Arial" w:cs="Arial"/>
          <w:b/>
          <w:color w:val="000000" w:themeColor="text1"/>
        </w:rPr>
      </w:pPr>
      <w:r w:rsidRPr="000E4C47">
        <w:rPr>
          <w:rFonts w:ascii="Arial" w:hAnsi="Arial" w:cs="Arial"/>
          <w:b/>
          <w:color w:val="000000" w:themeColor="text1"/>
        </w:rPr>
        <w:t>Principales resultados por tributos</w:t>
      </w:r>
    </w:p>
    <w:p w14:paraId="0D89050C" w14:textId="77777777" w:rsidR="004E5178" w:rsidRPr="000E4C47" w:rsidRDefault="004E5178" w:rsidP="000E4C47">
      <w:pPr>
        <w:spacing w:after="0" w:line="240" w:lineRule="auto"/>
        <w:ind w:left="709"/>
        <w:rPr>
          <w:rFonts w:ascii="Arial" w:hAnsi="Arial" w:cs="Arial"/>
          <w:b/>
          <w:color w:val="0070C0"/>
        </w:rPr>
      </w:pPr>
    </w:p>
    <w:p w14:paraId="3796117B" w14:textId="6AF36BB1" w:rsidR="00D57CD9" w:rsidRPr="000E4C47" w:rsidRDefault="00D57CD9" w:rsidP="000E4C47">
      <w:pPr>
        <w:pStyle w:val="Prrafodelista"/>
        <w:numPr>
          <w:ilvl w:val="0"/>
          <w:numId w:val="20"/>
        </w:numPr>
        <w:contextualSpacing w:val="0"/>
        <w:jc w:val="both"/>
        <w:rPr>
          <w:rFonts w:ascii="Arial" w:hAnsi="Arial" w:cs="Arial"/>
          <w:kern w:val="24"/>
          <w:sz w:val="22"/>
          <w:szCs w:val="22"/>
          <w:lang w:val="es-ES"/>
        </w:rPr>
      </w:pPr>
      <w:r w:rsidRPr="000E4C47">
        <w:rPr>
          <w:rFonts w:ascii="Arial" w:hAnsi="Arial" w:cs="Arial"/>
          <w:kern w:val="24"/>
          <w:sz w:val="22"/>
          <w:szCs w:val="22"/>
        </w:rPr>
        <w:t>En</w:t>
      </w:r>
      <w:r w:rsidR="002F0C2F" w:rsidRPr="000E4C47">
        <w:rPr>
          <w:rFonts w:ascii="Arial" w:hAnsi="Arial" w:cs="Arial"/>
          <w:kern w:val="24"/>
          <w:sz w:val="22"/>
          <w:szCs w:val="22"/>
        </w:rPr>
        <w:t xml:space="preserve"> </w:t>
      </w:r>
      <w:r w:rsidR="00D53BFF" w:rsidRPr="000E4C47">
        <w:rPr>
          <w:rFonts w:ascii="Arial" w:hAnsi="Arial" w:cs="Arial"/>
          <w:kern w:val="24"/>
          <w:sz w:val="22"/>
          <w:szCs w:val="22"/>
        </w:rPr>
        <w:t xml:space="preserve">el año </w:t>
      </w:r>
      <w:r w:rsidR="0003019D" w:rsidRPr="000E4C47">
        <w:rPr>
          <w:rFonts w:ascii="Arial" w:hAnsi="Arial" w:cs="Arial"/>
          <w:kern w:val="24"/>
          <w:sz w:val="22"/>
          <w:szCs w:val="22"/>
        </w:rPr>
        <w:t>2023</w:t>
      </w:r>
      <w:r w:rsidR="00D53BFF" w:rsidRPr="000E4C47">
        <w:rPr>
          <w:rFonts w:ascii="Arial" w:hAnsi="Arial" w:cs="Arial"/>
          <w:kern w:val="24"/>
          <w:sz w:val="22"/>
          <w:szCs w:val="22"/>
        </w:rPr>
        <w:t xml:space="preserve"> se recaudaron S/ </w:t>
      </w:r>
      <w:r w:rsidR="00A05668" w:rsidRPr="000E4C47">
        <w:rPr>
          <w:rFonts w:ascii="Arial" w:hAnsi="Arial" w:cs="Arial"/>
          <w:kern w:val="24"/>
          <w:sz w:val="22"/>
          <w:szCs w:val="22"/>
        </w:rPr>
        <w:t>62 809</w:t>
      </w:r>
      <w:r w:rsidR="00D53BFF" w:rsidRPr="000E4C47">
        <w:rPr>
          <w:rFonts w:ascii="Arial" w:hAnsi="Arial" w:cs="Arial"/>
          <w:kern w:val="24"/>
          <w:sz w:val="22"/>
          <w:szCs w:val="22"/>
        </w:rPr>
        <w:t xml:space="preserve"> millones por </w:t>
      </w:r>
      <w:r w:rsidR="008665D3" w:rsidRPr="000E4C47">
        <w:rPr>
          <w:rFonts w:ascii="Arial" w:hAnsi="Arial" w:cs="Arial"/>
          <w:kern w:val="24"/>
          <w:sz w:val="22"/>
          <w:szCs w:val="22"/>
        </w:rPr>
        <w:t>concepto de</w:t>
      </w:r>
      <w:r w:rsidR="00D53BFF" w:rsidRPr="000E4C47">
        <w:rPr>
          <w:rFonts w:ascii="Arial" w:hAnsi="Arial" w:cs="Arial"/>
          <w:kern w:val="24"/>
          <w:sz w:val="22"/>
          <w:szCs w:val="22"/>
        </w:rPr>
        <w:t xml:space="preserve"> </w:t>
      </w:r>
      <w:r w:rsidR="00D53BFF" w:rsidRPr="000E4C47">
        <w:rPr>
          <w:rFonts w:ascii="Arial" w:hAnsi="Arial" w:cs="Arial"/>
          <w:b/>
          <w:bCs/>
          <w:kern w:val="24"/>
          <w:sz w:val="22"/>
          <w:szCs w:val="22"/>
        </w:rPr>
        <w:t>Impuesto a la Renta</w:t>
      </w:r>
      <w:r w:rsidR="001E4544" w:rsidRPr="000E4C47">
        <w:rPr>
          <w:rFonts w:ascii="Arial" w:hAnsi="Arial" w:cs="Arial"/>
          <w:kern w:val="24"/>
          <w:sz w:val="22"/>
          <w:szCs w:val="22"/>
        </w:rPr>
        <w:t xml:space="preserve">. </w:t>
      </w:r>
      <w:r w:rsidR="001E4544" w:rsidRPr="000E4C47">
        <w:rPr>
          <w:rFonts w:ascii="Arial" w:hAnsi="Arial" w:cs="Arial"/>
          <w:kern w:val="24"/>
          <w:sz w:val="22"/>
          <w:szCs w:val="22"/>
          <w:lang w:val="es-ES"/>
        </w:rPr>
        <w:t>Este resultado</w:t>
      </w:r>
      <w:r w:rsidR="00135471" w:rsidRPr="000E4C47">
        <w:rPr>
          <w:rFonts w:ascii="Arial" w:hAnsi="Arial" w:cs="Arial"/>
          <w:kern w:val="24"/>
          <w:sz w:val="22"/>
          <w:szCs w:val="22"/>
          <w:lang w:val="es-ES"/>
        </w:rPr>
        <w:t xml:space="preserve"> se </w:t>
      </w:r>
      <w:r w:rsidR="00A05668" w:rsidRPr="000E4C47">
        <w:rPr>
          <w:rFonts w:ascii="Arial" w:hAnsi="Arial" w:cs="Arial"/>
          <w:kern w:val="24"/>
          <w:sz w:val="22"/>
          <w:szCs w:val="22"/>
          <w:lang w:val="es-ES"/>
        </w:rPr>
        <w:t>explica</w:t>
      </w:r>
      <w:r w:rsidR="00135471" w:rsidRPr="000E4C47">
        <w:rPr>
          <w:rFonts w:ascii="Arial" w:hAnsi="Arial" w:cs="Arial"/>
          <w:kern w:val="24"/>
          <w:sz w:val="22"/>
          <w:szCs w:val="22"/>
          <w:lang w:val="es-ES"/>
        </w:rPr>
        <w:t xml:space="preserve"> principalmente en los tributos aplicados a las rentas empresariales, tanto a nivel de los pagos a cuenta mensuales como de los pagos por regularización</w:t>
      </w:r>
      <w:r w:rsidR="008665D3" w:rsidRPr="000E4C47">
        <w:rPr>
          <w:rFonts w:ascii="Arial" w:hAnsi="Arial" w:cs="Arial"/>
          <w:kern w:val="24"/>
          <w:sz w:val="22"/>
          <w:szCs w:val="22"/>
          <w:lang w:val="es-ES"/>
        </w:rPr>
        <w:t>.</w:t>
      </w:r>
      <w:r w:rsidR="00135471" w:rsidRPr="000E4C47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</w:p>
    <w:p w14:paraId="0416AA0F" w14:textId="77777777" w:rsidR="004E5178" w:rsidRPr="000E4C47" w:rsidRDefault="004E5178" w:rsidP="000E4C47">
      <w:pPr>
        <w:spacing w:after="0" w:line="240" w:lineRule="auto"/>
        <w:ind w:left="709"/>
        <w:jc w:val="both"/>
        <w:rPr>
          <w:rFonts w:ascii="Arial" w:hAnsi="Arial" w:cs="Arial"/>
          <w:kern w:val="24"/>
        </w:rPr>
      </w:pPr>
    </w:p>
    <w:p w14:paraId="66B3E788" w14:textId="2C695E05" w:rsidR="00CA0A2A" w:rsidRPr="000E4C47" w:rsidRDefault="000E4C47" w:rsidP="000E4C47">
      <w:pPr>
        <w:pStyle w:val="Prrafodelista"/>
        <w:ind w:left="1416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r w:rsidRPr="000E4C47">
        <w:rPr>
          <w:rFonts w:ascii="Arial" w:hAnsi="Arial" w:cs="Arial"/>
          <w:kern w:val="24"/>
          <w:sz w:val="22"/>
          <w:szCs w:val="22"/>
        </w:rPr>
        <w:t>Asimismo, s</w:t>
      </w:r>
      <w:r w:rsidR="00D57CD9" w:rsidRPr="000E4C47">
        <w:rPr>
          <w:rFonts w:ascii="Arial" w:hAnsi="Arial" w:cs="Arial"/>
          <w:kern w:val="24"/>
          <w:sz w:val="22"/>
          <w:szCs w:val="22"/>
        </w:rPr>
        <w:t xml:space="preserve">e recaudaron S/ </w:t>
      </w:r>
      <w:r w:rsidR="00382A48" w:rsidRPr="000E4C47">
        <w:rPr>
          <w:rFonts w:ascii="Arial" w:hAnsi="Arial" w:cs="Arial"/>
          <w:kern w:val="24"/>
          <w:sz w:val="22"/>
          <w:szCs w:val="22"/>
        </w:rPr>
        <w:t>9 492</w:t>
      </w:r>
      <w:r w:rsidR="00D57CD9" w:rsidRPr="000E4C47">
        <w:rPr>
          <w:rFonts w:ascii="Arial" w:hAnsi="Arial" w:cs="Arial"/>
          <w:kern w:val="24"/>
          <w:sz w:val="22"/>
          <w:szCs w:val="22"/>
        </w:rPr>
        <w:t xml:space="preserve"> millones por concepto de regularización</w:t>
      </w:r>
      <w:r w:rsidR="002F0C2F" w:rsidRPr="000E4C47">
        <w:rPr>
          <w:rFonts w:ascii="Arial" w:hAnsi="Arial" w:cs="Arial"/>
          <w:kern w:val="24"/>
          <w:sz w:val="22"/>
          <w:szCs w:val="22"/>
        </w:rPr>
        <w:t xml:space="preserve"> </w:t>
      </w:r>
      <w:r w:rsidR="00AE5F09" w:rsidRPr="000E4C47">
        <w:rPr>
          <w:rFonts w:ascii="Arial" w:hAnsi="Arial" w:cs="Arial"/>
          <w:kern w:val="24"/>
          <w:sz w:val="22"/>
          <w:szCs w:val="22"/>
        </w:rPr>
        <w:t>del Impuesto a la Renta</w:t>
      </w:r>
      <w:r w:rsidR="001E4544" w:rsidRPr="000E4C47">
        <w:rPr>
          <w:rFonts w:ascii="Arial" w:hAnsi="Arial" w:cs="Arial"/>
          <w:kern w:val="24"/>
          <w:sz w:val="22"/>
          <w:szCs w:val="22"/>
        </w:rPr>
        <w:t>.</w:t>
      </w:r>
      <w:r w:rsidR="004E5178" w:rsidRPr="000E4C47">
        <w:rPr>
          <w:rFonts w:ascii="Arial" w:hAnsi="Arial" w:cs="Arial"/>
          <w:kern w:val="24"/>
          <w:sz w:val="22"/>
          <w:szCs w:val="22"/>
        </w:rPr>
        <w:t xml:space="preserve"> Cabe </w:t>
      </w:r>
      <w:r w:rsidR="00490D19" w:rsidRPr="000E4C47">
        <w:rPr>
          <w:rFonts w:ascii="Arial" w:hAnsi="Arial" w:cs="Arial"/>
          <w:kern w:val="24"/>
          <w:sz w:val="22"/>
          <w:szCs w:val="22"/>
        </w:rPr>
        <w:t xml:space="preserve">mencionar </w:t>
      </w:r>
      <w:r w:rsidR="00CA0A2A" w:rsidRPr="000E4C47">
        <w:rPr>
          <w:rFonts w:ascii="Arial" w:hAnsi="Arial" w:cs="Arial"/>
          <w:kern w:val="24"/>
          <w:sz w:val="22"/>
          <w:szCs w:val="22"/>
        </w:rPr>
        <w:t xml:space="preserve">que </w:t>
      </w:r>
      <w:r w:rsidR="001E4544" w:rsidRPr="000E4C47">
        <w:rPr>
          <w:rFonts w:ascii="Arial" w:hAnsi="Arial" w:cs="Arial"/>
          <w:kern w:val="24"/>
          <w:sz w:val="22"/>
          <w:szCs w:val="22"/>
        </w:rPr>
        <w:t>este monto</w:t>
      </w:r>
      <w:r w:rsidR="00CA0A2A" w:rsidRPr="000E4C47">
        <w:rPr>
          <w:rFonts w:ascii="Arial" w:hAnsi="Arial" w:cs="Arial"/>
          <w:kern w:val="24"/>
          <w:sz w:val="22"/>
          <w:szCs w:val="22"/>
        </w:rPr>
        <w:t xml:space="preserve">, </w:t>
      </w:r>
      <w:r w:rsidR="001E4544" w:rsidRPr="000E4C47">
        <w:rPr>
          <w:rFonts w:ascii="Arial" w:hAnsi="Arial" w:cs="Arial"/>
          <w:kern w:val="24"/>
          <w:sz w:val="22"/>
          <w:szCs w:val="22"/>
        </w:rPr>
        <w:t xml:space="preserve">registrado </w:t>
      </w:r>
      <w:r w:rsidR="002A7CBF" w:rsidRPr="000E4C47">
        <w:rPr>
          <w:rFonts w:ascii="Arial" w:hAnsi="Arial" w:cs="Arial"/>
          <w:kern w:val="24"/>
          <w:sz w:val="22"/>
          <w:szCs w:val="22"/>
        </w:rPr>
        <w:t>entre</w:t>
      </w:r>
      <w:r w:rsidR="00CA0A2A" w:rsidRPr="000E4C47">
        <w:rPr>
          <w:rFonts w:ascii="Arial" w:hAnsi="Arial" w:cs="Arial"/>
          <w:kern w:val="24"/>
          <w:sz w:val="22"/>
          <w:szCs w:val="22"/>
        </w:rPr>
        <w:t xml:space="preserve"> enero y abril de</w:t>
      </w:r>
      <w:r w:rsidRPr="000E4C47">
        <w:rPr>
          <w:rFonts w:ascii="Arial" w:hAnsi="Arial" w:cs="Arial"/>
          <w:kern w:val="24"/>
          <w:sz w:val="22"/>
          <w:szCs w:val="22"/>
        </w:rPr>
        <w:t>l</w:t>
      </w:r>
      <w:r w:rsidR="00CA0A2A" w:rsidRPr="000E4C47">
        <w:rPr>
          <w:rFonts w:ascii="Arial" w:hAnsi="Arial" w:cs="Arial"/>
          <w:kern w:val="24"/>
          <w:sz w:val="22"/>
          <w:szCs w:val="22"/>
        </w:rPr>
        <w:t xml:space="preserve"> 2023</w:t>
      </w:r>
      <w:r w:rsidR="002A7CBF" w:rsidRPr="000E4C47">
        <w:rPr>
          <w:rFonts w:ascii="Arial" w:hAnsi="Arial" w:cs="Arial"/>
          <w:kern w:val="24"/>
          <w:sz w:val="22"/>
          <w:szCs w:val="22"/>
        </w:rPr>
        <w:t>,</w:t>
      </w:r>
      <w:r w:rsidR="00CA0A2A" w:rsidRPr="000E4C47">
        <w:rPr>
          <w:rFonts w:ascii="Arial" w:hAnsi="Arial" w:cs="Arial"/>
          <w:kern w:val="24"/>
          <w:sz w:val="22"/>
          <w:szCs w:val="22"/>
        </w:rPr>
        <w:t xml:space="preserve"> corresponde a </w:t>
      </w:r>
      <w:r w:rsidR="00490D19" w:rsidRPr="000E4C47">
        <w:rPr>
          <w:rFonts w:ascii="Arial" w:hAnsi="Arial" w:cs="Arial"/>
          <w:kern w:val="24"/>
          <w:sz w:val="22"/>
          <w:szCs w:val="22"/>
        </w:rPr>
        <w:t xml:space="preserve">las operaciones del </w:t>
      </w:r>
      <w:r w:rsidR="0017495C" w:rsidRPr="000E4C47">
        <w:rPr>
          <w:rFonts w:ascii="Arial" w:hAnsi="Arial" w:cs="Arial"/>
          <w:kern w:val="24"/>
          <w:sz w:val="22"/>
          <w:szCs w:val="22"/>
        </w:rPr>
        <w:t>ejercicio fiscal 202</w:t>
      </w:r>
      <w:r w:rsidR="00382A48" w:rsidRPr="000E4C47">
        <w:rPr>
          <w:rFonts w:ascii="Arial" w:hAnsi="Arial" w:cs="Arial"/>
          <w:kern w:val="24"/>
          <w:sz w:val="22"/>
          <w:szCs w:val="22"/>
        </w:rPr>
        <w:t>2</w:t>
      </w:r>
      <w:r w:rsidR="00CA0A2A" w:rsidRPr="000E4C47">
        <w:rPr>
          <w:rFonts w:ascii="Arial" w:hAnsi="Arial" w:cs="Arial"/>
          <w:kern w:val="24"/>
          <w:sz w:val="22"/>
          <w:szCs w:val="22"/>
        </w:rPr>
        <w:t>.</w:t>
      </w:r>
    </w:p>
    <w:p w14:paraId="50BCF84D" w14:textId="77777777" w:rsidR="004E5178" w:rsidRPr="000E4C47" w:rsidRDefault="004E5178" w:rsidP="000E4C47">
      <w:pPr>
        <w:spacing w:after="0" w:line="240" w:lineRule="auto"/>
        <w:ind w:left="709"/>
        <w:jc w:val="both"/>
        <w:rPr>
          <w:rFonts w:ascii="Arial" w:hAnsi="Arial" w:cs="Arial"/>
          <w:kern w:val="24"/>
        </w:rPr>
      </w:pPr>
    </w:p>
    <w:p w14:paraId="6A031C8F" w14:textId="77777777" w:rsidR="000E4C47" w:rsidRPr="000E4C47" w:rsidRDefault="00D57CD9" w:rsidP="000E4C47">
      <w:pPr>
        <w:pStyle w:val="Prrafodelista"/>
        <w:ind w:left="1429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r w:rsidRPr="000E4C47">
        <w:rPr>
          <w:rFonts w:ascii="Arial" w:hAnsi="Arial" w:cs="Arial"/>
          <w:kern w:val="24"/>
          <w:sz w:val="22"/>
          <w:szCs w:val="22"/>
        </w:rPr>
        <w:lastRenderedPageBreak/>
        <w:t>En</w:t>
      </w:r>
      <w:r w:rsidR="00F2628F" w:rsidRPr="000E4C47">
        <w:rPr>
          <w:rFonts w:ascii="Arial" w:hAnsi="Arial" w:cs="Arial"/>
          <w:kern w:val="24"/>
          <w:sz w:val="22"/>
          <w:szCs w:val="22"/>
        </w:rPr>
        <w:t xml:space="preserve"> lo que respecta a los pagos a cuenta del Régimen General (RG) y el Régimen Mype Tributario</w:t>
      </w:r>
      <w:r w:rsidR="00777D9A" w:rsidRPr="000E4C47">
        <w:rPr>
          <w:rFonts w:ascii="Arial" w:hAnsi="Arial" w:cs="Arial"/>
          <w:kern w:val="24"/>
          <w:sz w:val="22"/>
          <w:szCs w:val="22"/>
        </w:rPr>
        <w:t xml:space="preserve"> (RMT)</w:t>
      </w:r>
      <w:r w:rsidR="00F2628F" w:rsidRPr="000E4C47">
        <w:rPr>
          <w:rFonts w:ascii="Arial" w:hAnsi="Arial" w:cs="Arial"/>
          <w:kern w:val="24"/>
          <w:sz w:val="22"/>
          <w:szCs w:val="22"/>
        </w:rPr>
        <w:t>, en el año</w:t>
      </w:r>
      <w:r w:rsidRPr="000E4C47">
        <w:rPr>
          <w:rFonts w:ascii="Arial" w:hAnsi="Arial" w:cs="Arial"/>
          <w:kern w:val="24"/>
          <w:sz w:val="22"/>
          <w:szCs w:val="22"/>
        </w:rPr>
        <w:t xml:space="preserve"> </w:t>
      </w:r>
      <w:r w:rsidR="0003019D" w:rsidRPr="000E4C47">
        <w:rPr>
          <w:rFonts w:ascii="Arial" w:hAnsi="Arial" w:cs="Arial"/>
          <w:kern w:val="24"/>
          <w:sz w:val="22"/>
          <w:szCs w:val="22"/>
        </w:rPr>
        <w:t>2023</w:t>
      </w:r>
      <w:r w:rsidRPr="000E4C47">
        <w:rPr>
          <w:rFonts w:ascii="Arial" w:hAnsi="Arial" w:cs="Arial"/>
          <w:kern w:val="24"/>
          <w:sz w:val="22"/>
          <w:szCs w:val="22"/>
        </w:rPr>
        <w:t xml:space="preserve"> se recaudaron S/ </w:t>
      </w:r>
      <w:r w:rsidR="008B2D6B" w:rsidRPr="000E4C47">
        <w:rPr>
          <w:rFonts w:ascii="Arial" w:hAnsi="Arial" w:cs="Arial"/>
          <w:kern w:val="24"/>
          <w:sz w:val="22"/>
          <w:szCs w:val="22"/>
        </w:rPr>
        <w:t>3</w:t>
      </w:r>
      <w:r w:rsidR="00505D1E" w:rsidRPr="000E4C47">
        <w:rPr>
          <w:rFonts w:ascii="Arial" w:hAnsi="Arial" w:cs="Arial"/>
          <w:kern w:val="24"/>
          <w:sz w:val="22"/>
          <w:szCs w:val="22"/>
        </w:rPr>
        <w:t>0</w:t>
      </w:r>
      <w:r w:rsidRPr="000E4C47">
        <w:rPr>
          <w:rFonts w:ascii="Arial" w:hAnsi="Arial" w:cs="Arial"/>
          <w:kern w:val="24"/>
          <w:sz w:val="22"/>
          <w:szCs w:val="22"/>
        </w:rPr>
        <w:t xml:space="preserve"> </w:t>
      </w:r>
      <w:r w:rsidR="00505D1E" w:rsidRPr="000E4C47">
        <w:rPr>
          <w:rFonts w:ascii="Arial" w:hAnsi="Arial" w:cs="Arial"/>
          <w:kern w:val="24"/>
          <w:sz w:val="22"/>
          <w:szCs w:val="22"/>
        </w:rPr>
        <w:t>437</w:t>
      </w:r>
      <w:r w:rsidR="00F2628F" w:rsidRPr="000E4C47">
        <w:rPr>
          <w:rFonts w:ascii="Arial" w:hAnsi="Arial" w:cs="Arial"/>
          <w:kern w:val="24"/>
          <w:sz w:val="22"/>
          <w:szCs w:val="22"/>
        </w:rPr>
        <w:t xml:space="preserve"> millones</w:t>
      </w:r>
      <w:r w:rsidRPr="000E4C47">
        <w:rPr>
          <w:rFonts w:ascii="Arial" w:hAnsi="Arial" w:cs="Arial"/>
          <w:kern w:val="24"/>
          <w:sz w:val="22"/>
          <w:szCs w:val="22"/>
        </w:rPr>
        <w:t>.</w:t>
      </w:r>
      <w:r w:rsidR="000E4C47" w:rsidRPr="000E4C47">
        <w:rPr>
          <w:rFonts w:ascii="Arial" w:hAnsi="Arial" w:cs="Arial"/>
          <w:kern w:val="24"/>
          <w:sz w:val="22"/>
          <w:szCs w:val="22"/>
        </w:rPr>
        <w:t xml:space="preserve"> </w:t>
      </w:r>
      <w:r w:rsidR="004E5178" w:rsidRPr="000E4C47">
        <w:rPr>
          <w:rFonts w:ascii="Arial" w:hAnsi="Arial" w:cs="Arial"/>
          <w:kern w:val="24"/>
          <w:sz w:val="22"/>
          <w:szCs w:val="22"/>
        </w:rPr>
        <w:t xml:space="preserve">Tal resultado </w:t>
      </w:r>
      <w:r w:rsidR="00B13734" w:rsidRPr="000E4C47">
        <w:rPr>
          <w:rFonts w:ascii="Arial" w:hAnsi="Arial" w:cs="Arial"/>
          <w:kern w:val="24"/>
          <w:sz w:val="22"/>
          <w:szCs w:val="22"/>
        </w:rPr>
        <w:t xml:space="preserve">fue </w:t>
      </w:r>
      <w:r w:rsidR="00DA522E" w:rsidRPr="000E4C47">
        <w:rPr>
          <w:rFonts w:ascii="Arial" w:hAnsi="Arial" w:cs="Arial"/>
          <w:kern w:val="24"/>
          <w:sz w:val="22"/>
          <w:szCs w:val="22"/>
        </w:rPr>
        <w:t>influenciad</w:t>
      </w:r>
      <w:r w:rsidR="004E5178" w:rsidRPr="000E4C47">
        <w:rPr>
          <w:rFonts w:ascii="Arial" w:hAnsi="Arial" w:cs="Arial"/>
          <w:kern w:val="24"/>
          <w:sz w:val="22"/>
          <w:szCs w:val="22"/>
        </w:rPr>
        <w:t>o</w:t>
      </w:r>
      <w:r w:rsidR="00B13734" w:rsidRPr="000E4C47">
        <w:rPr>
          <w:rFonts w:ascii="Arial" w:hAnsi="Arial" w:cs="Arial"/>
          <w:kern w:val="24"/>
          <w:sz w:val="22"/>
          <w:szCs w:val="22"/>
        </w:rPr>
        <w:t xml:space="preserve"> por los </w:t>
      </w:r>
      <w:r w:rsidR="009028A6" w:rsidRPr="000E4C47">
        <w:rPr>
          <w:rFonts w:ascii="Arial" w:hAnsi="Arial" w:cs="Arial"/>
          <w:kern w:val="24"/>
          <w:sz w:val="22"/>
          <w:szCs w:val="22"/>
        </w:rPr>
        <w:t>m</w:t>
      </w:r>
      <w:r w:rsidR="00DA522E" w:rsidRPr="000E4C47">
        <w:rPr>
          <w:rFonts w:ascii="Arial" w:hAnsi="Arial" w:cs="Arial"/>
          <w:kern w:val="24"/>
          <w:sz w:val="22"/>
          <w:szCs w:val="22"/>
        </w:rPr>
        <w:t>eno</w:t>
      </w:r>
      <w:r w:rsidR="009028A6" w:rsidRPr="000E4C47">
        <w:rPr>
          <w:rFonts w:ascii="Arial" w:hAnsi="Arial" w:cs="Arial"/>
          <w:kern w:val="24"/>
          <w:sz w:val="22"/>
          <w:szCs w:val="22"/>
        </w:rPr>
        <w:t xml:space="preserve">res coeficientes </w:t>
      </w:r>
      <w:r w:rsidR="002E2445" w:rsidRPr="000E4C47">
        <w:rPr>
          <w:rFonts w:ascii="Arial" w:hAnsi="Arial" w:cs="Arial"/>
          <w:kern w:val="24"/>
          <w:sz w:val="22"/>
          <w:szCs w:val="22"/>
        </w:rPr>
        <w:t xml:space="preserve">usados </w:t>
      </w:r>
      <w:r w:rsidR="009028A6" w:rsidRPr="000E4C47">
        <w:rPr>
          <w:rFonts w:ascii="Arial" w:hAnsi="Arial" w:cs="Arial"/>
          <w:kern w:val="24"/>
          <w:sz w:val="22"/>
          <w:szCs w:val="22"/>
        </w:rPr>
        <w:t>para efectuar la determinación y pago</w:t>
      </w:r>
      <w:r w:rsidR="00B13734" w:rsidRPr="000E4C47">
        <w:rPr>
          <w:rFonts w:ascii="Arial" w:hAnsi="Arial" w:cs="Arial"/>
          <w:kern w:val="24"/>
          <w:sz w:val="22"/>
          <w:szCs w:val="22"/>
        </w:rPr>
        <w:t xml:space="preserve">. </w:t>
      </w:r>
    </w:p>
    <w:p w14:paraId="7D818D4C" w14:textId="77777777" w:rsidR="000E4C47" w:rsidRPr="000E4C47" w:rsidRDefault="000E4C47" w:rsidP="000E4C47">
      <w:pPr>
        <w:pStyle w:val="Prrafodelista"/>
        <w:ind w:left="1429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</w:p>
    <w:p w14:paraId="51D3AE1C" w14:textId="6B82C79F" w:rsidR="00B13734" w:rsidRPr="000E4C47" w:rsidRDefault="000E4C47" w:rsidP="000E4C47">
      <w:pPr>
        <w:pStyle w:val="Prrafodelista"/>
        <w:ind w:left="1429"/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r w:rsidRPr="000E4C47">
        <w:rPr>
          <w:rFonts w:ascii="Arial" w:hAnsi="Arial" w:cs="Arial"/>
          <w:kern w:val="24"/>
          <w:sz w:val="22"/>
          <w:szCs w:val="22"/>
        </w:rPr>
        <w:t>D</w:t>
      </w:r>
      <w:r w:rsidR="00CA0A2A" w:rsidRPr="000E4C47">
        <w:rPr>
          <w:rFonts w:ascii="Arial" w:hAnsi="Arial" w:cs="Arial"/>
          <w:kern w:val="24"/>
          <w:sz w:val="22"/>
          <w:szCs w:val="22"/>
        </w:rPr>
        <w:t>urante</w:t>
      </w:r>
      <w:r w:rsidR="00B13734" w:rsidRPr="000E4C47">
        <w:rPr>
          <w:rFonts w:ascii="Arial" w:hAnsi="Arial" w:cs="Arial"/>
          <w:kern w:val="24"/>
          <w:sz w:val="22"/>
          <w:szCs w:val="22"/>
        </w:rPr>
        <w:t xml:space="preserve"> la regularización del ejercicio fiscal </w:t>
      </w:r>
      <w:r w:rsidR="00CA0A2A" w:rsidRPr="000E4C47">
        <w:rPr>
          <w:rFonts w:ascii="Arial" w:hAnsi="Arial" w:cs="Arial"/>
          <w:kern w:val="24"/>
          <w:sz w:val="22"/>
          <w:szCs w:val="22"/>
        </w:rPr>
        <w:t>los contribuyentes reportaron un significativo</w:t>
      </w:r>
      <w:r w:rsidR="00B13734" w:rsidRPr="000E4C47">
        <w:rPr>
          <w:rFonts w:ascii="Arial" w:hAnsi="Arial" w:cs="Arial"/>
          <w:kern w:val="24"/>
          <w:sz w:val="22"/>
          <w:szCs w:val="22"/>
        </w:rPr>
        <w:t xml:space="preserve"> </w:t>
      </w:r>
      <w:r w:rsidR="00DA522E" w:rsidRPr="000E4C47">
        <w:rPr>
          <w:rFonts w:ascii="Arial" w:hAnsi="Arial" w:cs="Arial"/>
          <w:kern w:val="24"/>
          <w:sz w:val="22"/>
          <w:szCs w:val="22"/>
        </w:rPr>
        <w:t xml:space="preserve">incremento </w:t>
      </w:r>
      <w:r w:rsidR="00CA0A2A" w:rsidRPr="000E4C47">
        <w:rPr>
          <w:rFonts w:ascii="Arial" w:hAnsi="Arial" w:cs="Arial"/>
          <w:kern w:val="24"/>
          <w:sz w:val="22"/>
          <w:szCs w:val="22"/>
        </w:rPr>
        <w:t>en</w:t>
      </w:r>
      <w:r w:rsidR="00426E1B" w:rsidRPr="000E4C47">
        <w:rPr>
          <w:rFonts w:ascii="Arial" w:hAnsi="Arial" w:cs="Arial"/>
          <w:kern w:val="24"/>
          <w:sz w:val="22"/>
          <w:szCs w:val="22"/>
        </w:rPr>
        <w:t xml:space="preserve"> </w:t>
      </w:r>
      <w:r w:rsidR="00B13734" w:rsidRPr="000E4C47">
        <w:rPr>
          <w:rFonts w:ascii="Arial" w:hAnsi="Arial" w:cs="Arial"/>
          <w:kern w:val="24"/>
          <w:sz w:val="22"/>
          <w:szCs w:val="22"/>
        </w:rPr>
        <w:t xml:space="preserve">los </w:t>
      </w:r>
      <w:r w:rsidR="00426E1B" w:rsidRPr="000E4C47">
        <w:rPr>
          <w:rFonts w:ascii="Arial" w:hAnsi="Arial" w:cs="Arial"/>
          <w:kern w:val="24"/>
          <w:sz w:val="22"/>
          <w:szCs w:val="22"/>
        </w:rPr>
        <w:t>saldos a favor</w:t>
      </w:r>
      <w:r w:rsidR="002E2445" w:rsidRPr="000E4C47">
        <w:rPr>
          <w:rFonts w:ascii="Arial" w:hAnsi="Arial" w:cs="Arial"/>
          <w:kern w:val="24"/>
          <w:sz w:val="22"/>
          <w:szCs w:val="22"/>
        </w:rPr>
        <w:t xml:space="preserve"> del impuesto, </w:t>
      </w:r>
      <w:r w:rsidR="00426E1B" w:rsidRPr="000E4C47">
        <w:rPr>
          <w:rFonts w:ascii="Arial" w:hAnsi="Arial" w:cs="Arial"/>
          <w:kern w:val="24"/>
          <w:sz w:val="22"/>
          <w:szCs w:val="22"/>
        </w:rPr>
        <w:t xml:space="preserve">que </w:t>
      </w:r>
      <w:r>
        <w:rPr>
          <w:rFonts w:ascii="Arial" w:hAnsi="Arial" w:cs="Arial"/>
          <w:kern w:val="24"/>
          <w:sz w:val="22"/>
          <w:szCs w:val="22"/>
        </w:rPr>
        <w:t xml:space="preserve">se utilizaron </w:t>
      </w:r>
      <w:r w:rsidR="00426E1B" w:rsidRPr="000E4C47">
        <w:rPr>
          <w:rFonts w:ascii="Arial" w:hAnsi="Arial" w:cs="Arial"/>
          <w:kern w:val="24"/>
          <w:sz w:val="22"/>
          <w:szCs w:val="22"/>
        </w:rPr>
        <w:t>contra sus obligaciones corrientes</w:t>
      </w:r>
      <w:r w:rsidR="002E2445" w:rsidRPr="000E4C47">
        <w:rPr>
          <w:rFonts w:ascii="Arial" w:hAnsi="Arial" w:cs="Arial"/>
          <w:kern w:val="24"/>
          <w:sz w:val="22"/>
          <w:szCs w:val="22"/>
        </w:rPr>
        <w:t xml:space="preserve">, reduciendo los importes </w:t>
      </w:r>
      <w:r w:rsidR="00CA0A2A" w:rsidRPr="000E4C47">
        <w:rPr>
          <w:rFonts w:ascii="Arial" w:hAnsi="Arial" w:cs="Arial"/>
          <w:kern w:val="24"/>
          <w:sz w:val="22"/>
          <w:szCs w:val="22"/>
        </w:rPr>
        <w:t>efectivamente recaudados</w:t>
      </w:r>
      <w:r w:rsidR="00B13734" w:rsidRPr="000E4C47">
        <w:rPr>
          <w:rFonts w:ascii="Arial" w:hAnsi="Arial" w:cs="Arial"/>
          <w:kern w:val="24"/>
          <w:sz w:val="22"/>
          <w:szCs w:val="22"/>
        </w:rPr>
        <w:t>.</w:t>
      </w:r>
    </w:p>
    <w:p w14:paraId="103201DC" w14:textId="77777777" w:rsidR="004E5178" w:rsidRPr="000E4C47" w:rsidRDefault="004E5178" w:rsidP="000E4C47">
      <w:pPr>
        <w:spacing w:after="0" w:line="240" w:lineRule="auto"/>
        <w:ind w:left="709"/>
        <w:jc w:val="both"/>
        <w:rPr>
          <w:rFonts w:ascii="Arial" w:hAnsi="Arial" w:cs="Arial"/>
          <w:kern w:val="24"/>
        </w:rPr>
      </w:pPr>
    </w:p>
    <w:p w14:paraId="5C4285D3" w14:textId="446AA402" w:rsidR="001323DE" w:rsidRPr="000E4C47" w:rsidRDefault="000E4C47" w:rsidP="000E4C47">
      <w:pPr>
        <w:spacing w:after="0" w:line="240" w:lineRule="auto"/>
        <w:ind w:left="1416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Finalmente, estos </w:t>
      </w:r>
      <w:r w:rsidR="00F91E18" w:rsidRPr="000E4C47">
        <w:rPr>
          <w:rFonts w:ascii="Arial" w:hAnsi="Arial" w:cs="Arial"/>
          <w:kern w:val="24"/>
        </w:rPr>
        <w:t xml:space="preserve">resultados fueron compensados por los mayores ingresos registrados en los sectores de intermediación financiera, generación de energía eléctrica y agua, así como turismo y hotelería cuya recaudación se incrementó en 61,9%, 20,0% y 16,1%, respectivamente. </w:t>
      </w:r>
    </w:p>
    <w:p w14:paraId="23AE44ED" w14:textId="77777777" w:rsidR="00F91E18" w:rsidRPr="00B075BE" w:rsidRDefault="00F91E18" w:rsidP="00C63E08">
      <w:pPr>
        <w:spacing w:after="0" w:line="240" w:lineRule="auto"/>
        <w:ind w:left="709"/>
        <w:jc w:val="both"/>
        <w:rPr>
          <w:rFonts w:ascii="Arial" w:hAnsi="Arial" w:cs="Arial"/>
          <w:kern w:val="24"/>
        </w:rPr>
      </w:pPr>
    </w:p>
    <w:p w14:paraId="2C677855" w14:textId="4EA88A52" w:rsidR="00343AE8" w:rsidRPr="00B075BE" w:rsidRDefault="00D57CD9" w:rsidP="00C40B55">
      <w:pPr>
        <w:pStyle w:val="Prrafodelista"/>
        <w:numPr>
          <w:ilvl w:val="0"/>
          <w:numId w:val="20"/>
        </w:numPr>
        <w:ind w:left="1416"/>
        <w:contextualSpacing w:val="0"/>
        <w:jc w:val="both"/>
        <w:rPr>
          <w:rFonts w:ascii="Arial" w:hAnsi="Arial" w:cs="Arial"/>
          <w:kern w:val="24"/>
          <w:sz w:val="22"/>
          <w:szCs w:val="22"/>
          <w:lang w:val="es-ES"/>
        </w:rPr>
      </w:pPr>
      <w:r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La </w:t>
      </w:r>
      <w:r w:rsidRPr="00B075BE">
        <w:rPr>
          <w:rFonts w:ascii="Arial" w:hAnsi="Arial" w:cs="Arial"/>
          <w:kern w:val="24"/>
          <w:sz w:val="22"/>
          <w:szCs w:val="22"/>
        </w:rPr>
        <w:t>recaudación</w:t>
      </w:r>
      <w:r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 por </w:t>
      </w:r>
      <w:r w:rsidR="006D1EE3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el </w:t>
      </w:r>
      <w:r w:rsidR="006D1EE3" w:rsidRPr="00B075BE">
        <w:rPr>
          <w:rFonts w:ascii="Arial" w:hAnsi="Arial" w:cs="Arial"/>
          <w:b/>
          <w:bCs/>
          <w:kern w:val="24"/>
          <w:sz w:val="22"/>
          <w:szCs w:val="22"/>
          <w:lang w:val="es-ES"/>
        </w:rPr>
        <w:t>Impuesto General a las Ventas</w:t>
      </w:r>
      <w:r w:rsidR="006D1EE3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 (IGV) </w:t>
      </w:r>
      <w:r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ascendió a S/ </w:t>
      </w:r>
      <w:r w:rsidR="00734DA0" w:rsidRPr="00B075BE">
        <w:rPr>
          <w:rFonts w:ascii="Arial" w:hAnsi="Arial" w:cs="Arial"/>
          <w:kern w:val="24"/>
          <w:sz w:val="22"/>
          <w:szCs w:val="22"/>
          <w:lang w:val="es-ES"/>
        </w:rPr>
        <w:t>8</w:t>
      </w:r>
      <w:r w:rsidR="00CA0318" w:rsidRPr="00B075BE">
        <w:rPr>
          <w:rFonts w:ascii="Arial" w:hAnsi="Arial" w:cs="Arial"/>
          <w:kern w:val="24"/>
          <w:sz w:val="22"/>
          <w:szCs w:val="22"/>
          <w:lang w:val="es-ES"/>
        </w:rPr>
        <w:t>3</w:t>
      </w:r>
      <w:r w:rsidR="00B60867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CA0318" w:rsidRPr="00B075BE">
        <w:rPr>
          <w:rFonts w:ascii="Arial" w:hAnsi="Arial" w:cs="Arial"/>
          <w:kern w:val="24"/>
          <w:sz w:val="22"/>
          <w:szCs w:val="22"/>
          <w:lang w:val="es-ES"/>
        </w:rPr>
        <w:t>44</w:t>
      </w:r>
      <w:r w:rsidR="0049787A" w:rsidRPr="00B075BE">
        <w:rPr>
          <w:rFonts w:ascii="Arial" w:hAnsi="Arial" w:cs="Arial"/>
          <w:kern w:val="24"/>
          <w:sz w:val="22"/>
          <w:szCs w:val="22"/>
          <w:lang w:val="es-ES"/>
        </w:rPr>
        <w:t>4</w:t>
      </w:r>
      <w:r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 millones </w:t>
      </w:r>
      <w:r w:rsidR="007349CA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durante el año </w:t>
      </w:r>
      <w:r w:rsidR="0003019D" w:rsidRPr="00B075BE">
        <w:rPr>
          <w:rFonts w:ascii="Arial" w:hAnsi="Arial" w:cs="Arial"/>
          <w:kern w:val="24"/>
          <w:sz w:val="22"/>
          <w:szCs w:val="22"/>
          <w:lang w:val="es-ES"/>
        </w:rPr>
        <w:t>2023</w:t>
      </w:r>
      <w:r w:rsidR="009D76B1" w:rsidRPr="00B075BE">
        <w:rPr>
          <w:rFonts w:ascii="Arial" w:hAnsi="Arial" w:cs="Arial"/>
          <w:kern w:val="24"/>
          <w:sz w:val="22"/>
          <w:szCs w:val="22"/>
          <w:lang w:val="es-ES"/>
        </w:rPr>
        <w:t>.</w:t>
      </w:r>
      <w:r w:rsidR="00F2628F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343AE8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A nivel de componentes, el IGV </w:t>
      </w:r>
      <w:r w:rsidR="006D1EE3" w:rsidRPr="00B075BE">
        <w:rPr>
          <w:rFonts w:ascii="Arial" w:hAnsi="Arial" w:cs="Arial"/>
          <w:kern w:val="24"/>
          <w:sz w:val="22"/>
          <w:szCs w:val="22"/>
          <w:lang w:val="es-ES"/>
        </w:rPr>
        <w:t>I</w:t>
      </w:r>
      <w:r w:rsidR="00343AE8" w:rsidRPr="00B075BE">
        <w:rPr>
          <w:rFonts w:ascii="Arial" w:hAnsi="Arial" w:cs="Arial"/>
          <w:kern w:val="24"/>
          <w:sz w:val="22"/>
          <w:szCs w:val="22"/>
          <w:lang w:val="es-ES"/>
        </w:rPr>
        <w:t>nterno registró una recaudación de S/ 4</w:t>
      </w:r>
      <w:r w:rsidR="00E3095C" w:rsidRPr="00B075BE">
        <w:rPr>
          <w:rFonts w:ascii="Arial" w:hAnsi="Arial" w:cs="Arial"/>
          <w:kern w:val="24"/>
          <w:sz w:val="22"/>
          <w:szCs w:val="22"/>
          <w:lang w:val="es-ES"/>
        </w:rPr>
        <w:t>8</w:t>
      </w:r>
      <w:r w:rsidR="00343AE8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E3095C" w:rsidRPr="00B075BE">
        <w:rPr>
          <w:rFonts w:ascii="Arial" w:hAnsi="Arial" w:cs="Arial"/>
          <w:kern w:val="24"/>
          <w:sz w:val="22"/>
          <w:szCs w:val="22"/>
          <w:lang w:val="es-ES"/>
        </w:rPr>
        <w:t>052</w:t>
      </w:r>
      <w:r w:rsidR="00343AE8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 millones y el IGV </w:t>
      </w:r>
      <w:r w:rsidR="006D1EE3" w:rsidRPr="00B075BE">
        <w:rPr>
          <w:rFonts w:ascii="Arial" w:hAnsi="Arial" w:cs="Arial"/>
          <w:kern w:val="24"/>
          <w:sz w:val="22"/>
          <w:szCs w:val="22"/>
          <w:lang w:val="es-ES"/>
        </w:rPr>
        <w:t>I</w:t>
      </w:r>
      <w:r w:rsidR="00343AE8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mportaciones recaudó S/ </w:t>
      </w:r>
      <w:r w:rsidR="00E3095C" w:rsidRPr="00B075BE">
        <w:rPr>
          <w:rFonts w:ascii="Arial" w:hAnsi="Arial" w:cs="Arial"/>
          <w:kern w:val="24"/>
          <w:sz w:val="22"/>
          <w:szCs w:val="22"/>
          <w:lang w:val="es-ES"/>
        </w:rPr>
        <w:t>35 39</w:t>
      </w:r>
      <w:r w:rsidR="00462F17" w:rsidRPr="00B075BE">
        <w:rPr>
          <w:rFonts w:ascii="Arial" w:hAnsi="Arial" w:cs="Arial"/>
          <w:kern w:val="24"/>
          <w:sz w:val="22"/>
          <w:szCs w:val="22"/>
          <w:lang w:val="es-ES"/>
        </w:rPr>
        <w:t>3</w:t>
      </w:r>
      <w:r w:rsidR="00343AE8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 millones</w:t>
      </w:r>
      <w:r w:rsidR="00F91E18" w:rsidRPr="00B075BE">
        <w:rPr>
          <w:rFonts w:ascii="Arial" w:hAnsi="Arial" w:cs="Arial"/>
          <w:kern w:val="24"/>
          <w:sz w:val="22"/>
          <w:szCs w:val="22"/>
          <w:lang w:val="es-ES"/>
        </w:rPr>
        <w:t xml:space="preserve">. </w:t>
      </w:r>
    </w:p>
    <w:p w14:paraId="4827C65C" w14:textId="77777777" w:rsidR="00F91E18" w:rsidRPr="00B075BE" w:rsidRDefault="00F91E18" w:rsidP="00F91E18">
      <w:pPr>
        <w:spacing w:after="0" w:line="240" w:lineRule="auto"/>
        <w:ind w:left="1416"/>
        <w:jc w:val="both"/>
        <w:rPr>
          <w:rFonts w:ascii="Arial" w:hAnsi="Arial" w:cs="Arial"/>
        </w:rPr>
      </w:pPr>
    </w:p>
    <w:p w14:paraId="75E3D4F5" w14:textId="4A22BFCF" w:rsidR="003B2BD8" w:rsidRPr="00B075BE" w:rsidRDefault="00F91E18" w:rsidP="00F91E18">
      <w:pPr>
        <w:spacing w:after="0" w:line="240" w:lineRule="auto"/>
        <w:ind w:left="1416"/>
        <w:jc w:val="both"/>
        <w:rPr>
          <w:rFonts w:ascii="Arial" w:hAnsi="Arial" w:cs="Arial"/>
          <w:kern w:val="24"/>
          <w:lang w:val="es-ES"/>
        </w:rPr>
      </w:pPr>
      <w:r w:rsidRPr="00B075BE">
        <w:rPr>
          <w:rFonts w:ascii="Arial" w:hAnsi="Arial" w:cs="Arial"/>
          <w:kern w:val="24"/>
          <w:lang w:val="es-ES"/>
        </w:rPr>
        <w:t>El</w:t>
      </w:r>
      <w:r w:rsidR="006D1EE3" w:rsidRPr="00B075BE">
        <w:rPr>
          <w:rFonts w:ascii="Arial" w:hAnsi="Arial" w:cs="Arial"/>
          <w:kern w:val="24"/>
          <w:lang w:val="es-ES"/>
        </w:rPr>
        <w:t xml:space="preserve"> IGV Interno</w:t>
      </w:r>
      <w:r w:rsidR="008E567D" w:rsidRPr="00B075BE">
        <w:rPr>
          <w:rFonts w:ascii="Arial" w:hAnsi="Arial" w:cs="Arial"/>
          <w:kern w:val="24"/>
          <w:lang w:val="es-ES"/>
        </w:rPr>
        <w:t xml:space="preserve"> </w:t>
      </w:r>
      <w:r w:rsidR="00D57CD9" w:rsidRPr="00B075BE">
        <w:rPr>
          <w:rFonts w:ascii="Arial" w:hAnsi="Arial" w:cs="Arial"/>
          <w:kern w:val="24"/>
          <w:lang w:val="es-ES"/>
        </w:rPr>
        <w:t xml:space="preserve">se vio </w:t>
      </w:r>
      <w:r w:rsidR="00A848FC" w:rsidRPr="00B075BE">
        <w:rPr>
          <w:rFonts w:ascii="Arial" w:hAnsi="Arial" w:cs="Arial"/>
          <w:kern w:val="24"/>
          <w:lang w:val="es-ES"/>
        </w:rPr>
        <w:t>afectado</w:t>
      </w:r>
      <w:r w:rsidR="0017495C" w:rsidRPr="00B075BE">
        <w:rPr>
          <w:rFonts w:ascii="Arial" w:hAnsi="Arial" w:cs="Arial"/>
          <w:kern w:val="24"/>
          <w:lang w:val="es-ES"/>
        </w:rPr>
        <w:t xml:space="preserve"> por los </w:t>
      </w:r>
      <w:r w:rsidR="00A848FC" w:rsidRPr="00B075BE">
        <w:rPr>
          <w:rFonts w:ascii="Arial" w:hAnsi="Arial" w:cs="Arial"/>
          <w:kern w:val="24"/>
          <w:lang w:val="es-ES"/>
        </w:rPr>
        <w:t>menores</w:t>
      </w:r>
      <w:r w:rsidR="0017495C" w:rsidRPr="00B075BE">
        <w:rPr>
          <w:rFonts w:ascii="Arial" w:hAnsi="Arial" w:cs="Arial"/>
          <w:kern w:val="24"/>
          <w:lang w:val="es-ES"/>
        </w:rPr>
        <w:t xml:space="preserve"> pagos de sectores</w:t>
      </w:r>
      <w:r w:rsidR="003B2BD8" w:rsidRPr="00B075BE">
        <w:rPr>
          <w:rFonts w:ascii="Arial" w:hAnsi="Arial" w:cs="Arial"/>
          <w:kern w:val="24"/>
          <w:lang w:val="es-ES"/>
        </w:rPr>
        <w:t xml:space="preserve"> tales como</w:t>
      </w:r>
      <w:r w:rsidR="0017495C" w:rsidRPr="00B075BE">
        <w:rPr>
          <w:rFonts w:ascii="Arial" w:hAnsi="Arial" w:cs="Arial"/>
          <w:kern w:val="24"/>
          <w:lang w:val="es-ES"/>
        </w:rPr>
        <w:t xml:space="preserve"> hidrocarburos</w:t>
      </w:r>
      <w:r w:rsidR="009D76B1" w:rsidRPr="00B075BE">
        <w:rPr>
          <w:rFonts w:ascii="Arial" w:hAnsi="Arial" w:cs="Arial"/>
          <w:kern w:val="24"/>
          <w:lang w:val="es-ES"/>
        </w:rPr>
        <w:t xml:space="preserve">, </w:t>
      </w:r>
      <w:r w:rsidR="00A848FC" w:rsidRPr="00B075BE">
        <w:rPr>
          <w:rFonts w:ascii="Arial" w:hAnsi="Arial" w:cs="Arial"/>
          <w:kern w:val="24"/>
          <w:lang w:val="es-ES"/>
        </w:rPr>
        <w:t>procesadores de recursos primarios,</w:t>
      </w:r>
      <w:r w:rsidR="0017495C" w:rsidRPr="00B075BE">
        <w:rPr>
          <w:rFonts w:ascii="Arial" w:hAnsi="Arial" w:cs="Arial"/>
          <w:kern w:val="24"/>
          <w:lang w:val="es-ES"/>
        </w:rPr>
        <w:t xml:space="preserve"> </w:t>
      </w:r>
      <w:r w:rsidR="00A848FC" w:rsidRPr="00B075BE">
        <w:rPr>
          <w:rFonts w:ascii="Arial" w:hAnsi="Arial" w:cs="Arial"/>
          <w:kern w:val="24"/>
          <w:lang w:val="es-ES"/>
        </w:rPr>
        <w:t>telecomunicaciones y</w:t>
      </w:r>
      <w:r w:rsidR="000E4C47">
        <w:rPr>
          <w:rFonts w:ascii="Arial" w:hAnsi="Arial" w:cs="Arial"/>
          <w:kern w:val="24"/>
          <w:lang w:val="es-ES"/>
        </w:rPr>
        <w:t>,</w:t>
      </w:r>
      <w:r w:rsidR="00A848FC" w:rsidRPr="00B075BE">
        <w:rPr>
          <w:rFonts w:ascii="Arial" w:hAnsi="Arial" w:cs="Arial"/>
          <w:kern w:val="24"/>
          <w:lang w:val="es-ES"/>
        </w:rPr>
        <w:t xml:space="preserve"> </w:t>
      </w:r>
      <w:r w:rsidR="0017495C" w:rsidRPr="00B075BE">
        <w:rPr>
          <w:rFonts w:ascii="Arial" w:hAnsi="Arial" w:cs="Arial"/>
          <w:kern w:val="24"/>
          <w:lang w:val="es-ES"/>
        </w:rPr>
        <w:t>turismo y hotelería</w:t>
      </w:r>
      <w:r w:rsidR="008E567D" w:rsidRPr="00B075BE">
        <w:rPr>
          <w:rFonts w:ascii="Arial" w:hAnsi="Arial" w:cs="Arial"/>
          <w:kern w:val="24"/>
          <w:lang w:val="es-ES"/>
        </w:rPr>
        <w:t xml:space="preserve">. </w:t>
      </w:r>
    </w:p>
    <w:p w14:paraId="368AC11F" w14:textId="77777777" w:rsidR="00F91E18" w:rsidRPr="00B075BE" w:rsidRDefault="00F91E18" w:rsidP="00C63E08">
      <w:pPr>
        <w:spacing w:after="0" w:line="240" w:lineRule="auto"/>
        <w:ind w:left="709"/>
        <w:jc w:val="both"/>
        <w:rPr>
          <w:rFonts w:ascii="Arial" w:hAnsi="Arial" w:cs="Arial"/>
          <w:kern w:val="24"/>
          <w:lang w:val="es-ES"/>
        </w:rPr>
      </w:pPr>
    </w:p>
    <w:p w14:paraId="382A4F71" w14:textId="45833AFB" w:rsidR="00A848FC" w:rsidRPr="00B075BE" w:rsidRDefault="00F91E18" w:rsidP="00F91E18">
      <w:pPr>
        <w:spacing w:after="0" w:line="240" w:lineRule="auto"/>
        <w:ind w:left="1416"/>
        <w:jc w:val="both"/>
        <w:rPr>
          <w:rFonts w:ascii="Arial" w:hAnsi="Arial" w:cs="Arial"/>
          <w:kern w:val="24"/>
          <w:highlight w:val="yellow"/>
          <w:lang w:val="es-ES"/>
        </w:rPr>
      </w:pPr>
      <w:r w:rsidRPr="00B075BE">
        <w:rPr>
          <w:rFonts w:ascii="Arial" w:hAnsi="Arial" w:cs="Arial"/>
          <w:kern w:val="24"/>
          <w:lang w:val="es-ES"/>
        </w:rPr>
        <w:t>E</w:t>
      </w:r>
      <w:r w:rsidR="003B2BD8" w:rsidRPr="00B075BE">
        <w:rPr>
          <w:rFonts w:ascii="Arial" w:hAnsi="Arial" w:cs="Arial"/>
          <w:kern w:val="24"/>
          <w:lang w:val="es-ES"/>
        </w:rPr>
        <w:t>n el caso específico del</w:t>
      </w:r>
      <w:r w:rsidR="00EF147C" w:rsidRPr="00B075BE">
        <w:rPr>
          <w:rFonts w:ascii="Arial" w:hAnsi="Arial" w:cs="Arial"/>
          <w:kern w:val="24"/>
          <w:lang w:val="es-ES"/>
        </w:rPr>
        <w:t xml:space="preserve"> sector turismo y hotelería</w:t>
      </w:r>
      <w:r w:rsidR="003B2BD8" w:rsidRPr="00B075BE">
        <w:rPr>
          <w:rFonts w:ascii="Arial" w:hAnsi="Arial" w:cs="Arial"/>
          <w:kern w:val="24"/>
          <w:lang w:val="es-ES"/>
        </w:rPr>
        <w:t xml:space="preserve">, </w:t>
      </w:r>
      <w:r w:rsidR="009D76B1" w:rsidRPr="00B075BE">
        <w:rPr>
          <w:rFonts w:ascii="Arial" w:hAnsi="Arial" w:cs="Arial"/>
          <w:kern w:val="24"/>
          <w:lang w:val="es-ES"/>
        </w:rPr>
        <w:t>el resultado</w:t>
      </w:r>
      <w:r w:rsidR="006D1EE3" w:rsidRPr="00B075BE">
        <w:rPr>
          <w:rFonts w:ascii="Arial" w:hAnsi="Arial" w:cs="Arial"/>
          <w:kern w:val="24"/>
          <w:lang w:val="es-ES"/>
        </w:rPr>
        <w:t xml:space="preserve"> </w:t>
      </w:r>
      <w:r w:rsidR="009D76B1" w:rsidRPr="00B075BE">
        <w:rPr>
          <w:rFonts w:ascii="Arial" w:hAnsi="Arial" w:cs="Arial"/>
          <w:kern w:val="24"/>
          <w:lang w:val="es-ES"/>
        </w:rPr>
        <w:t>obedece no solo</w:t>
      </w:r>
      <w:r w:rsidR="003B2BD8" w:rsidRPr="00B075BE">
        <w:rPr>
          <w:rFonts w:ascii="Arial" w:hAnsi="Arial" w:cs="Arial"/>
          <w:kern w:val="24"/>
          <w:lang w:val="es-ES"/>
        </w:rPr>
        <w:t xml:space="preserve"> a la menor demanda interna sino al</w:t>
      </w:r>
      <w:r w:rsidR="00EF147C" w:rsidRPr="00B075BE">
        <w:rPr>
          <w:rFonts w:ascii="Arial" w:hAnsi="Arial" w:cs="Arial"/>
          <w:kern w:val="24"/>
          <w:lang w:val="es-ES"/>
        </w:rPr>
        <w:t xml:space="preserve"> impacto negativo </w:t>
      </w:r>
      <w:r w:rsidR="003B2BD8" w:rsidRPr="00B075BE">
        <w:rPr>
          <w:rFonts w:ascii="Arial" w:hAnsi="Arial" w:cs="Arial"/>
          <w:kern w:val="24"/>
          <w:lang w:val="es-ES"/>
        </w:rPr>
        <w:t>generado por l</w:t>
      </w:r>
      <w:r w:rsidR="00EF147C" w:rsidRPr="00B075BE">
        <w:rPr>
          <w:rFonts w:ascii="Arial" w:hAnsi="Arial" w:cs="Arial"/>
          <w:kern w:val="24"/>
          <w:lang w:val="es-ES"/>
        </w:rPr>
        <w:t xml:space="preserve">a </w:t>
      </w:r>
      <w:r w:rsidR="003B2BD8" w:rsidRPr="00B075BE">
        <w:rPr>
          <w:rFonts w:ascii="Arial" w:hAnsi="Arial" w:cs="Arial"/>
          <w:kern w:val="24"/>
          <w:lang w:val="es-ES"/>
        </w:rPr>
        <w:t xml:space="preserve">Ley N° 31556, que dispuso la aplicación </w:t>
      </w:r>
      <w:r w:rsidR="00140CE8" w:rsidRPr="00B075BE">
        <w:rPr>
          <w:rFonts w:ascii="Arial" w:hAnsi="Arial" w:cs="Arial"/>
          <w:kern w:val="24"/>
          <w:lang w:val="es-ES"/>
        </w:rPr>
        <w:t xml:space="preserve">temporal, hasta finales </w:t>
      </w:r>
      <w:r w:rsidRPr="00B075BE">
        <w:rPr>
          <w:rFonts w:ascii="Arial" w:hAnsi="Arial" w:cs="Arial"/>
          <w:kern w:val="24"/>
          <w:lang w:val="es-ES"/>
        </w:rPr>
        <w:t xml:space="preserve">de </w:t>
      </w:r>
      <w:r w:rsidR="00140CE8" w:rsidRPr="00B075BE">
        <w:rPr>
          <w:rFonts w:ascii="Arial" w:hAnsi="Arial" w:cs="Arial"/>
          <w:kern w:val="24"/>
          <w:lang w:val="es-ES"/>
        </w:rPr>
        <w:t xml:space="preserve">2024, </w:t>
      </w:r>
      <w:r w:rsidR="003B2BD8" w:rsidRPr="00B075BE">
        <w:rPr>
          <w:rFonts w:ascii="Arial" w:hAnsi="Arial" w:cs="Arial"/>
          <w:kern w:val="24"/>
          <w:lang w:val="es-ES"/>
        </w:rPr>
        <w:t xml:space="preserve">de </w:t>
      </w:r>
      <w:r w:rsidR="00EF147C" w:rsidRPr="00B075BE">
        <w:rPr>
          <w:rFonts w:ascii="Arial" w:hAnsi="Arial" w:cs="Arial"/>
          <w:kern w:val="24"/>
          <w:lang w:val="es-ES"/>
        </w:rPr>
        <w:t xml:space="preserve">una tasa reducida </w:t>
      </w:r>
      <w:r w:rsidR="006D1EE3" w:rsidRPr="00B075BE">
        <w:rPr>
          <w:rFonts w:ascii="Arial" w:hAnsi="Arial" w:cs="Arial"/>
          <w:kern w:val="24"/>
          <w:lang w:val="es-ES"/>
        </w:rPr>
        <w:t>del impuesto</w:t>
      </w:r>
      <w:r w:rsidR="00EF147C" w:rsidRPr="00B075BE">
        <w:rPr>
          <w:rFonts w:ascii="Arial" w:hAnsi="Arial" w:cs="Arial"/>
          <w:kern w:val="24"/>
          <w:lang w:val="es-ES"/>
        </w:rPr>
        <w:t xml:space="preserve"> para los restaurantes y hoteles MYPES</w:t>
      </w:r>
      <w:r w:rsidR="006D1EE3" w:rsidRPr="00B075BE">
        <w:rPr>
          <w:rFonts w:ascii="Arial" w:hAnsi="Arial" w:cs="Arial"/>
          <w:kern w:val="24"/>
          <w:lang w:val="es-ES"/>
        </w:rPr>
        <w:t>.</w:t>
      </w:r>
      <w:r w:rsidR="00EF147C" w:rsidRPr="00B075BE">
        <w:rPr>
          <w:rFonts w:ascii="Arial" w:hAnsi="Arial" w:cs="Arial"/>
          <w:kern w:val="24"/>
          <w:highlight w:val="yellow"/>
          <w:lang w:val="es-ES"/>
        </w:rPr>
        <w:t xml:space="preserve"> </w:t>
      </w:r>
    </w:p>
    <w:p w14:paraId="0F6C7017" w14:textId="77777777" w:rsidR="00F91E18" w:rsidRPr="00C63E08" w:rsidRDefault="00F91E18" w:rsidP="00C63E08">
      <w:pPr>
        <w:spacing w:after="0" w:line="240" w:lineRule="auto"/>
        <w:ind w:left="709"/>
        <w:jc w:val="both"/>
        <w:rPr>
          <w:rFonts w:ascii="Arial" w:hAnsi="Arial" w:cs="Arial"/>
          <w:kern w:val="24"/>
          <w:highlight w:val="yellow"/>
          <w:lang w:val="es-ES"/>
        </w:rPr>
      </w:pPr>
    </w:p>
    <w:p w14:paraId="17B0E479" w14:textId="62FD16A0" w:rsidR="00D57CD9" w:rsidRDefault="006D1EE3" w:rsidP="00F91E18">
      <w:pPr>
        <w:spacing w:after="0" w:line="240" w:lineRule="auto"/>
        <w:ind w:left="1416"/>
        <w:jc w:val="both"/>
        <w:rPr>
          <w:rFonts w:ascii="Arial" w:hAnsi="Arial" w:cs="Arial"/>
          <w:kern w:val="24"/>
          <w:lang w:val="es-ES"/>
        </w:rPr>
      </w:pPr>
      <w:r w:rsidRPr="00C63E08">
        <w:rPr>
          <w:rFonts w:ascii="Arial" w:hAnsi="Arial" w:cs="Arial"/>
          <w:kern w:val="24"/>
          <w:lang w:val="es-ES"/>
        </w:rPr>
        <w:t xml:space="preserve">En lo que respecta al IGV </w:t>
      </w:r>
      <w:r w:rsidR="000E4C47">
        <w:rPr>
          <w:rFonts w:ascii="Arial" w:hAnsi="Arial" w:cs="Arial"/>
          <w:kern w:val="24"/>
          <w:lang w:val="es-ES"/>
        </w:rPr>
        <w:t>de</w:t>
      </w:r>
      <w:r w:rsidRPr="00C63E08">
        <w:rPr>
          <w:rFonts w:ascii="Arial" w:hAnsi="Arial" w:cs="Arial"/>
          <w:kern w:val="24"/>
          <w:lang w:val="es-ES"/>
        </w:rPr>
        <w:t xml:space="preserve"> las operaciones de importación, </w:t>
      </w:r>
      <w:r w:rsidR="009D76B1">
        <w:rPr>
          <w:rFonts w:ascii="Arial" w:hAnsi="Arial" w:cs="Arial"/>
          <w:kern w:val="24"/>
          <w:lang w:val="es-ES"/>
        </w:rPr>
        <w:t>el resultado est</w:t>
      </w:r>
      <w:r w:rsidRPr="00C63E08">
        <w:rPr>
          <w:rFonts w:ascii="Arial" w:hAnsi="Arial" w:cs="Arial"/>
          <w:kern w:val="24"/>
          <w:lang w:val="es-ES"/>
        </w:rPr>
        <w:t>á vinculad</w:t>
      </w:r>
      <w:r w:rsidR="00B075BE">
        <w:rPr>
          <w:rFonts w:ascii="Arial" w:hAnsi="Arial" w:cs="Arial"/>
          <w:kern w:val="24"/>
          <w:lang w:val="es-ES"/>
        </w:rPr>
        <w:t>o</w:t>
      </w:r>
      <w:r w:rsidRPr="00C63E08">
        <w:rPr>
          <w:rFonts w:ascii="Arial" w:hAnsi="Arial" w:cs="Arial"/>
          <w:kern w:val="24"/>
          <w:lang w:val="es-ES"/>
        </w:rPr>
        <w:t xml:space="preserve"> tanto al r</w:t>
      </w:r>
      <w:r w:rsidR="00E3095C" w:rsidRPr="00C63E08">
        <w:rPr>
          <w:rFonts w:ascii="Arial" w:hAnsi="Arial" w:cs="Arial"/>
          <w:kern w:val="24"/>
          <w:lang w:val="es-ES"/>
        </w:rPr>
        <w:t>etroceso</w:t>
      </w:r>
      <w:r w:rsidR="0017495C" w:rsidRPr="00C63E08">
        <w:rPr>
          <w:rFonts w:ascii="Arial" w:hAnsi="Arial" w:cs="Arial"/>
          <w:kern w:val="24"/>
          <w:lang w:val="es-ES"/>
        </w:rPr>
        <w:t xml:space="preserve"> de las importaciones </w:t>
      </w:r>
      <w:r w:rsidR="00A90DDD" w:rsidRPr="00C63E08">
        <w:rPr>
          <w:rFonts w:ascii="Arial" w:hAnsi="Arial" w:cs="Arial"/>
          <w:kern w:val="24"/>
          <w:lang w:val="es-ES"/>
        </w:rPr>
        <w:t>CIF</w:t>
      </w:r>
      <w:r w:rsidRPr="00C63E08">
        <w:rPr>
          <w:rFonts w:ascii="Arial" w:hAnsi="Arial" w:cs="Arial"/>
          <w:kern w:val="24"/>
          <w:lang w:val="es-ES"/>
        </w:rPr>
        <w:t xml:space="preserve"> durante el año, como a la contracción </w:t>
      </w:r>
      <w:r w:rsidR="00511A02" w:rsidRPr="00C63E08">
        <w:rPr>
          <w:rFonts w:ascii="Arial" w:hAnsi="Arial" w:cs="Arial"/>
          <w:kern w:val="24"/>
          <w:lang w:val="es-ES"/>
        </w:rPr>
        <w:t>del tipo de cambio</w:t>
      </w:r>
      <w:r w:rsidR="00F91E18">
        <w:rPr>
          <w:rFonts w:ascii="Arial" w:hAnsi="Arial" w:cs="Arial"/>
          <w:kern w:val="24"/>
          <w:lang w:val="es-ES"/>
        </w:rPr>
        <w:t>.</w:t>
      </w:r>
    </w:p>
    <w:p w14:paraId="73095F78" w14:textId="77777777" w:rsidR="00F91E18" w:rsidRPr="00C63E08" w:rsidRDefault="00F91E18" w:rsidP="00C63E08">
      <w:pPr>
        <w:spacing w:after="0" w:line="240" w:lineRule="auto"/>
        <w:ind w:left="709"/>
        <w:jc w:val="both"/>
        <w:rPr>
          <w:rFonts w:ascii="Arial" w:hAnsi="Arial" w:cs="Arial"/>
          <w:kern w:val="24"/>
        </w:rPr>
      </w:pPr>
    </w:p>
    <w:p w14:paraId="0BF0C0B5" w14:textId="6A879089" w:rsidR="0000227B" w:rsidRPr="00C63E08" w:rsidRDefault="0000227B" w:rsidP="00F91E18">
      <w:pPr>
        <w:pStyle w:val="Prrafodelista"/>
        <w:numPr>
          <w:ilvl w:val="0"/>
          <w:numId w:val="20"/>
        </w:numPr>
        <w:contextualSpacing w:val="0"/>
        <w:jc w:val="both"/>
        <w:rPr>
          <w:rFonts w:ascii="Arial" w:hAnsi="Arial" w:cs="Arial"/>
          <w:kern w:val="24"/>
          <w:sz w:val="22"/>
          <w:szCs w:val="22"/>
        </w:rPr>
      </w:pPr>
      <w:bookmarkStart w:id="0" w:name="_Hlk535484836"/>
      <w:r w:rsidRPr="00C63E08">
        <w:rPr>
          <w:rFonts w:ascii="Arial" w:hAnsi="Arial" w:cs="Arial"/>
          <w:kern w:val="24"/>
          <w:sz w:val="22"/>
          <w:szCs w:val="22"/>
          <w:lang w:val="es-ES"/>
        </w:rPr>
        <w:t>La recaudación por concepto de</w:t>
      </w:r>
      <w:r w:rsidR="000D0694"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l </w:t>
      </w:r>
      <w:r w:rsidR="000D0694" w:rsidRPr="005660F6">
        <w:rPr>
          <w:rFonts w:ascii="Arial" w:hAnsi="Arial" w:cs="Arial"/>
          <w:b/>
          <w:bCs/>
          <w:kern w:val="24"/>
          <w:sz w:val="22"/>
          <w:szCs w:val="22"/>
          <w:lang w:val="es-ES"/>
        </w:rPr>
        <w:t>Impuesto Selectivo al Consumo</w:t>
      </w:r>
      <w:r w:rsidR="000D0694"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 (</w:t>
      </w:r>
      <w:r w:rsidRPr="00C63E08">
        <w:rPr>
          <w:rFonts w:ascii="Arial" w:hAnsi="Arial" w:cs="Arial"/>
          <w:kern w:val="24"/>
          <w:sz w:val="22"/>
          <w:szCs w:val="22"/>
          <w:lang w:val="es-ES"/>
        </w:rPr>
        <w:t>ISC</w:t>
      </w:r>
      <w:r w:rsidR="000D0694" w:rsidRPr="00C63E08">
        <w:rPr>
          <w:rFonts w:ascii="Arial" w:hAnsi="Arial" w:cs="Arial"/>
          <w:kern w:val="24"/>
          <w:sz w:val="22"/>
          <w:szCs w:val="22"/>
          <w:lang w:val="es-ES"/>
        </w:rPr>
        <w:t>)</w:t>
      </w:r>
      <w:r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 sumó S/ </w:t>
      </w:r>
      <w:r w:rsidR="00370502" w:rsidRPr="00C63E08">
        <w:rPr>
          <w:rFonts w:ascii="Arial" w:hAnsi="Arial" w:cs="Arial"/>
          <w:kern w:val="24"/>
          <w:sz w:val="22"/>
          <w:szCs w:val="22"/>
          <w:lang w:val="es-ES"/>
        </w:rPr>
        <w:t>9</w:t>
      </w:r>
      <w:r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 </w:t>
      </w:r>
      <w:r w:rsidR="00E3095C" w:rsidRPr="00C63E08">
        <w:rPr>
          <w:rFonts w:ascii="Arial" w:hAnsi="Arial" w:cs="Arial"/>
          <w:kern w:val="24"/>
          <w:sz w:val="22"/>
          <w:szCs w:val="22"/>
          <w:lang w:val="es-ES"/>
        </w:rPr>
        <w:t>32</w:t>
      </w:r>
      <w:r w:rsidR="00110149" w:rsidRPr="00C63E08">
        <w:rPr>
          <w:rFonts w:ascii="Arial" w:hAnsi="Arial" w:cs="Arial"/>
          <w:kern w:val="24"/>
          <w:sz w:val="22"/>
          <w:szCs w:val="22"/>
          <w:lang w:val="es-ES"/>
        </w:rPr>
        <w:t>8</w:t>
      </w:r>
      <w:r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 millones</w:t>
      </w:r>
      <w:r w:rsidR="006D1EE3"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. </w:t>
      </w:r>
      <w:r w:rsidR="009D76B1">
        <w:rPr>
          <w:rFonts w:ascii="Arial" w:hAnsi="Arial" w:cs="Arial"/>
          <w:kern w:val="24"/>
          <w:sz w:val="22"/>
          <w:szCs w:val="22"/>
          <w:lang w:val="es-ES"/>
        </w:rPr>
        <w:t>D</w:t>
      </w:r>
      <w:r w:rsidR="00CC77E1">
        <w:rPr>
          <w:rFonts w:ascii="Arial" w:hAnsi="Arial" w:cs="Arial"/>
          <w:kern w:val="24"/>
          <w:sz w:val="22"/>
          <w:szCs w:val="22"/>
          <w:lang w:val="es-ES"/>
        </w:rPr>
        <w:t xml:space="preserve">icho resultado representa una recaudación de </w:t>
      </w:r>
      <w:r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S/ </w:t>
      </w:r>
      <w:r w:rsidR="00E3095C" w:rsidRPr="00C63E08">
        <w:rPr>
          <w:rFonts w:ascii="Arial" w:hAnsi="Arial" w:cs="Arial"/>
          <w:kern w:val="24"/>
          <w:sz w:val="22"/>
          <w:szCs w:val="22"/>
          <w:lang w:val="es-ES"/>
        </w:rPr>
        <w:t>302</w:t>
      </w:r>
      <w:r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 millones </w:t>
      </w:r>
      <w:r w:rsidR="006D1EE3"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más que en el año </w:t>
      </w:r>
      <w:r w:rsidRPr="00C63E08">
        <w:rPr>
          <w:rFonts w:ascii="Arial" w:hAnsi="Arial" w:cs="Arial"/>
          <w:kern w:val="24"/>
          <w:sz w:val="22"/>
          <w:szCs w:val="22"/>
          <w:lang w:val="es-ES"/>
        </w:rPr>
        <w:t>20</w:t>
      </w:r>
      <w:r w:rsidR="00370502" w:rsidRPr="00C63E08">
        <w:rPr>
          <w:rFonts w:ascii="Arial" w:hAnsi="Arial" w:cs="Arial"/>
          <w:kern w:val="24"/>
          <w:sz w:val="22"/>
          <w:szCs w:val="22"/>
          <w:lang w:val="es-ES"/>
        </w:rPr>
        <w:t>2</w:t>
      </w:r>
      <w:bookmarkEnd w:id="0"/>
      <w:r w:rsidR="00511A02" w:rsidRPr="00C63E08">
        <w:rPr>
          <w:rFonts w:ascii="Arial" w:hAnsi="Arial" w:cs="Arial"/>
          <w:kern w:val="24"/>
          <w:sz w:val="22"/>
          <w:szCs w:val="22"/>
          <w:lang w:val="es-ES"/>
        </w:rPr>
        <w:t>2</w:t>
      </w:r>
      <w:r w:rsidRPr="00C63E08">
        <w:rPr>
          <w:rFonts w:ascii="Arial" w:hAnsi="Arial" w:cs="Arial"/>
          <w:kern w:val="24"/>
          <w:sz w:val="22"/>
          <w:szCs w:val="22"/>
          <w:lang w:val="es-ES"/>
        </w:rPr>
        <w:t xml:space="preserve">. </w:t>
      </w:r>
    </w:p>
    <w:p w14:paraId="78A79CB0" w14:textId="77777777" w:rsidR="00441FED" w:rsidRPr="00C63E08" w:rsidRDefault="00441FED" w:rsidP="00C63E08">
      <w:pPr>
        <w:pStyle w:val="Prrafodelista"/>
        <w:ind w:left="709"/>
        <w:rPr>
          <w:rFonts w:ascii="Arial" w:hAnsi="Arial" w:cs="Arial"/>
          <w:kern w:val="24"/>
          <w:sz w:val="22"/>
          <w:szCs w:val="22"/>
        </w:rPr>
      </w:pPr>
    </w:p>
    <w:p w14:paraId="2CB55506" w14:textId="52F67F77" w:rsidR="00C63FAE" w:rsidRPr="00C63E08" w:rsidRDefault="0017495C" w:rsidP="00CC77E1">
      <w:pPr>
        <w:pStyle w:val="Prrafodelista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C63E08">
        <w:rPr>
          <w:rFonts w:ascii="Arial" w:hAnsi="Arial" w:cs="Arial"/>
          <w:kern w:val="24"/>
          <w:sz w:val="22"/>
          <w:szCs w:val="22"/>
        </w:rPr>
        <w:t>Finalmente</w:t>
      </w:r>
      <w:r w:rsidR="0000227B" w:rsidRPr="00C63E08">
        <w:rPr>
          <w:rFonts w:ascii="Arial" w:hAnsi="Arial" w:cs="Arial"/>
          <w:kern w:val="24"/>
          <w:sz w:val="22"/>
          <w:szCs w:val="22"/>
        </w:rPr>
        <w:t xml:space="preserve">, las </w:t>
      </w:r>
      <w:r w:rsidR="0000227B" w:rsidRPr="005660F6">
        <w:rPr>
          <w:rFonts w:ascii="Arial" w:hAnsi="Arial" w:cs="Arial"/>
          <w:b/>
          <w:bCs/>
          <w:kern w:val="24"/>
          <w:sz w:val="22"/>
          <w:szCs w:val="22"/>
        </w:rPr>
        <w:t>devoluciones</w:t>
      </w:r>
      <w:r w:rsidR="0000227B" w:rsidRPr="00C63E08">
        <w:rPr>
          <w:rFonts w:ascii="Arial" w:hAnsi="Arial" w:cs="Arial"/>
          <w:kern w:val="24"/>
          <w:sz w:val="22"/>
          <w:szCs w:val="22"/>
        </w:rPr>
        <w:t xml:space="preserve"> </w:t>
      </w:r>
      <w:r w:rsidRPr="00C63E08">
        <w:rPr>
          <w:rFonts w:ascii="Arial" w:hAnsi="Arial" w:cs="Arial"/>
          <w:kern w:val="24"/>
          <w:sz w:val="22"/>
          <w:szCs w:val="22"/>
        </w:rPr>
        <w:t xml:space="preserve">de impuestos </w:t>
      </w:r>
      <w:r w:rsidR="006D1EE3" w:rsidRPr="00C63E08">
        <w:rPr>
          <w:rFonts w:ascii="Arial" w:hAnsi="Arial" w:cs="Arial"/>
          <w:kern w:val="24"/>
          <w:sz w:val="22"/>
          <w:szCs w:val="22"/>
        </w:rPr>
        <w:t>realizadas durante el año 2023</w:t>
      </w:r>
      <w:r w:rsidRPr="00C63E08">
        <w:rPr>
          <w:rFonts w:ascii="Arial" w:hAnsi="Arial" w:cs="Arial"/>
          <w:kern w:val="24"/>
          <w:sz w:val="22"/>
          <w:szCs w:val="22"/>
        </w:rPr>
        <w:t xml:space="preserve"> </w:t>
      </w:r>
      <w:r w:rsidR="0000227B" w:rsidRPr="00C63E08">
        <w:rPr>
          <w:rFonts w:ascii="Arial" w:hAnsi="Arial" w:cs="Arial"/>
          <w:kern w:val="24"/>
          <w:sz w:val="22"/>
          <w:szCs w:val="22"/>
        </w:rPr>
        <w:t xml:space="preserve">ascendieron a S/ </w:t>
      </w:r>
      <w:r w:rsidR="003175A1" w:rsidRPr="00C63E08">
        <w:rPr>
          <w:rFonts w:ascii="Arial" w:hAnsi="Arial" w:cs="Arial"/>
          <w:kern w:val="24"/>
          <w:sz w:val="22"/>
          <w:szCs w:val="22"/>
        </w:rPr>
        <w:t>2</w:t>
      </w:r>
      <w:r w:rsidR="00441FED" w:rsidRPr="00C63E08">
        <w:rPr>
          <w:rFonts w:ascii="Arial" w:hAnsi="Arial" w:cs="Arial"/>
          <w:kern w:val="24"/>
          <w:sz w:val="22"/>
          <w:szCs w:val="22"/>
        </w:rPr>
        <w:t>3 9</w:t>
      </w:r>
      <w:r w:rsidR="00697269" w:rsidRPr="00C63E08">
        <w:rPr>
          <w:rFonts w:ascii="Arial" w:hAnsi="Arial" w:cs="Arial"/>
          <w:kern w:val="24"/>
          <w:sz w:val="22"/>
          <w:szCs w:val="22"/>
        </w:rPr>
        <w:t>39</w:t>
      </w:r>
      <w:r w:rsidR="0000227B" w:rsidRPr="00C63E08">
        <w:rPr>
          <w:rFonts w:ascii="Arial" w:hAnsi="Arial" w:cs="Arial"/>
          <w:kern w:val="24"/>
          <w:sz w:val="22"/>
          <w:szCs w:val="22"/>
        </w:rPr>
        <w:t xml:space="preserve"> </w:t>
      </w:r>
      <w:r w:rsidR="00B356FF" w:rsidRPr="00C63E08">
        <w:rPr>
          <w:rFonts w:ascii="Arial" w:hAnsi="Arial" w:cs="Arial"/>
          <w:kern w:val="24"/>
          <w:sz w:val="22"/>
          <w:szCs w:val="22"/>
        </w:rPr>
        <w:t>millones, importe que</w:t>
      </w:r>
      <w:r w:rsidR="0000227B" w:rsidRPr="00C63E08">
        <w:rPr>
          <w:rFonts w:ascii="Arial" w:hAnsi="Arial" w:cs="Arial"/>
          <w:kern w:val="24"/>
          <w:sz w:val="22"/>
          <w:szCs w:val="22"/>
        </w:rPr>
        <w:t xml:space="preserve"> representó </w:t>
      </w:r>
      <w:r w:rsidR="006D1EE3" w:rsidRPr="00C63E08">
        <w:rPr>
          <w:rFonts w:ascii="Arial" w:hAnsi="Arial" w:cs="Arial"/>
          <w:kern w:val="24"/>
          <w:sz w:val="22"/>
          <w:szCs w:val="22"/>
        </w:rPr>
        <w:t>una reducción del 12,</w:t>
      </w:r>
      <w:r w:rsidR="00697269" w:rsidRPr="00C63E08">
        <w:rPr>
          <w:rFonts w:ascii="Arial" w:hAnsi="Arial" w:cs="Arial"/>
          <w:kern w:val="24"/>
          <w:sz w:val="22"/>
          <w:szCs w:val="22"/>
        </w:rPr>
        <w:t>2</w:t>
      </w:r>
      <w:r w:rsidR="006D1EE3" w:rsidRPr="00C63E08">
        <w:rPr>
          <w:rFonts w:ascii="Arial" w:hAnsi="Arial" w:cs="Arial"/>
          <w:kern w:val="24"/>
          <w:sz w:val="22"/>
          <w:szCs w:val="22"/>
        </w:rPr>
        <w:t xml:space="preserve">% y </w:t>
      </w:r>
      <w:r w:rsidR="0000227B" w:rsidRPr="00C63E08">
        <w:rPr>
          <w:rFonts w:ascii="Arial" w:hAnsi="Arial" w:cs="Arial"/>
          <w:kern w:val="24"/>
          <w:sz w:val="22"/>
          <w:szCs w:val="22"/>
        </w:rPr>
        <w:t xml:space="preserve">S/ </w:t>
      </w:r>
      <w:r w:rsidR="00441FED" w:rsidRPr="00C63E08">
        <w:rPr>
          <w:rFonts w:ascii="Arial" w:hAnsi="Arial" w:cs="Arial"/>
          <w:kern w:val="24"/>
          <w:sz w:val="22"/>
          <w:szCs w:val="22"/>
        </w:rPr>
        <w:t>1 6</w:t>
      </w:r>
      <w:r w:rsidR="00697269" w:rsidRPr="00C63E08">
        <w:rPr>
          <w:rFonts w:ascii="Arial" w:hAnsi="Arial" w:cs="Arial"/>
          <w:kern w:val="24"/>
          <w:sz w:val="22"/>
          <w:szCs w:val="22"/>
        </w:rPr>
        <w:t>86</w:t>
      </w:r>
      <w:r w:rsidR="0000227B" w:rsidRPr="00C63E08">
        <w:rPr>
          <w:rFonts w:ascii="Arial" w:hAnsi="Arial" w:cs="Arial"/>
          <w:kern w:val="24"/>
          <w:sz w:val="22"/>
          <w:szCs w:val="22"/>
        </w:rPr>
        <w:t xml:space="preserve"> millones </w:t>
      </w:r>
      <w:r w:rsidR="00C63FAE" w:rsidRPr="00C63E08">
        <w:rPr>
          <w:rFonts w:ascii="Arial" w:hAnsi="Arial" w:cs="Arial"/>
          <w:kern w:val="24"/>
          <w:sz w:val="22"/>
          <w:szCs w:val="22"/>
        </w:rPr>
        <w:t xml:space="preserve">de menor </w:t>
      </w:r>
      <w:r w:rsidR="0094661A" w:rsidRPr="00C63E08">
        <w:rPr>
          <w:rFonts w:ascii="Arial" w:hAnsi="Arial" w:cs="Arial"/>
          <w:kern w:val="24"/>
          <w:sz w:val="22"/>
          <w:szCs w:val="22"/>
        </w:rPr>
        <w:t>devolución</w:t>
      </w:r>
      <w:r w:rsidR="00C63FAE" w:rsidRPr="00C63E08">
        <w:rPr>
          <w:rFonts w:ascii="Arial" w:hAnsi="Arial" w:cs="Arial"/>
          <w:kern w:val="24"/>
          <w:sz w:val="22"/>
          <w:szCs w:val="22"/>
        </w:rPr>
        <w:t xml:space="preserve"> respecto de lo obtenido durante al año </w:t>
      </w:r>
      <w:r w:rsidR="0000227B" w:rsidRPr="00C63E08">
        <w:rPr>
          <w:rFonts w:ascii="Arial" w:hAnsi="Arial" w:cs="Arial"/>
          <w:kern w:val="24"/>
          <w:sz w:val="22"/>
          <w:szCs w:val="22"/>
        </w:rPr>
        <w:t>20</w:t>
      </w:r>
      <w:r w:rsidR="003175A1" w:rsidRPr="00C63E08">
        <w:rPr>
          <w:rFonts w:ascii="Arial" w:hAnsi="Arial" w:cs="Arial"/>
          <w:kern w:val="24"/>
          <w:sz w:val="22"/>
          <w:szCs w:val="22"/>
        </w:rPr>
        <w:t>2</w:t>
      </w:r>
      <w:r w:rsidR="00441FED" w:rsidRPr="00C63E08">
        <w:rPr>
          <w:rFonts w:ascii="Arial" w:hAnsi="Arial" w:cs="Arial"/>
          <w:kern w:val="24"/>
          <w:sz w:val="22"/>
          <w:szCs w:val="22"/>
        </w:rPr>
        <w:t>2</w:t>
      </w:r>
      <w:r w:rsidR="00C63FAE" w:rsidRPr="00C63E08">
        <w:rPr>
          <w:rFonts w:ascii="Arial" w:hAnsi="Arial" w:cs="Arial"/>
          <w:kern w:val="24"/>
          <w:sz w:val="22"/>
          <w:szCs w:val="22"/>
        </w:rPr>
        <w:t>.</w:t>
      </w:r>
    </w:p>
    <w:p w14:paraId="3B71CFC1" w14:textId="6DC0C264" w:rsidR="00CC77E1" w:rsidRDefault="00CC77E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16EE6261" w14:textId="5240D404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1C1280D0" w14:textId="0CE4597F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2F4A1DE0" w14:textId="4968F1D1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5A11B7CA" w14:textId="74C4AA8E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37CFF230" w14:textId="3F8AE4CB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4E7812EA" w14:textId="6F7A8CAC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4B739161" w14:textId="2259D9E9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6C0974B1" w14:textId="41CE9B38" w:rsidR="000E4C47" w:rsidRDefault="000E4C47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2E2582FE" w14:textId="701F2755" w:rsidR="000E4C47" w:rsidRDefault="000E4C47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7634D8A5" w14:textId="77777777" w:rsidR="000E4C47" w:rsidRDefault="000E4C47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4281AC51" w14:textId="03BC8A34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730E9A25" w14:textId="123C728F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340387D4" w14:textId="067EAC7B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44ABA3B4" w14:textId="07B41300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22499BFA" w14:textId="77777777" w:rsidR="009D76B1" w:rsidRDefault="009D76B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507CB24B" w14:textId="77777777" w:rsidR="00CC77E1" w:rsidRDefault="00CC77E1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4744E620" w14:textId="183BFD9A" w:rsidR="0017495C" w:rsidRDefault="0017495C" w:rsidP="00D31A3B">
      <w:pPr>
        <w:spacing w:after="0" w:line="240" w:lineRule="auto"/>
        <w:ind w:left="284" w:hanging="218"/>
        <w:jc w:val="center"/>
        <w:rPr>
          <w:rFonts w:ascii="Arial Nova" w:hAnsi="Arial Nova" w:cs="Arial"/>
          <w:b/>
        </w:rPr>
      </w:pPr>
      <w:r w:rsidRPr="00FD58FF">
        <w:rPr>
          <w:rFonts w:ascii="Arial Nova" w:hAnsi="Arial Nova" w:cs="Arial"/>
          <w:b/>
        </w:rPr>
        <w:t>ANEXO</w:t>
      </w:r>
      <w:r w:rsidR="00D31A3B">
        <w:rPr>
          <w:rFonts w:ascii="Arial Nova" w:hAnsi="Arial Nova" w:cs="Arial"/>
          <w:b/>
        </w:rPr>
        <w:t>S</w:t>
      </w:r>
    </w:p>
    <w:p w14:paraId="5CEC0C47" w14:textId="7191F09D" w:rsidR="00CA1E3C" w:rsidRPr="00FD58FF" w:rsidRDefault="00697269" w:rsidP="006F0DC0">
      <w:pPr>
        <w:spacing w:before="240" w:after="240" w:line="240" w:lineRule="auto"/>
        <w:ind w:left="284" w:hanging="218"/>
        <w:jc w:val="center"/>
        <w:rPr>
          <w:rFonts w:ascii="Arial Nova" w:hAnsi="Arial Nova" w:cs="Arial"/>
          <w:b/>
        </w:rPr>
      </w:pPr>
      <w:r w:rsidRPr="00697269">
        <w:rPr>
          <w:noProof/>
        </w:rPr>
        <w:drawing>
          <wp:inline distT="0" distB="0" distL="0" distR="0" wp14:anchorId="6BB4B1E9" wp14:editId="7B8AF2DB">
            <wp:extent cx="6188710" cy="5310293"/>
            <wp:effectExtent l="0" t="0" r="254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45" cy="531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13DD" w14:textId="5AD0CDAC" w:rsidR="00CA1E3C" w:rsidRDefault="00CA1E3C" w:rsidP="006F0DC0">
      <w:pPr>
        <w:spacing w:before="240" w:after="240" w:line="240" w:lineRule="auto"/>
        <w:ind w:left="284" w:hanging="218"/>
        <w:jc w:val="center"/>
        <w:rPr>
          <w:rFonts w:ascii="Arial Nova" w:hAnsi="Arial Nova" w:cs="Arial"/>
          <w:b/>
        </w:rPr>
      </w:pPr>
    </w:p>
    <w:p w14:paraId="08A31A94" w14:textId="77777777" w:rsidR="00CC77E1" w:rsidRPr="00CC77E1" w:rsidRDefault="00CC77E1" w:rsidP="00CC77E1">
      <w:pPr>
        <w:spacing w:after="0" w:line="240" w:lineRule="auto"/>
        <w:ind w:left="284" w:hanging="218"/>
        <w:rPr>
          <w:rFonts w:ascii="Arial Nova" w:hAnsi="Arial Nova" w:cs="Arial"/>
          <w:b/>
        </w:rPr>
      </w:pPr>
      <w:r w:rsidRPr="00CC77E1">
        <w:rPr>
          <w:rFonts w:ascii="Arial Nova" w:hAnsi="Arial Nova" w:cs="Arial"/>
          <w:b/>
        </w:rPr>
        <w:t>Gerencia de Comunicaciones e Imagen Institucional</w:t>
      </w:r>
    </w:p>
    <w:p w14:paraId="176F24F1" w14:textId="1167A004" w:rsidR="00CC77E1" w:rsidRPr="00CC77E1" w:rsidRDefault="00CC77E1" w:rsidP="00CC77E1">
      <w:pPr>
        <w:spacing w:after="0" w:line="240" w:lineRule="auto"/>
        <w:ind w:left="284" w:hanging="218"/>
        <w:rPr>
          <w:rFonts w:ascii="Arial Nova" w:hAnsi="Arial Nova" w:cs="Arial"/>
          <w:bCs/>
        </w:rPr>
      </w:pPr>
      <w:r w:rsidRPr="00CC77E1">
        <w:rPr>
          <w:rFonts w:ascii="Arial Nova" w:hAnsi="Arial Nova" w:cs="Arial"/>
          <w:bCs/>
        </w:rPr>
        <w:t xml:space="preserve">Lima, </w:t>
      </w:r>
      <w:r w:rsidR="000E4C47">
        <w:rPr>
          <w:rFonts w:ascii="Arial Nova" w:hAnsi="Arial Nova" w:cs="Arial"/>
          <w:bCs/>
        </w:rPr>
        <w:t>sábado</w:t>
      </w:r>
      <w:r w:rsidRPr="00CC77E1">
        <w:rPr>
          <w:rFonts w:ascii="Arial Nova" w:hAnsi="Arial Nova" w:cs="Arial"/>
          <w:bCs/>
        </w:rPr>
        <w:t xml:space="preserve"> </w:t>
      </w:r>
      <w:r w:rsidR="000E4C47">
        <w:rPr>
          <w:rFonts w:ascii="Arial Nova" w:hAnsi="Arial Nova" w:cs="Arial"/>
          <w:bCs/>
        </w:rPr>
        <w:t>6</w:t>
      </w:r>
      <w:r w:rsidRPr="00CC77E1">
        <w:rPr>
          <w:rFonts w:ascii="Arial Nova" w:hAnsi="Arial Nova" w:cs="Arial"/>
          <w:bCs/>
        </w:rPr>
        <w:t xml:space="preserve"> de enero del 2024.</w:t>
      </w:r>
    </w:p>
    <w:sectPr w:rsidR="00CC77E1" w:rsidRPr="00CC77E1" w:rsidSect="00C63E08">
      <w:headerReference w:type="default" r:id="rId9"/>
      <w:footerReference w:type="default" r:id="rId10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E82E" w14:textId="77777777" w:rsidR="000933B5" w:rsidRDefault="000933B5" w:rsidP="00D57CD9">
      <w:pPr>
        <w:spacing w:after="0" w:line="240" w:lineRule="auto"/>
      </w:pPr>
      <w:r>
        <w:separator/>
      </w:r>
    </w:p>
  </w:endnote>
  <w:endnote w:type="continuationSeparator" w:id="0">
    <w:p w14:paraId="7AA42B20" w14:textId="77777777" w:rsidR="000933B5" w:rsidRDefault="000933B5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D646" w14:textId="2E9C9261" w:rsidR="00845BD7" w:rsidRDefault="00453723">
    <w:pPr>
      <w:pStyle w:val="Piedepgina"/>
    </w:pPr>
    <w:r>
      <w:rPr>
        <w:rFonts w:ascii="Antique Olive Roman" w:hAnsi="Antique Olive Roman" w:cs="Aharoni"/>
        <w:b/>
        <w:noProof/>
        <w:szCs w:val="20"/>
        <w:lang w:val="es-ES_tradnl" w:eastAsia="es-ES_tradnl"/>
      </w:rPr>
      <w:drawing>
        <wp:inline distT="0" distB="0" distL="0" distR="0" wp14:anchorId="32FFDA03" wp14:editId="54CF4525">
          <wp:extent cx="292735" cy="292735"/>
          <wp:effectExtent l="0" t="0" r="0" b="0"/>
          <wp:docPr id="28" name="Imagen 2" descr="Descripción: Descripción: logo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5BD7">
      <w:rPr>
        <w:rFonts w:ascii="Antique Olive Roman" w:hAnsi="Antique Olive Roman" w:cs="Aharoni"/>
        <w:b/>
        <w:szCs w:val="20"/>
      </w:rPr>
      <w:t xml:space="preserve">  @SUNAT</w:t>
    </w:r>
    <w:r w:rsidR="00704AAB">
      <w:rPr>
        <w:rFonts w:ascii="Antique Olive Roman" w:hAnsi="Antique Olive Roman" w:cs="Aharoni"/>
        <w:b/>
        <w:szCs w:val="20"/>
      </w:rPr>
      <w:t>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465B" w14:textId="77777777" w:rsidR="000933B5" w:rsidRDefault="000933B5" w:rsidP="00D57CD9">
      <w:pPr>
        <w:spacing w:after="0" w:line="240" w:lineRule="auto"/>
      </w:pPr>
      <w:r>
        <w:separator/>
      </w:r>
    </w:p>
  </w:footnote>
  <w:footnote w:type="continuationSeparator" w:id="0">
    <w:p w14:paraId="2FD48759" w14:textId="77777777" w:rsidR="000933B5" w:rsidRDefault="000933B5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8377" w14:textId="0C53F191" w:rsidR="00845BD7" w:rsidRDefault="0045372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1458F7" wp14:editId="30D23BFC">
              <wp:simplePos x="0" y="0"/>
              <wp:positionH relativeFrom="column">
                <wp:posOffset>4331970</wp:posOffset>
              </wp:positionH>
              <wp:positionV relativeFrom="paragraph">
                <wp:posOffset>67310</wp:posOffset>
              </wp:positionV>
              <wp:extent cx="2038350" cy="543560"/>
              <wp:effectExtent l="0" t="0" r="0" b="0"/>
              <wp:wrapNone/>
              <wp:docPr id="2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AB8B1" w14:textId="77777777" w:rsidR="00845BD7" w:rsidRPr="00845BD7" w:rsidRDefault="00845BD7" w:rsidP="00845BD7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458F7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41.1pt;margin-top:5.3pt;width:160.5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" stroked="f">
              <v:textbox>
                <w:txbxContent>
                  <w:p w14:paraId="49AAB8B1" w14:textId="77777777" w:rsidR="00845BD7" w:rsidRPr="00845BD7" w:rsidRDefault="00845BD7" w:rsidP="00845BD7">
                    <w:pPr>
                      <w:spacing w:after="0" w:line="240" w:lineRule="auto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inline distT="0" distB="0" distL="0" distR="0" wp14:anchorId="78AD7F76" wp14:editId="044352DB">
          <wp:extent cx="2070100" cy="680085"/>
          <wp:effectExtent l="0" t="0" r="0" b="0"/>
          <wp:docPr id="27" name="Imagen 1" descr="Descripción: 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37C"/>
    <w:multiLevelType w:val="hybridMultilevel"/>
    <w:tmpl w:val="92D45D5C"/>
    <w:lvl w:ilvl="0" w:tplc="280A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5D075C3"/>
    <w:multiLevelType w:val="hybridMultilevel"/>
    <w:tmpl w:val="32D69FD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0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62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C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0D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2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4049A7"/>
    <w:multiLevelType w:val="hybridMultilevel"/>
    <w:tmpl w:val="A95A4DB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0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5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2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2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2D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DB7A0B"/>
    <w:multiLevelType w:val="hybridMultilevel"/>
    <w:tmpl w:val="99F492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5F0C"/>
    <w:multiLevelType w:val="hybridMultilevel"/>
    <w:tmpl w:val="3036CCA4"/>
    <w:lvl w:ilvl="0" w:tplc="2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24B01C00"/>
    <w:multiLevelType w:val="hybridMultilevel"/>
    <w:tmpl w:val="CF64EA0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5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7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47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2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E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F833CA"/>
    <w:multiLevelType w:val="hybridMultilevel"/>
    <w:tmpl w:val="08725FD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674F7B"/>
    <w:multiLevelType w:val="hybridMultilevel"/>
    <w:tmpl w:val="DB2246C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B10997"/>
    <w:multiLevelType w:val="hybridMultilevel"/>
    <w:tmpl w:val="1A8A6DE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345308"/>
    <w:multiLevelType w:val="hybridMultilevel"/>
    <w:tmpl w:val="40268010"/>
    <w:lvl w:ilvl="0" w:tplc="82F8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C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1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4D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0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C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02D2B"/>
    <w:multiLevelType w:val="hybridMultilevel"/>
    <w:tmpl w:val="1D4E7A9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760665"/>
    <w:multiLevelType w:val="hybridMultilevel"/>
    <w:tmpl w:val="FF4213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352E9"/>
    <w:multiLevelType w:val="hybridMultilevel"/>
    <w:tmpl w:val="06C299F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6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9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C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2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9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C5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E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F7271F"/>
    <w:multiLevelType w:val="hybridMultilevel"/>
    <w:tmpl w:val="030C32EC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61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8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0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F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E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0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276B72"/>
    <w:multiLevelType w:val="hybridMultilevel"/>
    <w:tmpl w:val="9C7249A0"/>
    <w:lvl w:ilvl="0" w:tplc="5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4287F22"/>
    <w:multiLevelType w:val="hybridMultilevel"/>
    <w:tmpl w:val="67245C6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9844B5"/>
    <w:multiLevelType w:val="hybridMultilevel"/>
    <w:tmpl w:val="249A6A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721776"/>
    <w:multiLevelType w:val="hybridMultilevel"/>
    <w:tmpl w:val="99D28F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924A9"/>
    <w:multiLevelType w:val="hybridMultilevel"/>
    <w:tmpl w:val="431286AC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F6739CE"/>
    <w:multiLevelType w:val="hybridMultilevel"/>
    <w:tmpl w:val="1E78389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AA193C"/>
    <w:multiLevelType w:val="hybridMultilevel"/>
    <w:tmpl w:val="A998E03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26025578">
    <w:abstractNumId w:val="6"/>
  </w:num>
  <w:num w:numId="2" w16cid:durableId="1700202728">
    <w:abstractNumId w:val="8"/>
  </w:num>
  <w:num w:numId="3" w16cid:durableId="626549118">
    <w:abstractNumId w:val="11"/>
  </w:num>
  <w:num w:numId="4" w16cid:durableId="926496178">
    <w:abstractNumId w:val="5"/>
  </w:num>
  <w:num w:numId="5" w16cid:durableId="855000199">
    <w:abstractNumId w:val="1"/>
  </w:num>
  <w:num w:numId="6" w16cid:durableId="1130979259">
    <w:abstractNumId w:val="16"/>
  </w:num>
  <w:num w:numId="7" w16cid:durableId="1048577848">
    <w:abstractNumId w:val="13"/>
  </w:num>
  <w:num w:numId="8" w16cid:durableId="814177402">
    <w:abstractNumId w:val="9"/>
  </w:num>
  <w:num w:numId="9" w16cid:durableId="1011445852">
    <w:abstractNumId w:val="12"/>
  </w:num>
  <w:num w:numId="10" w16cid:durableId="1812019579">
    <w:abstractNumId w:val="2"/>
  </w:num>
  <w:num w:numId="11" w16cid:durableId="431054165">
    <w:abstractNumId w:val="17"/>
  </w:num>
  <w:num w:numId="12" w16cid:durableId="226191055">
    <w:abstractNumId w:val="0"/>
  </w:num>
  <w:num w:numId="13" w16cid:durableId="45301510">
    <w:abstractNumId w:val="14"/>
  </w:num>
  <w:num w:numId="14" w16cid:durableId="734203985">
    <w:abstractNumId w:val="18"/>
  </w:num>
  <w:num w:numId="15" w16cid:durableId="494303192">
    <w:abstractNumId w:val="4"/>
  </w:num>
  <w:num w:numId="16" w16cid:durableId="604192531">
    <w:abstractNumId w:val="20"/>
  </w:num>
  <w:num w:numId="17" w16cid:durableId="1975527589">
    <w:abstractNumId w:val="7"/>
  </w:num>
  <w:num w:numId="18" w16cid:durableId="1704863790">
    <w:abstractNumId w:val="15"/>
  </w:num>
  <w:num w:numId="19" w16cid:durableId="2104917500">
    <w:abstractNumId w:val="10"/>
  </w:num>
  <w:num w:numId="20" w16cid:durableId="1429230799">
    <w:abstractNumId w:val="19"/>
  </w:num>
  <w:num w:numId="21" w16cid:durableId="103285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24"/>
    <w:rsid w:val="0000227B"/>
    <w:rsid w:val="000069EA"/>
    <w:rsid w:val="000210A2"/>
    <w:rsid w:val="00022FDB"/>
    <w:rsid w:val="00024955"/>
    <w:rsid w:val="0003019D"/>
    <w:rsid w:val="00030D8B"/>
    <w:rsid w:val="00053832"/>
    <w:rsid w:val="00056F21"/>
    <w:rsid w:val="00060830"/>
    <w:rsid w:val="0007756B"/>
    <w:rsid w:val="0008329F"/>
    <w:rsid w:val="0008567E"/>
    <w:rsid w:val="00092EC1"/>
    <w:rsid w:val="000933B5"/>
    <w:rsid w:val="000A4F40"/>
    <w:rsid w:val="000A63F7"/>
    <w:rsid w:val="000A64D2"/>
    <w:rsid w:val="000B1D78"/>
    <w:rsid w:val="000C7DD3"/>
    <w:rsid w:val="000D0694"/>
    <w:rsid w:val="000D280B"/>
    <w:rsid w:val="000D3905"/>
    <w:rsid w:val="000D7B03"/>
    <w:rsid w:val="000E4C47"/>
    <w:rsid w:val="000F6D3F"/>
    <w:rsid w:val="00110149"/>
    <w:rsid w:val="00112477"/>
    <w:rsid w:val="00122C6E"/>
    <w:rsid w:val="0013177F"/>
    <w:rsid w:val="001322C3"/>
    <w:rsid w:val="001323DE"/>
    <w:rsid w:val="001331EF"/>
    <w:rsid w:val="00135471"/>
    <w:rsid w:val="0013720F"/>
    <w:rsid w:val="00140CE8"/>
    <w:rsid w:val="0014132D"/>
    <w:rsid w:val="00147976"/>
    <w:rsid w:val="00161A39"/>
    <w:rsid w:val="00173624"/>
    <w:rsid w:val="0017495C"/>
    <w:rsid w:val="00193F8C"/>
    <w:rsid w:val="00196F22"/>
    <w:rsid w:val="001A27A4"/>
    <w:rsid w:val="001A52D3"/>
    <w:rsid w:val="001A5923"/>
    <w:rsid w:val="001B3AF2"/>
    <w:rsid w:val="001C20B7"/>
    <w:rsid w:val="001C418B"/>
    <w:rsid w:val="001C640C"/>
    <w:rsid w:val="001D00DC"/>
    <w:rsid w:val="001D411E"/>
    <w:rsid w:val="001D4E2E"/>
    <w:rsid w:val="001E4544"/>
    <w:rsid w:val="001E62B0"/>
    <w:rsid w:val="001E74C3"/>
    <w:rsid w:val="001F306A"/>
    <w:rsid w:val="001F5473"/>
    <w:rsid w:val="001F7095"/>
    <w:rsid w:val="00206CD2"/>
    <w:rsid w:val="00215668"/>
    <w:rsid w:val="002222D7"/>
    <w:rsid w:val="00224A2D"/>
    <w:rsid w:val="002252A3"/>
    <w:rsid w:val="00226DFC"/>
    <w:rsid w:val="00245A4D"/>
    <w:rsid w:val="00257D76"/>
    <w:rsid w:val="00262DAB"/>
    <w:rsid w:val="00273D3F"/>
    <w:rsid w:val="00275244"/>
    <w:rsid w:val="00276921"/>
    <w:rsid w:val="002777D4"/>
    <w:rsid w:val="00293404"/>
    <w:rsid w:val="00297E3C"/>
    <w:rsid w:val="002A1F96"/>
    <w:rsid w:val="002A441B"/>
    <w:rsid w:val="002A7CBF"/>
    <w:rsid w:val="002C2333"/>
    <w:rsid w:val="002D6628"/>
    <w:rsid w:val="002E2445"/>
    <w:rsid w:val="002E4C59"/>
    <w:rsid w:val="002F0C2F"/>
    <w:rsid w:val="002F0EC1"/>
    <w:rsid w:val="002F19C3"/>
    <w:rsid w:val="002F37F0"/>
    <w:rsid w:val="002F428A"/>
    <w:rsid w:val="00302542"/>
    <w:rsid w:val="00302EAB"/>
    <w:rsid w:val="00302F36"/>
    <w:rsid w:val="003058D3"/>
    <w:rsid w:val="003175A1"/>
    <w:rsid w:val="00320942"/>
    <w:rsid w:val="003271D2"/>
    <w:rsid w:val="00343AE8"/>
    <w:rsid w:val="003531BB"/>
    <w:rsid w:val="003600F7"/>
    <w:rsid w:val="00370502"/>
    <w:rsid w:val="00372569"/>
    <w:rsid w:val="00380059"/>
    <w:rsid w:val="00382A48"/>
    <w:rsid w:val="003B2BD8"/>
    <w:rsid w:val="003B6E58"/>
    <w:rsid w:val="003B70F3"/>
    <w:rsid w:val="003B72E1"/>
    <w:rsid w:val="003C3F41"/>
    <w:rsid w:val="003C6EDF"/>
    <w:rsid w:val="003D234F"/>
    <w:rsid w:val="003E2773"/>
    <w:rsid w:val="00400FF8"/>
    <w:rsid w:val="0042265B"/>
    <w:rsid w:val="00423BEF"/>
    <w:rsid w:val="00426E1B"/>
    <w:rsid w:val="00441FED"/>
    <w:rsid w:val="004449D5"/>
    <w:rsid w:val="004523BC"/>
    <w:rsid w:val="00452810"/>
    <w:rsid w:val="00453723"/>
    <w:rsid w:val="00453EAD"/>
    <w:rsid w:val="00455164"/>
    <w:rsid w:val="00456FFB"/>
    <w:rsid w:val="00462E35"/>
    <w:rsid w:val="00462F17"/>
    <w:rsid w:val="00463420"/>
    <w:rsid w:val="00472288"/>
    <w:rsid w:val="004731F0"/>
    <w:rsid w:val="00490D19"/>
    <w:rsid w:val="004917B8"/>
    <w:rsid w:val="0049787A"/>
    <w:rsid w:val="004A38CC"/>
    <w:rsid w:val="004A7404"/>
    <w:rsid w:val="004B60C2"/>
    <w:rsid w:val="004C3BCF"/>
    <w:rsid w:val="004C63A2"/>
    <w:rsid w:val="004C7BB5"/>
    <w:rsid w:val="004E30C7"/>
    <w:rsid w:val="004E5178"/>
    <w:rsid w:val="0050107D"/>
    <w:rsid w:val="00505D1E"/>
    <w:rsid w:val="00511A02"/>
    <w:rsid w:val="005176E1"/>
    <w:rsid w:val="00525D6E"/>
    <w:rsid w:val="005307AE"/>
    <w:rsid w:val="00531ED8"/>
    <w:rsid w:val="005369BC"/>
    <w:rsid w:val="00545449"/>
    <w:rsid w:val="005505B0"/>
    <w:rsid w:val="005660F6"/>
    <w:rsid w:val="00570BFB"/>
    <w:rsid w:val="00574BD8"/>
    <w:rsid w:val="00574CE5"/>
    <w:rsid w:val="00583C99"/>
    <w:rsid w:val="00586D7D"/>
    <w:rsid w:val="00587B07"/>
    <w:rsid w:val="00594987"/>
    <w:rsid w:val="005A4CCF"/>
    <w:rsid w:val="005C0F73"/>
    <w:rsid w:val="005C3E4B"/>
    <w:rsid w:val="005C44B5"/>
    <w:rsid w:val="005D362F"/>
    <w:rsid w:val="005D4731"/>
    <w:rsid w:val="005D5065"/>
    <w:rsid w:val="005D513E"/>
    <w:rsid w:val="005F2052"/>
    <w:rsid w:val="005F617B"/>
    <w:rsid w:val="005F7ABC"/>
    <w:rsid w:val="00604A54"/>
    <w:rsid w:val="00607D79"/>
    <w:rsid w:val="00627925"/>
    <w:rsid w:val="0063179A"/>
    <w:rsid w:val="00631831"/>
    <w:rsid w:val="006349BB"/>
    <w:rsid w:val="00642C75"/>
    <w:rsid w:val="00642D00"/>
    <w:rsid w:val="00643091"/>
    <w:rsid w:val="00646736"/>
    <w:rsid w:val="006627C7"/>
    <w:rsid w:val="00671131"/>
    <w:rsid w:val="00674397"/>
    <w:rsid w:val="00674F21"/>
    <w:rsid w:val="00675FBE"/>
    <w:rsid w:val="00682E5D"/>
    <w:rsid w:val="00684CEB"/>
    <w:rsid w:val="00690611"/>
    <w:rsid w:val="00694856"/>
    <w:rsid w:val="006955AA"/>
    <w:rsid w:val="00697269"/>
    <w:rsid w:val="006A1544"/>
    <w:rsid w:val="006A32B6"/>
    <w:rsid w:val="006A75EA"/>
    <w:rsid w:val="006C490E"/>
    <w:rsid w:val="006C770E"/>
    <w:rsid w:val="006D1EE3"/>
    <w:rsid w:val="006D2C7C"/>
    <w:rsid w:val="006D3729"/>
    <w:rsid w:val="006D5620"/>
    <w:rsid w:val="006D70E9"/>
    <w:rsid w:val="006E1AB6"/>
    <w:rsid w:val="006E517C"/>
    <w:rsid w:val="006F0DC0"/>
    <w:rsid w:val="00704AAB"/>
    <w:rsid w:val="007069D8"/>
    <w:rsid w:val="00723654"/>
    <w:rsid w:val="007320AA"/>
    <w:rsid w:val="0073357C"/>
    <w:rsid w:val="007349CA"/>
    <w:rsid w:val="00734DA0"/>
    <w:rsid w:val="00742C60"/>
    <w:rsid w:val="00745118"/>
    <w:rsid w:val="00750D25"/>
    <w:rsid w:val="00751B60"/>
    <w:rsid w:val="00777D9A"/>
    <w:rsid w:val="00791C05"/>
    <w:rsid w:val="007A4C55"/>
    <w:rsid w:val="007A63AD"/>
    <w:rsid w:val="007B10BD"/>
    <w:rsid w:val="007B1876"/>
    <w:rsid w:val="007B6265"/>
    <w:rsid w:val="007C0BFB"/>
    <w:rsid w:val="007C25A0"/>
    <w:rsid w:val="007C5CD2"/>
    <w:rsid w:val="007E151F"/>
    <w:rsid w:val="007E4A43"/>
    <w:rsid w:val="007E7573"/>
    <w:rsid w:val="007F120C"/>
    <w:rsid w:val="007F241D"/>
    <w:rsid w:val="007F7377"/>
    <w:rsid w:val="00800C82"/>
    <w:rsid w:val="008010C2"/>
    <w:rsid w:val="00803F4F"/>
    <w:rsid w:val="008058C4"/>
    <w:rsid w:val="0081453E"/>
    <w:rsid w:val="00833478"/>
    <w:rsid w:val="0083616B"/>
    <w:rsid w:val="008412ED"/>
    <w:rsid w:val="00845BD7"/>
    <w:rsid w:val="00850753"/>
    <w:rsid w:val="008624EE"/>
    <w:rsid w:val="008665D3"/>
    <w:rsid w:val="008711F3"/>
    <w:rsid w:val="008813F1"/>
    <w:rsid w:val="00882183"/>
    <w:rsid w:val="00893CA7"/>
    <w:rsid w:val="00893EFC"/>
    <w:rsid w:val="008A1C96"/>
    <w:rsid w:val="008A3CBE"/>
    <w:rsid w:val="008B2D6B"/>
    <w:rsid w:val="008B7FC1"/>
    <w:rsid w:val="008E0A3E"/>
    <w:rsid w:val="008E4015"/>
    <w:rsid w:val="008E567D"/>
    <w:rsid w:val="008E68AF"/>
    <w:rsid w:val="008E7197"/>
    <w:rsid w:val="008F3DDD"/>
    <w:rsid w:val="009028A6"/>
    <w:rsid w:val="0090294D"/>
    <w:rsid w:val="00924A16"/>
    <w:rsid w:val="00930196"/>
    <w:rsid w:val="00932603"/>
    <w:rsid w:val="00934434"/>
    <w:rsid w:val="00941763"/>
    <w:rsid w:val="009425AF"/>
    <w:rsid w:val="00943996"/>
    <w:rsid w:val="0094661A"/>
    <w:rsid w:val="009478FB"/>
    <w:rsid w:val="00951FB6"/>
    <w:rsid w:val="00983F9E"/>
    <w:rsid w:val="009A7230"/>
    <w:rsid w:val="009B7164"/>
    <w:rsid w:val="009C42D4"/>
    <w:rsid w:val="009C6DE3"/>
    <w:rsid w:val="009D3A60"/>
    <w:rsid w:val="009D76B1"/>
    <w:rsid w:val="009E211D"/>
    <w:rsid w:val="00A02AEF"/>
    <w:rsid w:val="00A05668"/>
    <w:rsid w:val="00A13DE2"/>
    <w:rsid w:val="00A217E9"/>
    <w:rsid w:val="00A2451F"/>
    <w:rsid w:val="00A2500C"/>
    <w:rsid w:val="00A2557B"/>
    <w:rsid w:val="00A3239D"/>
    <w:rsid w:val="00A40CB5"/>
    <w:rsid w:val="00A45211"/>
    <w:rsid w:val="00A47237"/>
    <w:rsid w:val="00A726FF"/>
    <w:rsid w:val="00A73F09"/>
    <w:rsid w:val="00A832BF"/>
    <w:rsid w:val="00A848FC"/>
    <w:rsid w:val="00A90DDD"/>
    <w:rsid w:val="00A93728"/>
    <w:rsid w:val="00A96B2B"/>
    <w:rsid w:val="00AA010D"/>
    <w:rsid w:val="00AA106A"/>
    <w:rsid w:val="00AA1368"/>
    <w:rsid w:val="00AB0593"/>
    <w:rsid w:val="00AB3F8E"/>
    <w:rsid w:val="00AC36B9"/>
    <w:rsid w:val="00AC4938"/>
    <w:rsid w:val="00AC74B4"/>
    <w:rsid w:val="00AD0A1E"/>
    <w:rsid w:val="00AE1052"/>
    <w:rsid w:val="00AE5F09"/>
    <w:rsid w:val="00AF7601"/>
    <w:rsid w:val="00B06A1E"/>
    <w:rsid w:val="00B075BE"/>
    <w:rsid w:val="00B13734"/>
    <w:rsid w:val="00B215D7"/>
    <w:rsid w:val="00B273D3"/>
    <w:rsid w:val="00B278CB"/>
    <w:rsid w:val="00B3247C"/>
    <w:rsid w:val="00B356FF"/>
    <w:rsid w:val="00B54BCE"/>
    <w:rsid w:val="00B60867"/>
    <w:rsid w:val="00B61D09"/>
    <w:rsid w:val="00B7567F"/>
    <w:rsid w:val="00B852D1"/>
    <w:rsid w:val="00B8557C"/>
    <w:rsid w:val="00B97E42"/>
    <w:rsid w:val="00BB18BF"/>
    <w:rsid w:val="00BC5F87"/>
    <w:rsid w:val="00BE0559"/>
    <w:rsid w:val="00BF3B52"/>
    <w:rsid w:val="00BF5B4E"/>
    <w:rsid w:val="00C042E4"/>
    <w:rsid w:val="00C07566"/>
    <w:rsid w:val="00C137DC"/>
    <w:rsid w:val="00C13BC4"/>
    <w:rsid w:val="00C344EE"/>
    <w:rsid w:val="00C34B74"/>
    <w:rsid w:val="00C471D1"/>
    <w:rsid w:val="00C54E99"/>
    <w:rsid w:val="00C63E08"/>
    <w:rsid w:val="00C63FAE"/>
    <w:rsid w:val="00C71C64"/>
    <w:rsid w:val="00C80373"/>
    <w:rsid w:val="00C81A9C"/>
    <w:rsid w:val="00C85467"/>
    <w:rsid w:val="00C92EB3"/>
    <w:rsid w:val="00C970C2"/>
    <w:rsid w:val="00CA0318"/>
    <w:rsid w:val="00CA0A2A"/>
    <w:rsid w:val="00CA1E3C"/>
    <w:rsid w:val="00CB380C"/>
    <w:rsid w:val="00CC4064"/>
    <w:rsid w:val="00CC77E1"/>
    <w:rsid w:val="00CF2BC1"/>
    <w:rsid w:val="00D024DA"/>
    <w:rsid w:val="00D24B91"/>
    <w:rsid w:val="00D25DF1"/>
    <w:rsid w:val="00D31A3B"/>
    <w:rsid w:val="00D47619"/>
    <w:rsid w:val="00D5027E"/>
    <w:rsid w:val="00D53BFF"/>
    <w:rsid w:val="00D562DE"/>
    <w:rsid w:val="00D56753"/>
    <w:rsid w:val="00D57CD9"/>
    <w:rsid w:val="00D6308C"/>
    <w:rsid w:val="00D6682D"/>
    <w:rsid w:val="00D73621"/>
    <w:rsid w:val="00D82634"/>
    <w:rsid w:val="00D95246"/>
    <w:rsid w:val="00DA522E"/>
    <w:rsid w:val="00DC05D6"/>
    <w:rsid w:val="00DD129E"/>
    <w:rsid w:val="00DD4DF8"/>
    <w:rsid w:val="00DE34E0"/>
    <w:rsid w:val="00DF234F"/>
    <w:rsid w:val="00DF39E3"/>
    <w:rsid w:val="00E03494"/>
    <w:rsid w:val="00E10343"/>
    <w:rsid w:val="00E14533"/>
    <w:rsid w:val="00E22ACD"/>
    <w:rsid w:val="00E25A61"/>
    <w:rsid w:val="00E267BF"/>
    <w:rsid w:val="00E3095C"/>
    <w:rsid w:val="00E309F8"/>
    <w:rsid w:val="00E347DE"/>
    <w:rsid w:val="00E41874"/>
    <w:rsid w:val="00E522CA"/>
    <w:rsid w:val="00E53501"/>
    <w:rsid w:val="00E66019"/>
    <w:rsid w:val="00E66EE5"/>
    <w:rsid w:val="00E76F34"/>
    <w:rsid w:val="00EA21C6"/>
    <w:rsid w:val="00EA40B9"/>
    <w:rsid w:val="00EB72D2"/>
    <w:rsid w:val="00ED1288"/>
    <w:rsid w:val="00EE40A2"/>
    <w:rsid w:val="00EF147C"/>
    <w:rsid w:val="00F01FF4"/>
    <w:rsid w:val="00F02AAC"/>
    <w:rsid w:val="00F05C72"/>
    <w:rsid w:val="00F10146"/>
    <w:rsid w:val="00F2628F"/>
    <w:rsid w:val="00F26C9A"/>
    <w:rsid w:val="00F30B54"/>
    <w:rsid w:val="00F420D6"/>
    <w:rsid w:val="00F42B7A"/>
    <w:rsid w:val="00F520FC"/>
    <w:rsid w:val="00F549EB"/>
    <w:rsid w:val="00F75094"/>
    <w:rsid w:val="00F77C9C"/>
    <w:rsid w:val="00F91E18"/>
    <w:rsid w:val="00F977D7"/>
    <w:rsid w:val="00FB1A1B"/>
    <w:rsid w:val="00FB71F2"/>
    <w:rsid w:val="00FC4EC6"/>
    <w:rsid w:val="00FC593B"/>
    <w:rsid w:val="00FD58FF"/>
    <w:rsid w:val="00FD6F6B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92FAD4"/>
  <w15:chartTrackingRefBased/>
  <w15:docId w15:val="{5FBD98D6-341C-4891-BAF1-E24AC22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17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3624"/>
  </w:style>
  <w:style w:type="paragraph" w:styleId="Prrafodelista">
    <w:name w:val="List Paragraph"/>
    <w:basedOn w:val="Normal"/>
    <w:uiPriority w:val="34"/>
    <w:qFormat/>
    <w:rsid w:val="001736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C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57CD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D57C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45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BD7"/>
  </w:style>
  <w:style w:type="paragraph" w:styleId="Textodeglobo">
    <w:name w:val="Balloon Text"/>
    <w:basedOn w:val="Normal"/>
    <w:link w:val="TextodegloboCar"/>
    <w:uiPriority w:val="99"/>
    <w:semiHidden/>
    <w:unhideWhenUsed/>
    <w:rsid w:val="0084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5BD7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rsid w:val="00174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627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7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7925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7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7925"/>
    <w:rPr>
      <w:b/>
      <w:bCs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D58B-8FE9-4FF7-965C-2045DBB2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Ocampo Reynaldo Jose Carlos</dc:creator>
  <cp:keywords/>
  <dc:description/>
  <cp:lastModifiedBy>Manzaneda Miranda Gardy Raul</cp:lastModifiedBy>
  <cp:revision>4</cp:revision>
  <cp:lastPrinted>2019-01-18T14:02:00Z</cp:lastPrinted>
  <dcterms:created xsi:type="dcterms:W3CDTF">2024-01-06T13:57:00Z</dcterms:created>
  <dcterms:modified xsi:type="dcterms:W3CDTF">2024-01-10T12:45:00Z</dcterms:modified>
</cp:coreProperties>
</file>