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27F" w14:textId="172B1FE8" w:rsidR="009A2A3D" w:rsidRDefault="009A2A3D" w:rsidP="009A2A3D">
      <w:pPr>
        <w:spacing w:after="0"/>
        <w:jc w:val="right"/>
        <w:rPr>
          <w:rFonts w:ascii="Arial" w:eastAsia="Times New Roman" w:hAnsi="Arial" w:cs="Arial"/>
          <w:b/>
          <w:bCs/>
          <w:color w:val="222222"/>
          <w:sz w:val="24"/>
          <w:szCs w:val="24"/>
          <w:lang w:eastAsia="es-PE"/>
        </w:rPr>
      </w:pPr>
      <w:r w:rsidRPr="009A2A3D">
        <w:rPr>
          <w:rFonts w:ascii="Arial" w:eastAsia="Times New Roman" w:hAnsi="Arial" w:cs="Arial"/>
          <w:b/>
          <w:bCs/>
          <w:color w:val="222222"/>
          <w:sz w:val="24"/>
          <w:szCs w:val="24"/>
          <w:lang w:eastAsia="es-PE"/>
        </w:rPr>
        <w:t xml:space="preserve">Nota de Prensa </w:t>
      </w:r>
      <w:proofErr w:type="spellStart"/>
      <w:r w:rsidRPr="009A2A3D">
        <w:rPr>
          <w:rFonts w:ascii="Arial" w:eastAsia="Times New Roman" w:hAnsi="Arial" w:cs="Arial"/>
          <w:b/>
          <w:bCs/>
          <w:color w:val="222222"/>
          <w:sz w:val="24"/>
          <w:szCs w:val="24"/>
          <w:lang w:eastAsia="es-PE"/>
        </w:rPr>
        <w:t>N°</w:t>
      </w:r>
      <w:proofErr w:type="spellEnd"/>
      <w:r w:rsidRPr="009A2A3D">
        <w:rPr>
          <w:rFonts w:ascii="Arial" w:eastAsia="Times New Roman" w:hAnsi="Arial" w:cs="Arial"/>
          <w:b/>
          <w:bCs/>
          <w:color w:val="222222"/>
          <w:sz w:val="24"/>
          <w:szCs w:val="24"/>
          <w:lang w:eastAsia="es-PE"/>
        </w:rPr>
        <w:t xml:space="preserve"> 0</w:t>
      </w:r>
      <w:r>
        <w:rPr>
          <w:rFonts w:ascii="Arial" w:eastAsia="Times New Roman" w:hAnsi="Arial" w:cs="Arial"/>
          <w:b/>
          <w:bCs/>
          <w:color w:val="222222"/>
          <w:sz w:val="24"/>
          <w:szCs w:val="24"/>
          <w:lang w:eastAsia="es-PE"/>
        </w:rPr>
        <w:t>51</w:t>
      </w:r>
    </w:p>
    <w:p w14:paraId="332BC3F9" w14:textId="77777777" w:rsidR="009A2A3D" w:rsidRPr="009A2A3D" w:rsidRDefault="009A2A3D" w:rsidP="009A2A3D">
      <w:pPr>
        <w:spacing w:after="0"/>
        <w:jc w:val="right"/>
        <w:rPr>
          <w:rFonts w:ascii="Arial" w:eastAsia="Times New Roman" w:hAnsi="Arial" w:cs="Arial"/>
          <w:b/>
          <w:bCs/>
          <w:color w:val="222222"/>
          <w:sz w:val="24"/>
          <w:szCs w:val="24"/>
          <w:lang w:eastAsia="es-PE"/>
        </w:rPr>
      </w:pPr>
    </w:p>
    <w:p w14:paraId="763EADF9" w14:textId="53839E91" w:rsidR="00740AAC" w:rsidRPr="009A4A53" w:rsidRDefault="00740AAC" w:rsidP="00740AAC">
      <w:pPr>
        <w:spacing w:after="0"/>
        <w:jc w:val="center"/>
        <w:rPr>
          <w:rFonts w:ascii="Arial" w:eastAsia="Times New Roman" w:hAnsi="Arial" w:cs="Arial"/>
          <w:b/>
          <w:bCs/>
          <w:color w:val="222222"/>
          <w:sz w:val="36"/>
          <w:szCs w:val="36"/>
          <w:lang w:eastAsia="es-PE"/>
        </w:rPr>
      </w:pPr>
      <w:r w:rsidRPr="000D79BF">
        <w:rPr>
          <w:rFonts w:ascii="Arial" w:eastAsia="Times New Roman" w:hAnsi="Arial" w:cs="Arial"/>
          <w:b/>
          <w:bCs/>
          <w:color w:val="222222"/>
          <w:sz w:val="36"/>
          <w:szCs w:val="36"/>
          <w:lang w:eastAsia="es-PE"/>
        </w:rPr>
        <w:t>SUNAT</w:t>
      </w:r>
      <w:r w:rsidR="00F32C59" w:rsidRPr="000D79BF">
        <w:rPr>
          <w:rFonts w:ascii="Arial" w:eastAsia="Times New Roman" w:hAnsi="Arial" w:cs="Arial"/>
          <w:b/>
          <w:bCs/>
          <w:color w:val="222222"/>
          <w:sz w:val="36"/>
          <w:szCs w:val="36"/>
          <w:lang w:eastAsia="es-PE"/>
        </w:rPr>
        <w:t xml:space="preserve"> </w:t>
      </w:r>
      <w:r w:rsidR="00AC63C1">
        <w:rPr>
          <w:rFonts w:ascii="Arial" w:eastAsia="Times New Roman" w:hAnsi="Arial" w:cs="Arial"/>
          <w:b/>
          <w:bCs/>
          <w:color w:val="222222"/>
          <w:sz w:val="36"/>
          <w:szCs w:val="36"/>
          <w:lang w:eastAsia="es-PE"/>
        </w:rPr>
        <w:t xml:space="preserve">ACTUALIZA </w:t>
      </w:r>
      <w:r w:rsidR="001E180D">
        <w:rPr>
          <w:rFonts w:ascii="Arial" w:eastAsia="Times New Roman" w:hAnsi="Arial" w:cs="Arial"/>
          <w:b/>
          <w:bCs/>
          <w:color w:val="222222"/>
          <w:sz w:val="36"/>
          <w:szCs w:val="36"/>
          <w:lang w:eastAsia="es-PE"/>
        </w:rPr>
        <w:t xml:space="preserve">CATÁLOGO DE ESQUEMAS DE </w:t>
      </w:r>
      <w:r w:rsidR="00F32C59" w:rsidRPr="000D79BF">
        <w:rPr>
          <w:rFonts w:ascii="Arial" w:eastAsia="Times New Roman" w:hAnsi="Arial" w:cs="Arial"/>
          <w:b/>
          <w:bCs/>
          <w:color w:val="222222"/>
          <w:sz w:val="36"/>
          <w:szCs w:val="36"/>
          <w:lang w:eastAsia="es-PE"/>
        </w:rPr>
        <w:t>ALTO RIESGO FISCAL</w:t>
      </w:r>
    </w:p>
    <w:p w14:paraId="5DA52BC1" w14:textId="77777777" w:rsidR="00740AAC" w:rsidRPr="00B123BF" w:rsidRDefault="00740AAC" w:rsidP="00740AAC">
      <w:pPr>
        <w:spacing w:after="0"/>
        <w:jc w:val="both"/>
        <w:rPr>
          <w:rFonts w:ascii="Arial" w:eastAsia="Times New Roman" w:hAnsi="Arial" w:cs="Arial"/>
          <w:color w:val="222222"/>
          <w:lang w:eastAsia="es-PE"/>
        </w:rPr>
      </w:pPr>
    </w:p>
    <w:p w14:paraId="188753DC" w14:textId="2AD9AFA8" w:rsidR="00E107D2" w:rsidRDefault="00E107D2" w:rsidP="00B40D9C">
      <w:pPr>
        <w:pStyle w:val="Prrafodelista"/>
        <w:numPr>
          <w:ilvl w:val="0"/>
          <w:numId w:val="5"/>
        </w:numPr>
        <w:spacing w:after="120"/>
        <w:jc w:val="both"/>
        <w:rPr>
          <w:rFonts w:ascii="Arial" w:eastAsia="Times New Roman" w:hAnsi="Arial" w:cs="Arial"/>
          <w:b/>
          <w:bCs/>
          <w:i/>
          <w:iCs/>
          <w:color w:val="222222"/>
          <w:lang w:eastAsia="es-PE"/>
        </w:rPr>
      </w:pPr>
      <w:r w:rsidRPr="00E107D2">
        <w:rPr>
          <w:rFonts w:ascii="Arial" w:eastAsia="Times New Roman" w:hAnsi="Arial" w:cs="Arial"/>
          <w:b/>
          <w:bCs/>
          <w:i/>
          <w:iCs/>
          <w:color w:val="222222"/>
          <w:lang w:eastAsia="es-PE"/>
        </w:rPr>
        <w:t>S</w:t>
      </w:r>
      <w:r w:rsidR="00AC63C1">
        <w:rPr>
          <w:rFonts w:ascii="Arial" w:eastAsia="Times New Roman" w:hAnsi="Arial" w:cs="Arial"/>
          <w:b/>
          <w:bCs/>
          <w:i/>
          <w:iCs/>
          <w:color w:val="222222"/>
          <w:lang w:eastAsia="es-PE"/>
        </w:rPr>
        <w:t xml:space="preserve">e han incluido 11 modalidades </w:t>
      </w:r>
      <w:r w:rsidRPr="00E107D2">
        <w:rPr>
          <w:rFonts w:ascii="Arial" w:eastAsia="Times New Roman" w:hAnsi="Arial" w:cs="Arial"/>
          <w:b/>
          <w:bCs/>
          <w:i/>
          <w:iCs/>
          <w:color w:val="222222"/>
          <w:lang w:eastAsia="es-PE"/>
        </w:rPr>
        <w:t xml:space="preserve">de </w:t>
      </w:r>
      <w:r w:rsidR="00AC63C1">
        <w:rPr>
          <w:rFonts w:ascii="Arial" w:eastAsia="Times New Roman" w:hAnsi="Arial" w:cs="Arial"/>
          <w:b/>
          <w:bCs/>
          <w:i/>
          <w:iCs/>
          <w:color w:val="222222"/>
          <w:lang w:eastAsia="es-PE"/>
        </w:rPr>
        <w:t>obtención de ventajas tributarias indebidas</w:t>
      </w:r>
      <w:r>
        <w:rPr>
          <w:rFonts w:ascii="Arial" w:eastAsia="Times New Roman" w:hAnsi="Arial" w:cs="Arial"/>
          <w:b/>
          <w:bCs/>
          <w:i/>
          <w:iCs/>
          <w:color w:val="222222"/>
          <w:lang w:eastAsia="es-PE"/>
        </w:rPr>
        <w:t>.</w:t>
      </w:r>
    </w:p>
    <w:p w14:paraId="7C349AFE" w14:textId="77777777" w:rsidR="00B40D9C" w:rsidRPr="00B40D9C" w:rsidRDefault="00B40D9C" w:rsidP="00B40D9C">
      <w:pPr>
        <w:pStyle w:val="Prrafodelista"/>
        <w:spacing w:after="120"/>
        <w:jc w:val="both"/>
        <w:rPr>
          <w:rFonts w:ascii="Arial" w:eastAsia="Times New Roman" w:hAnsi="Arial" w:cs="Arial"/>
          <w:b/>
          <w:bCs/>
          <w:i/>
          <w:iCs/>
          <w:color w:val="222222"/>
          <w:sz w:val="8"/>
          <w:szCs w:val="8"/>
          <w:lang w:eastAsia="es-PE"/>
        </w:rPr>
      </w:pPr>
    </w:p>
    <w:p w14:paraId="248C8686" w14:textId="53B307DE" w:rsidR="00A83851" w:rsidRDefault="00487DB3" w:rsidP="00B123BF">
      <w:pPr>
        <w:pStyle w:val="Prrafodelista"/>
        <w:numPr>
          <w:ilvl w:val="0"/>
          <w:numId w:val="5"/>
        </w:numPr>
        <w:spacing w:after="0"/>
        <w:jc w:val="both"/>
        <w:rPr>
          <w:rFonts w:ascii="Arial" w:eastAsia="Times New Roman" w:hAnsi="Arial" w:cs="Arial"/>
          <w:color w:val="222222"/>
          <w:lang w:eastAsia="es-PE"/>
        </w:rPr>
      </w:pPr>
      <w:r>
        <w:rPr>
          <w:rFonts w:ascii="Arial" w:eastAsia="Times New Roman" w:hAnsi="Arial" w:cs="Arial"/>
          <w:b/>
          <w:bCs/>
          <w:i/>
          <w:iCs/>
          <w:color w:val="222222"/>
          <w:lang w:eastAsia="es-PE"/>
        </w:rPr>
        <w:t>La versión 3.0 del catálogo</w:t>
      </w:r>
      <w:r w:rsidR="00AC63C1">
        <w:rPr>
          <w:rFonts w:ascii="Arial" w:eastAsia="Times New Roman" w:hAnsi="Arial" w:cs="Arial"/>
          <w:b/>
          <w:bCs/>
          <w:i/>
          <w:iCs/>
          <w:color w:val="222222"/>
          <w:lang w:eastAsia="es-PE"/>
        </w:rPr>
        <w:t>, con los 24 esquemas, está disponible desde hoy en el</w:t>
      </w:r>
      <w:r w:rsidR="00D52A7B" w:rsidRPr="00B123BF">
        <w:rPr>
          <w:rFonts w:ascii="Arial" w:eastAsia="Times New Roman" w:hAnsi="Arial" w:cs="Arial"/>
          <w:b/>
          <w:bCs/>
          <w:i/>
          <w:iCs/>
          <w:color w:val="222222"/>
          <w:lang w:eastAsia="es-PE"/>
        </w:rPr>
        <w:t xml:space="preserve"> portal</w:t>
      </w:r>
      <w:r>
        <w:rPr>
          <w:rFonts w:ascii="Arial" w:eastAsia="Times New Roman" w:hAnsi="Arial" w:cs="Arial"/>
          <w:b/>
          <w:bCs/>
          <w:i/>
          <w:iCs/>
          <w:color w:val="222222"/>
          <w:lang w:eastAsia="es-PE"/>
        </w:rPr>
        <w:t xml:space="preserve"> </w:t>
      </w:r>
      <w:r w:rsidR="00B40D9C">
        <w:rPr>
          <w:rFonts w:ascii="Arial" w:eastAsia="Times New Roman" w:hAnsi="Arial" w:cs="Arial"/>
          <w:b/>
          <w:bCs/>
          <w:i/>
          <w:iCs/>
          <w:color w:val="222222"/>
          <w:lang w:eastAsia="es-PE"/>
        </w:rPr>
        <w:t>W</w:t>
      </w:r>
      <w:r>
        <w:rPr>
          <w:rFonts w:ascii="Arial" w:eastAsia="Times New Roman" w:hAnsi="Arial" w:cs="Arial"/>
          <w:b/>
          <w:bCs/>
          <w:i/>
          <w:iCs/>
          <w:color w:val="222222"/>
          <w:lang w:eastAsia="es-PE"/>
        </w:rPr>
        <w:t>eb</w:t>
      </w:r>
      <w:r w:rsidR="00D52A7B" w:rsidRPr="00B123BF">
        <w:rPr>
          <w:rFonts w:ascii="Arial" w:eastAsia="Times New Roman" w:hAnsi="Arial" w:cs="Arial"/>
          <w:b/>
          <w:bCs/>
          <w:i/>
          <w:iCs/>
          <w:color w:val="222222"/>
          <w:lang w:eastAsia="es-PE"/>
        </w:rPr>
        <w:t xml:space="preserve"> de la SUNAT</w:t>
      </w:r>
      <w:r w:rsidR="00B123BF" w:rsidRPr="00B123BF">
        <w:rPr>
          <w:rFonts w:ascii="Arial" w:eastAsia="Times New Roman" w:hAnsi="Arial" w:cs="Arial"/>
          <w:b/>
          <w:bCs/>
          <w:i/>
          <w:iCs/>
          <w:color w:val="222222"/>
          <w:lang w:eastAsia="es-PE"/>
        </w:rPr>
        <w:t>.</w:t>
      </w:r>
      <w:r w:rsidR="008C7A3D" w:rsidRPr="00B123BF">
        <w:rPr>
          <w:rFonts w:ascii="Arial" w:eastAsia="Times New Roman" w:hAnsi="Arial" w:cs="Arial"/>
          <w:color w:val="222222"/>
          <w:lang w:eastAsia="es-PE"/>
        </w:rPr>
        <w:t xml:space="preserve"> </w:t>
      </w:r>
    </w:p>
    <w:p w14:paraId="3FDD4378" w14:textId="77777777" w:rsidR="008C7A3D" w:rsidRPr="00B123BF" w:rsidRDefault="008C7A3D" w:rsidP="00740AAC">
      <w:pPr>
        <w:spacing w:after="0"/>
        <w:jc w:val="both"/>
        <w:rPr>
          <w:rFonts w:ascii="Arial" w:eastAsia="Times New Roman" w:hAnsi="Arial" w:cs="Arial"/>
          <w:color w:val="222222"/>
          <w:lang w:eastAsia="es-PE"/>
        </w:rPr>
      </w:pPr>
    </w:p>
    <w:p w14:paraId="350FEF60" w14:textId="3C1351A9" w:rsidR="00817B7D" w:rsidRDefault="00817B7D" w:rsidP="00AE056C">
      <w:pPr>
        <w:spacing w:after="0" w:line="240" w:lineRule="auto"/>
        <w:jc w:val="both"/>
        <w:rPr>
          <w:rFonts w:ascii="Arial" w:hAnsi="Arial" w:cs="Arial"/>
          <w:lang w:val="es-ES"/>
        </w:rPr>
      </w:pPr>
      <w:r w:rsidRPr="00637C30">
        <w:rPr>
          <w:rFonts w:ascii="Arial" w:hAnsi="Arial" w:cs="Arial"/>
          <w:lang w:val="es-ES"/>
        </w:rPr>
        <w:t>En el marco de</w:t>
      </w:r>
      <w:r w:rsidR="00837090" w:rsidRPr="00AC63C1">
        <w:rPr>
          <w:rFonts w:ascii="Arial" w:hAnsi="Arial" w:cs="Arial"/>
          <w:lang w:val="es-ES"/>
        </w:rPr>
        <w:t>l modelo</w:t>
      </w:r>
      <w:r w:rsidRPr="00AC63C1">
        <w:rPr>
          <w:rFonts w:ascii="Arial" w:hAnsi="Arial" w:cs="Arial"/>
          <w:lang w:val="es-ES"/>
        </w:rPr>
        <w:t xml:space="preserve"> de</w:t>
      </w:r>
      <w:r w:rsidRPr="00637C30">
        <w:rPr>
          <w:rFonts w:ascii="Arial" w:hAnsi="Arial" w:cs="Arial"/>
          <w:lang w:val="es-ES"/>
        </w:rPr>
        <w:t xml:space="preserve"> </w:t>
      </w:r>
      <w:r>
        <w:rPr>
          <w:rFonts w:ascii="Arial" w:hAnsi="Arial" w:cs="Arial"/>
          <w:lang w:val="es-ES"/>
        </w:rPr>
        <w:t>cumplimiento</w:t>
      </w:r>
      <w:r w:rsidR="00837090">
        <w:rPr>
          <w:rFonts w:ascii="Arial" w:hAnsi="Arial" w:cs="Arial"/>
          <w:lang w:val="es-ES"/>
        </w:rPr>
        <w:t xml:space="preserve"> </w:t>
      </w:r>
      <w:r>
        <w:rPr>
          <w:rFonts w:ascii="Arial" w:hAnsi="Arial" w:cs="Arial"/>
          <w:lang w:val="es-ES"/>
        </w:rPr>
        <w:t>colaborativo</w:t>
      </w:r>
      <w:r w:rsidR="00AC63C1">
        <w:rPr>
          <w:rFonts w:ascii="Arial" w:hAnsi="Arial" w:cs="Arial"/>
          <w:lang w:val="es-ES"/>
        </w:rPr>
        <w:t>,</w:t>
      </w:r>
      <w:r w:rsidRPr="00637C30">
        <w:rPr>
          <w:rFonts w:ascii="Arial" w:hAnsi="Arial" w:cs="Arial"/>
          <w:lang w:val="es-ES"/>
        </w:rPr>
        <w:t xml:space="preserve"> y en línea con el objetivo estratégico institucional de mejorar el cumplimiento tributario, </w:t>
      </w:r>
      <w:r w:rsidR="00B86ABF">
        <w:rPr>
          <w:rFonts w:ascii="Arial" w:hAnsi="Arial" w:cs="Arial"/>
          <w:lang w:val="es-ES"/>
        </w:rPr>
        <w:t>el jefe de la Superintendencia Nacional de Aduanas y de Administración Tributaria</w:t>
      </w:r>
      <w:r w:rsidR="003111FF" w:rsidRPr="00B123BF">
        <w:rPr>
          <w:rFonts w:ascii="Arial" w:eastAsia="Times New Roman" w:hAnsi="Arial" w:cs="Arial"/>
          <w:color w:val="222222"/>
          <w:lang w:eastAsia="es-PE"/>
        </w:rPr>
        <w:t xml:space="preserve"> (SUNAT) </w:t>
      </w:r>
      <w:r w:rsidR="00B86ABF">
        <w:rPr>
          <w:rFonts w:ascii="Arial" w:eastAsia="Times New Roman" w:hAnsi="Arial" w:cs="Arial"/>
          <w:color w:val="222222"/>
          <w:lang w:eastAsia="es-PE"/>
        </w:rPr>
        <w:t xml:space="preserve">Gerardo López Gonzales, presentó </w:t>
      </w:r>
      <w:r w:rsidRPr="00637C30">
        <w:rPr>
          <w:rFonts w:ascii="Arial" w:hAnsi="Arial" w:cs="Arial"/>
          <w:lang w:val="es-ES"/>
        </w:rPr>
        <w:t>la versión 3.0 del Catálogo de Esquemas de Alto Riesgo Fiscal</w:t>
      </w:r>
      <w:r>
        <w:rPr>
          <w:rFonts w:ascii="Arial" w:hAnsi="Arial" w:cs="Arial"/>
          <w:lang w:val="es-ES"/>
        </w:rPr>
        <w:t xml:space="preserve">, </w:t>
      </w:r>
      <w:r w:rsidR="00AC63C1">
        <w:rPr>
          <w:rFonts w:ascii="Arial" w:hAnsi="Arial" w:cs="Arial"/>
          <w:lang w:val="es-ES"/>
        </w:rPr>
        <w:t>ampliando a 24 estas modalidades de obtención de ventajas tributarias indebidas</w:t>
      </w:r>
      <w:r>
        <w:rPr>
          <w:rFonts w:ascii="Arial" w:hAnsi="Arial" w:cs="Arial"/>
          <w:lang w:val="es-ES"/>
        </w:rPr>
        <w:t>.</w:t>
      </w:r>
      <w:r w:rsidR="00B86ABF">
        <w:rPr>
          <w:rFonts w:ascii="Arial" w:hAnsi="Arial" w:cs="Arial"/>
          <w:lang w:val="es-ES"/>
        </w:rPr>
        <w:t xml:space="preserve"> Dicho documento está publicado en el portal de la institución.</w:t>
      </w:r>
    </w:p>
    <w:p w14:paraId="3D4C6CC1" w14:textId="77777777" w:rsidR="00817B7D" w:rsidRDefault="00817B7D" w:rsidP="00AE056C">
      <w:pPr>
        <w:spacing w:after="0" w:line="240" w:lineRule="auto"/>
        <w:jc w:val="both"/>
        <w:rPr>
          <w:rFonts w:ascii="Arial" w:hAnsi="Arial" w:cs="Arial"/>
          <w:lang w:val="es-ES"/>
        </w:rPr>
      </w:pPr>
    </w:p>
    <w:p w14:paraId="5C02EBEA" w14:textId="1641AF2F" w:rsidR="00032FFC" w:rsidRDefault="00032FFC" w:rsidP="00AE056C">
      <w:pPr>
        <w:spacing w:after="0" w:line="240" w:lineRule="auto"/>
        <w:jc w:val="both"/>
        <w:rPr>
          <w:rFonts w:ascii="Arial" w:eastAsia="Times New Roman" w:hAnsi="Arial" w:cs="Arial"/>
          <w:color w:val="222222"/>
          <w:lang w:eastAsia="es-PE"/>
        </w:rPr>
      </w:pPr>
      <w:r w:rsidRPr="00637C30">
        <w:rPr>
          <w:rFonts w:ascii="Arial" w:hAnsi="Arial" w:cs="Arial"/>
          <w:lang w:val="es-ES"/>
        </w:rPr>
        <w:t xml:space="preserve">Esta versión del catálogo introduce once esquemas, los cuales describen situaciones que pueden implicar un </w:t>
      </w:r>
      <w:r w:rsidR="00905814" w:rsidRPr="00637C30">
        <w:rPr>
          <w:rFonts w:ascii="Arial" w:hAnsi="Arial" w:cs="Arial"/>
          <w:lang w:val="es-ES"/>
        </w:rPr>
        <w:t>incumplimiento</w:t>
      </w:r>
      <w:r w:rsidR="00905814">
        <w:rPr>
          <w:rFonts w:ascii="Arial" w:hAnsi="Arial" w:cs="Arial"/>
          <w:lang w:val="es-ES"/>
        </w:rPr>
        <w:t xml:space="preserve"> </w:t>
      </w:r>
      <w:r w:rsidR="00905814" w:rsidRPr="00637C30">
        <w:rPr>
          <w:rFonts w:ascii="Arial" w:hAnsi="Arial" w:cs="Arial"/>
          <w:lang w:val="es-ES"/>
        </w:rPr>
        <w:t>tributario</w:t>
      </w:r>
      <w:r w:rsidRPr="00637C30">
        <w:rPr>
          <w:rFonts w:ascii="Arial" w:hAnsi="Arial" w:cs="Arial"/>
          <w:lang w:val="es-ES"/>
        </w:rPr>
        <w:t xml:space="preserve"> y, de corresponder, la aplicación de la Norma XVI del Código Tributario </w:t>
      </w:r>
      <w:r w:rsidRPr="00A41CEC">
        <w:rPr>
          <w:rFonts w:ascii="Arial" w:hAnsi="Arial" w:cs="Arial"/>
        </w:rPr>
        <w:t>que prevé la calificación, elusión de normas tributarias y simulación</w:t>
      </w:r>
      <w:r w:rsidR="00AC63C1">
        <w:rPr>
          <w:rFonts w:ascii="Arial" w:hAnsi="Arial" w:cs="Arial"/>
        </w:rPr>
        <w:t>,</w:t>
      </w:r>
      <w:r>
        <w:rPr>
          <w:rFonts w:ascii="Arial" w:hAnsi="Arial" w:cs="Arial"/>
        </w:rPr>
        <w:t xml:space="preserve"> así como normas anti</w:t>
      </w:r>
      <w:r w:rsidR="00AC63C1">
        <w:rPr>
          <w:rFonts w:ascii="Arial" w:hAnsi="Arial" w:cs="Arial"/>
        </w:rPr>
        <w:t xml:space="preserve"> </w:t>
      </w:r>
      <w:r>
        <w:rPr>
          <w:rFonts w:ascii="Arial" w:hAnsi="Arial" w:cs="Arial"/>
        </w:rPr>
        <w:t xml:space="preserve">elusivas específicas o </w:t>
      </w:r>
      <w:r w:rsidR="00AC63C1">
        <w:rPr>
          <w:rFonts w:ascii="Arial" w:hAnsi="Arial" w:cs="Arial"/>
        </w:rPr>
        <w:t>sobre</w:t>
      </w:r>
      <w:r>
        <w:rPr>
          <w:rFonts w:ascii="Arial" w:hAnsi="Arial" w:cs="Arial"/>
        </w:rPr>
        <w:t xml:space="preserve"> </w:t>
      </w:r>
      <w:r w:rsidRPr="003225F6">
        <w:rPr>
          <w:rFonts w:ascii="Arial" w:hAnsi="Arial" w:cs="Arial"/>
        </w:rPr>
        <w:t xml:space="preserve">precios de transferencia reguladas en </w:t>
      </w:r>
      <w:r>
        <w:rPr>
          <w:rFonts w:ascii="Arial" w:hAnsi="Arial" w:cs="Arial"/>
        </w:rPr>
        <w:t>la</w:t>
      </w:r>
      <w:r w:rsidRPr="003225F6">
        <w:rPr>
          <w:rFonts w:ascii="Arial" w:hAnsi="Arial" w:cs="Arial"/>
        </w:rPr>
        <w:t xml:space="preserve"> Ley del Impuesto a la Renta.</w:t>
      </w:r>
    </w:p>
    <w:p w14:paraId="57FA6360" w14:textId="77777777" w:rsidR="00032FFC" w:rsidRDefault="00032FFC" w:rsidP="00AE056C">
      <w:pPr>
        <w:spacing w:after="0" w:line="240" w:lineRule="auto"/>
        <w:jc w:val="both"/>
        <w:rPr>
          <w:rFonts w:ascii="Arial" w:eastAsia="Times New Roman" w:hAnsi="Arial" w:cs="Arial"/>
          <w:color w:val="222222"/>
          <w:lang w:eastAsia="es-PE"/>
        </w:rPr>
      </w:pPr>
    </w:p>
    <w:p w14:paraId="6425B190" w14:textId="032499D9" w:rsidR="00032FFC" w:rsidRPr="00637C30" w:rsidRDefault="00032FFC" w:rsidP="00032FFC">
      <w:pPr>
        <w:spacing w:after="0" w:line="240" w:lineRule="auto"/>
        <w:jc w:val="both"/>
        <w:rPr>
          <w:rFonts w:ascii="Arial" w:hAnsi="Arial" w:cs="Arial"/>
          <w:lang w:val="es-ES"/>
        </w:rPr>
      </w:pPr>
      <w:r>
        <w:rPr>
          <w:rFonts w:ascii="Arial" w:hAnsi="Arial" w:cs="Arial"/>
          <w:lang w:val="es-ES"/>
        </w:rPr>
        <w:t xml:space="preserve">En </w:t>
      </w:r>
      <w:r w:rsidR="00AC63C1">
        <w:rPr>
          <w:rFonts w:ascii="Arial" w:hAnsi="Arial" w:cs="Arial"/>
          <w:lang w:val="es-ES"/>
        </w:rPr>
        <w:t>l</w:t>
      </w:r>
      <w:r>
        <w:rPr>
          <w:rFonts w:ascii="Arial" w:hAnsi="Arial" w:cs="Arial"/>
          <w:lang w:val="es-ES"/>
        </w:rPr>
        <w:t>ínea con las versiones anteriores del catálogo, l</w:t>
      </w:r>
      <w:r w:rsidRPr="00637C30">
        <w:rPr>
          <w:rFonts w:ascii="Arial" w:hAnsi="Arial" w:cs="Arial"/>
          <w:lang w:val="es-ES"/>
        </w:rPr>
        <w:t xml:space="preserve">a reciente publicación </w:t>
      </w:r>
      <w:r w:rsidR="00AC63C1">
        <w:rPr>
          <w:rFonts w:ascii="Arial" w:hAnsi="Arial" w:cs="Arial"/>
          <w:lang w:val="es-ES"/>
        </w:rPr>
        <w:t>busca</w:t>
      </w:r>
      <w:r w:rsidRPr="00637C30">
        <w:rPr>
          <w:rFonts w:ascii="Arial" w:hAnsi="Arial" w:cs="Arial"/>
          <w:lang w:val="es-ES"/>
        </w:rPr>
        <w:t xml:space="preserve"> poner a disposición de todos los contribuyentes, asesores legales y tributarios, </w:t>
      </w:r>
      <w:r w:rsidR="008801AE" w:rsidRPr="00AC63C1">
        <w:rPr>
          <w:rFonts w:ascii="Arial" w:hAnsi="Arial" w:cs="Arial"/>
          <w:lang w:val="es-ES"/>
        </w:rPr>
        <w:t>académicos y público en general</w:t>
      </w:r>
      <w:r w:rsidR="007D4F19" w:rsidRPr="00637C30">
        <w:rPr>
          <w:rFonts w:ascii="Arial" w:hAnsi="Arial" w:cs="Arial"/>
          <w:lang w:val="es-ES"/>
        </w:rPr>
        <w:t>,</w:t>
      </w:r>
      <w:r w:rsidRPr="00637C30">
        <w:rPr>
          <w:rFonts w:ascii="Arial" w:hAnsi="Arial" w:cs="Arial"/>
          <w:lang w:val="es-ES"/>
        </w:rPr>
        <w:t xml:space="preserve"> información útil que permita conocer los esquemas, mediante una caracterización general</w:t>
      </w:r>
      <w:r>
        <w:rPr>
          <w:rFonts w:ascii="Arial" w:hAnsi="Arial" w:cs="Arial"/>
          <w:lang w:val="es-ES"/>
        </w:rPr>
        <w:t xml:space="preserve">, a efectos de </w:t>
      </w:r>
      <w:r w:rsidRPr="00637C30">
        <w:rPr>
          <w:rFonts w:ascii="Arial" w:hAnsi="Arial" w:cs="Arial"/>
          <w:lang w:val="es-ES"/>
        </w:rPr>
        <w:t>evitar que se incurra en tales prácticas y, a su vez, motivar el cumplimiento voluntario y oportuno de las obligaciones tributarias.</w:t>
      </w:r>
    </w:p>
    <w:p w14:paraId="16A36946" w14:textId="77777777" w:rsidR="007326B9" w:rsidRPr="00881C79" w:rsidRDefault="007326B9" w:rsidP="00AE056C">
      <w:pPr>
        <w:spacing w:after="0" w:line="240" w:lineRule="auto"/>
        <w:jc w:val="both"/>
        <w:rPr>
          <w:rFonts w:ascii="Arial" w:eastAsia="Times New Roman" w:hAnsi="Arial" w:cs="Arial"/>
          <w:color w:val="222222"/>
          <w:lang w:eastAsia="es-PE"/>
        </w:rPr>
      </w:pPr>
    </w:p>
    <w:p w14:paraId="04BE54CE" w14:textId="77777777" w:rsidR="00740AAC" w:rsidRPr="00881C79" w:rsidRDefault="00FF20EA" w:rsidP="00740AAC">
      <w:pPr>
        <w:spacing w:after="0"/>
        <w:jc w:val="both"/>
        <w:rPr>
          <w:rFonts w:ascii="Arial" w:eastAsia="Times New Roman" w:hAnsi="Arial" w:cs="Arial"/>
          <w:b/>
          <w:color w:val="222222"/>
          <w:lang w:eastAsia="es-PE"/>
        </w:rPr>
      </w:pPr>
      <w:r w:rsidRPr="00881C79">
        <w:rPr>
          <w:rFonts w:ascii="Arial" w:eastAsia="Times New Roman" w:hAnsi="Arial" w:cs="Arial"/>
          <w:b/>
          <w:color w:val="222222"/>
          <w:lang w:eastAsia="es-PE"/>
        </w:rPr>
        <w:t xml:space="preserve">Esquemas riesgosos </w:t>
      </w:r>
    </w:p>
    <w:p w14:paraId="3F81052F" w14:textId="77777777" w:rsidR="001E3505" w:rsidRDefault="001E3505" w:rsidP="00740AAC">
      <w:pPr>
        <w:spacing w:after="0"/>
        <w:jc w:val="both"/>
        <w:rPr>
          <w:rFonts w:ascii="Arial" w:eastAsia="Times New Roman" w:hAnsi="Arial" w:cs="Arial"/>
          <w:color w:val="222222"/>
          <w:lang w:eastAsia="es-PE"/>
        </w:rPr>
      </w:pPr>
    </w:p>
    <w:p w14:paraId="66FA783A" w14:textId="3131AACC" w:rsidR="00E74B85" w:rsidRDefault="00E74B85" w:rsidP="00740AAC">
      <w:pPr>
        <w:spacing w:after="0"/>
        <w:jc w:val="both"/>
        <w:rPr>
          <w:rFonts w:ascii="Arial" w:eastAsia="Times New Roman" w:hAnsi="Arial" w:cs="Arial"/>
          <w:color w:val="222222"/>
          <w:lang w:eastAsia="es-PE"/>
        </w:rPr>
      </w:pPr>
      <w:r w:rsidRPr="00E74B85">
        <w:rPr>
          <w:rFonts w:ascii="Arial" w:eastAsia="Times New Roman" w:hAnsi="Arial" w:cs="Arial"/>
          <w:color w:val="222222"/>
          <w:lang w:eastAsia="es-PE"/>
        </w:rPr>
        <w:t>L</w:t>
      </w:r>
      <w:r>
        <w:rPr>
          <w:rFonts w:ascii="Arial" w:eastAsia="Times New Roman" w:hAnsi="Arial" w:cs="Arial"/>
          <w:color w:val="222222"/>
          <w:lang w:eastAsia="es-PE"/>
        </w:rPr>
        <w:t>a</w:t>
      </w:r>
      <w:r w:rsidRPr="00E74B85">
        <w:rPr>
          <w:rFonts w:ascii="Arial" w:eastAsia="Times New Roman" w:hAnsi="Arial" w:cs="Arial"/>
          <w:color w:val="222222"/>
          <w:lang w:eastAsia="es-PE"/>
        </w:rPr>
        <w:t xml:space="preserve">s </w:t>
      </w:r>
      <w:r>
        <w:rPr>
          <w:rFonts w:ascii="Arial" w:eastAsia="Times New Roman" w:hAnsi="Arial" w:cs="Arial"/>
          <w:color w:val="222222"/>
          <w:lang w:eastAsia="es-PE"/>
        </w:rPr>
        <w:t xml:space="preserve">modalidades </w:t>
      </w:r>
      <w:r w:rsidRPr="00E74B85">
        <w:rPr>
          <w:rFonts w:ascii="Arial" w:eastAsia="Times New Roman" w:hAnsi="Arial" w:cs="Arial"/>
          <w:color w:val="222222"/>
          <w:lang w:eastAsia="es-PE"/>
        </w:rPr>
        <w:t xml:space="preserve">que </w:t>
      </w:r>
      <w:r>
        <w:rPr>
          <w:rFonts w:ascii="Arial" w:eastAsia="Times New Roman" w:hAnsi="Arial" w:cs="Arial"/>
          <w:color w:val="222222"/>
          <w:lang w:eastAsia="es-PE"/>
        </w:rPr>
        <w:t>se incorporan al catálogo en su versión 3.0 s</w:t>
      </w:r>
      <w:r w:rsidRPr="00E74B85">
        <w:rPr>
          <w:rFonts w:ascii="Arial" w:eastAsia="Times New Roman" w:hAnsi="Arial" w:cs="Arial"/>
          <w:color w:val="222222"/>
          <w:lang w:eastAsia="es-PE"/>
        </w:rPr>
        <w:t>on l</w:t>
      </w:r>
      <w:r>
        <w:rPr>
          <w:rFonts w:ascii="Arial" w:eastAsia="Times New Roman" w:hAnsi="Arial" w:cs="Arial"/>
          <w:color w:val="222222"/>
          <w:lang w:eastAsia="es-PE"/>
        </w:rPr>
        <w:t>a</w:t>
      </w:r>
      <w:r w:rsidRPr="00E74B85">
        <w:rPr>
          <w:rFonts w:ascii="Arial" w:eastAsia="Times New Roman" w:hAnsi="Arial" w:cs="Arial"/>
          <w:color w:val="222222"/>
          <w:lang w:eastAsia="es-PE"/>
        </w:rPr>
        <w:t>s siguientes</w:t>
      </w:r>
      <w:r>
        <w:rPr>
          <w:rFonts w:ascii="Arial" w:eastAsia="Times New Roman" w:hAnsi="Arial" w:cs="Arial"/>
          <w:color w:val="222222"/>
          <w:lang w:eastAsia="es-PE"/>
        </w:rPr>
        <w:t>:</w:t>
      </w:r>
    </w:p>
    <w:p w14:paraId="7459F84F" w14:textId="77777777" w:rsidR="00E74B85" w:rsidRDefault="00E74B85" w:rsidP="00740AAC">
      <w:pPr>
        <w:spacing w:after="0"/>
        <w:jc w:val="both"/>
        <w:rPr>
          <w:rFonts w:ascii="Arial" w:eastAsia="Times New Roman" w:hAnsi="Arial" w:cs="Arial"/>
          <w:color w:val="222222"/>
          <w:lang w:eastAsia="es-PE"/>
        </w:rPr>
      </w:pPr>
    </w:p>
    <w:p w14:paraId="4818691E" w14:textId="70EA6840"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Transferencia de inmueble bajo un esquema de escisión y aporte de bloque patrimonial</w:t>
      </w:r>
    </w:p>
    <w:p w14:paraId="78A90AB0" w14:textId="1A8E0288"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Préstamo encubierto y generación de intereses a valor de mercado</w:t>
      </w:r>
    </w:p>
    <w:p w14:paraId="4C231A35" w14:textId="5503C8BD"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Arrendamiento internacional a través de una sociedad sin sustancia económica</w:t>
      </w:r>
    </w:p>
    <w:p w14:paraId="22A38F50" w14:textId="0D38D062"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Enajenación de acciones con apariencia de ser realizada mediante rueda de bolsa</w:t>
      </w:r>
    </w:p>
    <w:p w14:paraId="41547583" w14:textId="579EEB49"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Exoneración de</w:t>
      </w:r>
      <w:r w:rsidR="00BB7A18">
        <w:rPr>
          <w:rFonts w:ascii="Arial" w:hAnsi="Arial" w:cs="Arial"/>
        </w:rPr>
        <w:t>l</w:t>
      </w:r>
      <w:r w:rsidRPr="001E3505">
        <w:rPr>
          <w:rFonts w:ascii="Arial" w:hAnsi="Arial" w:cs="Arial"/>
        </w:rPr>
        <w:t xml:space="preserve"> IGV por venta de libros</w:t>
      </w:r>
    </w:p>
    <w:p w14:paraId="385E5F53" w14:textId="3B5F7AF2"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Traslado de dividendos a través de jurisdicción miembro de la Unión Europea</w:t>
      </w:r>
      <w:r w:rsidR="002F4FA4" w:rsidRPr="00C86D89">
        <w:rPr>
          <w:rFonts w:ascii="Arial" w:hAnsi="Arial" w:cs="Arial"/>
        </w:rPr>
        <w:t>.</w:t>
      </w:r>
    </w:p>
    <w:p w14:paraId="01D050D5" w14:textId="06B52564"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Transferencia indirecta de activo intangible</w:t>
      </w:r>
    </w:p>
    <w:p w14:paraId="7F92EEF5" w14:textId="6E6826F2"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Operación de crédito externo entre partes vinculadas encubierta con entidad bancaria del exterior</w:t>
      </w:r>
    </w:p>
    <w:p w14:paraId="1147941D" w14:textId="2CAB05E8"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Transferencia de funciones de I+D a filial extranjera para explotación del intangible</w:t>
      </w:r>
    </w:p>
    <w:p w14:paraId="4DEDEFB8" w14:textId="380E4FA7"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Análisis funcional y de riesgos de comisionista versus distribuidor</w:t>
      </w:r>
    </w:p>
    <w:p w14:paraId="21F9F292" w14:textId="18128041" w:rsidR="001E3505" w:rsidRPr="001E3505" w:rsidRDefault="001E3505" w:rsidP="001E3505">
      <w:pPr>
        <w:pStyle w:val="Prrafodelista"/>
        <w:numPr>
          <w:ilvl w:val="0"/>
          <w:numId w:val="6"/>
        </w:numPr>
        <w:spacing w:after="0" w:line="240" w:lineRule="auto"/>
        <w:ind w:left="709" w:hanging="425"/>
        <w:jc w:val="both"/>
        <w:rPr>
          <w:rFonts w:ascii="Arial" w:hAnsi="Arial" w:cs="Arial"/>
        </w:rPr>
      </w:pPr>
      <w:r w:rsidRPr="001E3505">
        <w:rPr>
          <w:rFonts w:ascii="Arial" w:hAnsi="Arial" w:cs="Arial"/>
        </w:rPr>
        <w:t>Operaciones de importación y distribución de bienes consideradas como servicios</w:t>
      </w:r>
    </w:p>
    <w:p w14:paraId="72152209" w14:textId="77777777" w:rsidR="001E3505" w:rsidRDefault="001E3505" w:rsidP="00AE056C">
      <w:pPr>
        <w:spacing w:after="0" w:line="240" w:lineRule="auto"/>
        <w:jc w:val="both"/>
        <w:rPr>
          <w:rFonts w:ascii="Arial" w:eastAsia="Times New Roman" w:hAnsi="Arial" w:cs="Arial"/>
          <w:color w:val="222222"/>
          <w:lang w:eastAsia="es-PE"/>
        </w:rPr>
      </w:pPr>
    </w:p>
    <w:p w14:paraId="3A3FAE10" w14:textId="3D64F108" w:rsidR="00C86D89" w:rsidRDefault="00D234A3" w:rsidP="00634A20">
      <w:pPr>
        <w:spacing w:after="0" w:line="240" w:lineRule="auto"/>
        <w:jc w:val="both"/>
        <w:rPr>
          <w:rFonts w:ascii="Arial" w:hAnsi="Arial" w:cs="Arial"/>
          <w:lang w:val="es-ES"/>
        </w:rPr>
      </w:pPr>
      <w:r>
        <w:rPr>
          <w:rFonts w:ascii="Arial" w:eastAsia="Times New Roman" w:hAnsi="Arial" w:cs="Arial"/>
          <w:color w:val="222222"/>
          <w:lang w:eastAsia="es-PE"/>
        </w:rPr>
        <w:t xml:space="preserve">Así, por ejemplo, en el esquema </w:t>
      </w:r>
      <w:r w:rsidR="00B40D9C">
        <w:rPr>
          <w:rFonts w:ascii="Arial" w:eastAsia="Times New Roman" w:hAnsi="Arial" w:cs="Arial"/>
          <w:color w:val="222222"/>
          <w:lang w:eastAsia="es-PE"/>
        </w:rPr>
        <w:t>“</w:t>
      </w:r>
      <w:r w:rsidR="005627FD" w:rsidRPr="00B40D9C">
        <w:rPr>
          <w:rFonts w:ascii="Arial" w:eastAsia="Times New Roman" w:hAnsi="Arial" w:cs="Arial"/>
          <w:color w:val="222222"/>
          <w:lang w:eastAsia="es-PE"/>
        </w:rPr>
        <w:t>Exoneración de IGV</w:t>
      </w:r>
      <w:r w:rsidR="00B40D9C">
        <w:rPr>
          <w:rFonts w:ascii="Arial" w:eastAsia="Times New Roman" w:hAnsi="Arial" w:cs="Arial"/>
          <w:color w:val="222222"/>
          <w:lang w:eastAsia="es-PE"/>
        </w:rPr>
        <w:t>”</w:t>
      </w:r>
      <w:r w:rsidR="005627FD" w:rsidRPr="00B40D9C">
        <w:rPr>
          <w:rFonts w:ascii="Arial" w:eastAsia="Times New Roman" w:hAnsi="Arial" w:cs="Arial"/>
          <w:color w:val="222222"/>
          <w:lang w:eastAsia="es-PE"/>
        </w:rPr>
        <w:t xml:space="preserve"> por venta de libros</w:t>
      </w:r>
      <w:r>
        <w:rPr>
          <w:rFonts w:ascii="Arial" w:eastAsia="Times New Roman" w:hAnsi="Arial" w:cs="Arial"/>
          <w:color w:val="222222"/>
          <w:lang w:eastAsia="es-PE"/>
        </w:rPr>
        <w:t xml:space="preserve"> </w:t>
      </w:r>
      <w:r w:rsidR="00634A20">
        <w:rPr>
          <w:rFonts w:ascii="Arial" w:hAnsi="Arial" w:cs="Arial"/>
          <w:lang w:val="es-ES"/>
        </w:rPr>
        <w:t xml:space="preserve">una compañía domiciliada en el Perú celebra un contrato de edición y cesión de derecho de autor con un escritor de libros, obteniendo facultades para editar, publicar, distribuir y divulgar los </w:t>
      </w:r>
      <w:r w:rsidR="00634A20">
        <w:rPr>
          <w:rFonts w:ascii="Arial" w:hAnsi="Arial" w:cs="Arial"/>
          <w:lang w:val="es-ES"/>
        </w:rPr>
        <w:lastRenderedPageBreak/>
        <w:t xml:space="preserve">libros por su cuenta y riesgo; sin embargo, la única actividad que realiza es la impresión de libros. </w:t>
      </w:r>
    </w:p>
    <w:p w14:paraId="569F0A0B" w14:textId="77777777" w:rsidR="00B40D9C" w:rsidRDefault="00B40D9C" w:rsidP="00634A20">
      <w:pPr>
        <w:spacing w:after="0" w:line="240" w:lineRule="auto"/>
        <w:jc w:val="both"/>
        <w:rPr>
          <w:rFonts w:ascii="Arial" w:hAnsi="Arial" w:cs="Arial"/>
          <w:lang w:val="es-ES"/>
        </w:rPr>
      </w:pPr>
    </w:p>
    <w:p w14:paraId="76F9981A" w14:textId="7FE06221" w:rsidR="00634A20" w:rsidRDefault="00634A20" w:rsidP="00634A20">
      <w:pPr>
        <w:spacing w:after="0" w:line="240" w:lineRule="auto"/>
        <w:jc w:val="both"/>
        <w:rPr>
          <w:rFonts w:ascii="Arial" w:hAnsi="Arial" w:cs="Arial"/>
          <w:color w:val="000000"/>
          <w:lang w:val="es-ES"/>
        </w:rPr>
      </w:pPr>
      <w:r>
        <w:rPr>
          <w:rFonts w:ascii="Arial" w:hAnsi="Arial" w:cs="Arial"/>
          <w:lang w:val="es-ES"/>
        </w:rPr>
        <w:t>Posteriormente, la compañía, celebra un contrato de distribución con una editora, cuyo accionista principal es el escritor de libros, mediante el cual le otorga el derecho de distribuir los libros; por su parte, la editora se obliga a comprar</w:t>
      </w:r>
      <w:r>
        <w:rPr>
          <w:rFonts w:ascii="Arial" w:hAnsi="Arial" w:cs="Arial"/>
          <w:color w:val="000000"/>
          <w:lang w:val="es-ES"/>
        </w:rPr>
        <w:t xml:space="preserve"> los libros y promover la venta</w:t>
      </w:r>
      <w:r w:rsidR="0085669A">
        <w:rPr>
          <w:rFonts w:ascii="Arial" w:hAnsi="Arial" w:cs="Arial"/>
          <w:color w:val="000000"/>
          <w:lang w:val="es-ES"/>
        </w:rPr>
        <w:t xml:space="preserve">, considerando dicha operación como </w:t>
      </w:r>
      <w:r>
        <w:rPr>
          <w:rFonts w:ascii="Arial" w:hAnsi="Arial" w:cs="Arial"/>
          <w:color w:val="000000"/>
          <w:lang w:val="es-ES"/>
        </w:rPr>
        <w:t>venta de libros exonerada del IGV</w:t>
      </w:r>
      <w:r w:rsidR="0085669A">
        <w:rPr>
          <w:rFonts w:ascii="Arial" w:hAnsi="Arial" w:cs="Arial"/>
          <w:color w:val="000000"/>
          <w:lang w:val="es-ES"/>
        </w:rPr>
        <w:t>;</w:t>
      </w:r>
      <w:r>
        <w:rPr>
          <w:rFonts w:ascii="Arial" w:hAnsi="Arial" w:cs="Arial"/>
          <w:color w:val="000000"/>
          <w:lang w:val="es-ES"/>
        </w:rPr>
        <w:t xml:space="preserve"> </w:t>
      </w:r>
      <w:r w:rsidR="00C86D89">
        <w:rPr>
          <w:rFonts w:ascii="Arial" w:hAnsi="Arial" w:cs="Arial"/>
          <w:color w:val="000000"/>
          <w:lang w:val="es-ES"/>
        </w:rPr>
        <w:t>luego</w:t>
      </w:r>
      <w:r>
        <w:rPr>
          <w:rFonts w:ascii="Arial" w:hAnsi="Arial" w:cs="Arial"/>
          <w:color w:val="000000"/>
          <w:lang w:val="es-ES"/>
        </w:rPr>
        <w:t>, la editora vende los libros a consumidores finales y también considera la operación exonerada del IGV.</w:t>
      </w:r>
    </w:p>
    <w:p w14:paraId="604D1AF3" w14:textId="77777777" w:rsidR="00634A20" w:rsidRDefault="00634A20" w:rsidP="00634A20">
      <w:pPr>
        <w:spacing w:after="0" w:line="240" w:lineRule="auto"/>
        <w:jc w:val="both"/>
        <w:rPr>
          <w:rFonts w:ascii="Arial" w:hAnsi="Arial" w:cs="Arial"/>
          <w:color w:val="FF0000"/>
          <w:lang w:val="es-ES"/>
        </w:rPr>
      </w:pPr>
    </w:p>
    <w:p w14:paraId="090FBFB6" w14:textId="77777777" w:rsidR="00634A20" w:rsidRPr="001E1EB2" w:rsidRDefault="00634A20" w:rsidP="00634A20">
      <w:pPr>
        <w:spacing w:after="0" w:line="240" w:lineRule="auto"/>
        <w:jc w:val="both"/>
        <w:rPr>
          <w:rFonts w:ascii="Arial" w:eastAsia="Times New Roman" w:hAnsi="Arial" w:cs="Arial"/>
          <w:color w:val="222222"/>
          <w:lang w:eastAsia="es-PE"/>
        </w:rPr>
      </w:pPr>
      <w:r>
        <w:rPr>
          <w:rFonts w:ascii="Arial" w:eastAsia="Times New Roman" w:hAnsi="Arial" w:cs="Arial"/>
          <w:color w:val="222222"/>
          <w:lang w:eastAsia="es-PE"/>
        </w:rPr>
        <w:t xml:space="preserve">De esta manera, se deja de pagar el 18% del IGV por la prestación de servicios de impresión de libros, </w:t>
      </w:r>
      <w:r w:rsidRPr="001E1EB2">
        <w:rPr>
          <w:rFonts w:ascii="Arial" w:eastAsia="Times New Roman" w:hAnsi="Arial" w:cs="Arial"/>
          <w:color w:val="222222"/>
          <w:lang w:eastAsia="es-PE"/>
        </w:rPr>
        <w:t xml:space="preserve">siendo que los actos descritos en el esquema buscaron únicamente un ahorro tributario mediante la exoneración de la operación realizada por la compañía. </w:t>
      </w:r>
    </w:p>
    <w:p w14:paraId="7F9D9B6C" w14:textId="5C606F99" w:rsidR="00634A20" w:rsidRPr="001E1EB2" w:rsidRDefault="00634A20" w:rsidP="00AE056C">
      <w:pPr>
        <w:spacing w:after="0" w:line="240" w:lineRule="auto"/>
        <w:jc w:val="both"/>
        <w:rPr>
          <w:rFonts w:ascii="Arial" w:eastAsia="Times New Roman" w:hAnsi="Arial" w:cs="Arial"/>
          <w:color w:val="222222"/>
          <w:lang w:eastAsia="es-PE"/>
        </w:rPr>
      </w:pPr>
    </w:p>
    <w:p w14:paraId="6532D1F9" w14:textId="103FB3B6" w:rsidR="0095774E" w:rsidRPr="00881C79" w:rsidRDefault="00634A20" w:rsidP="0095774E">
      <w:pPr>
        <w:spacing w:after="0" w:line="240" w:lineRule="auto"/>
        <w:jc w:val="both"/>
        <w:rPr>
          <w:rFonts w:ascii="Arial" w:eastAsia="Times New Roman" w:hAnsi="Arial" w:cs="Arial"/>
          <w:color w:val="222222"/>
          <w:lang w:eastAsia="es-PE"/>
        </w:rPr>
      </w:pPr>
      <w:r w:rsidRPr="00C86D89">
        <w:rPr>
          <w:rFonts w:ascii="Arial" w:eastAsia="Times New Roman" w:hAnsi="Arial" w:cs="Arial"/>
          <w:color w:val="222222"/>
          <w:lang w:eastAsia="es-PE"/>
        </w:rPr>
        <w:t>Al respecto, según las declaraciones mensuales de</w:t>
      </w:r>
      <w:r w:rsidR="00CF4609" w:rsidRPr="00C86D89">
        <w:rPr>
          <w:rFonts w:ascii="Arial" w:eastAsia="Times New Roman" w:hAnsi="Arial" w:cs="Arial"/>
          <w:color w:val="222222"/>
          <w:lang w:eastAsia="es-PE"/>
        </w:rPr>
        <w:t>l</w:t>
      </w:r>
      <w:r w:rsidRPr="00C86D89">
        <w:rPr>
          <w:rFonts w:ascii="Arial" w:eastAsia="Times New Roman" w:hAnsi="Arial" w:cs="Arial"/>
          <w:color w:val="222222"/>
          <w:lang w:eastAsia="es-PE"/>
        </w:rPr>
        <w:t xml:space="preserve"> IGV, </w:t>
      </w:r>
      <w:r w:rsidR="006D1C92" w:rsidRPr="00C86D89">
        <w:rPr>
          <w:rFonts w:ascii="Arial" w:eastAsia="Times New Roman" w:hAnsi="Arial" w:cs="Arial"/>
          <w:color w:val="222222"/>
          <w:lang w:eastAsia="es-PE"/>
        </w:rPr>
        <w:t>los tres</w:t>
      </w:r>
      <w:r w:rsidR="003C4ED9" w:rsidRPr="00C86D89">
        <w:rPr>
          <w:rFonts w:ascii="Arial" w:eastAsia="Times New Roman" w:hAnsi="Arial" w:cs="Arial"/>
          <w:color w:val="222222"/>
          <w:lang w:eastAsia="es-PE"/>
        </w:rPr>
        <w:t xml:space="preserve"> últimos</w:t>
      </w:r>
      <w:r w:rsidR="006D1C92" w:rsidRPr="00C86D89">
        <w:rPr>
          <w:rFonts w:ascii="Arial" w:eastAsia="Times New Roman" w:hAnsi="Arial" w:cs="Arial"/>
          <w:color w:val="222222"/>
          <w:lang w:eastAsia="es-PE"/>
        </w:rPr>
        <w:t xml:space="preserve"> años </w:t>
      </w:r>
      <w:r w:rsidRPr="00C86D89">
        <w:rPr>
          <w:rFonts w:ascii="Arial" w:eastAsia="Times New Roman" w:hAnsi="Arial" w:cs="Arial"/>
          <w:color w:val="222222"/>
          <w:lang w:eastAsia="es-PE"/>
        </w:rPr>
        <w:t>existe</w:t>
      </w:r>
      <w:r w:rsidR="006D1C92" w:rsidRPr="00C86D89">
        <w:rPr>
          <w:rFonts w:ascii="Arial" w:eastAsia="Times New Roman" w:hAnsi="Arial" w:cs="Arial"/>
          <w:color w:val="222222"/>
          <w:lang w:eastAsia="es-PE"/>
        </w:rPr>
        <w:t xml:space="preserve">n aproximadamente 15 </w:t>
      </w:r>
      <w:r w:rsidR="0095774E" w:rsidRPr="00C86D89">
        <w:rPr>
          <w:rFonts w:ascii="Arial" w:eastAsia="Times New Roman" w:hAnsi="Arial" w:cs="Arial"/>
          <w:color w:val="222222"/>
          <w:lang w:eastAsia="es-PE"/>
        </w:rPr>
        <w:t>mil</w:t>
      </w:r>
      <w:r w:rsidR="006D1C92" w:rsidRPr="00C86D89">
        <w:rPr>
          <w:rFonts w:ascii="Arial" w:eastAsia="Times New Roman" w:hAnsi="Arial" w:cs="Arial"/>
          <w:color w:val="222222"/>
          <w:lang w:eastAsia="es-PE"/>
        </w:rPr>
        <w:t xml:space="preserve"> empresas dedicadas a actividades de impresión que </w:t>
      </w:r>
      <w:r w:rsidR="001E1EB2" w:rsidRPr="00C86D89">
        <w:rPr>
          <w:rFonts w:ascii="Arial" w:eastAsia="Times New Roman" w:hAnsi="Arial" w:cs="Arial"/>
          <w:color w:val="222222"/>
          <w:lang w:eastAsia="es-PE"/>
        </w:rPr>
        <w:t>declaran</w:t>
      </w:r>
      <w:r w:rsidR="006D1C92" w:rsidRPr="00C86D89">
        <w:rPr>
          <w:rFonts w:ascii="Arial" w:eastAsia="Times New Roman" w:hAnsi="Arial" w:cs="Arial"/>
          <w:color w:val="222222"/>
          <w:lang w:eastAsia="es-PE"/>
        </w:rPr>
        <w:t xml:space="preserve"> </w:t>
      </w:r>
      <w:r w:rsidR="00DA5738" w:rsidRPr="00C86D89">
        <w:rPr>
          <w:rFonts w:ascii="Arial" w:eastAsia="Times New Roman" w:hAnsi="Arial" w:cs="Arial"/>
          <w:color w:val="222222"/>
          <w:lang w:eastAsia="es-PE"/>
        </w:rPr>
        <w:t xml:space="preserve">en conjunto </w:t>
      </w:r>
      <w:r w:rsidR="006D1C92" w:rsidRPr="00C86D89">
        <w:rPr>
          <w:rFonts w:ascii="Arial" w:eastAsia="Times New Roman" w:hAnsi="Arial" w:cs="Arial"/>
          <w:color w:val="222222"/>
          <w:lang w:eastAsia="es-PE"/>
        </w:rPr>
        <w:t xml:space="preserve">operaciones no gravadas </w:t>
      </w:r>
      <w:r w:rsidR="003C4ED9" w:rsidRPr="00C86D89">
        <w:rPr>
          <w:rFonts w:ascii="Arial" w:eastAsia="Times New Roman" w:hAnsi="Arial" w:cs="Arial"/>
          <w:color w:val="222222"/>
          <w:lang w:eastAsia="es-PE"/>
        </w:rPr>
        <w:t xml:space="preserve">por </w:t>
      </w:r>
      <w:r w:rsidR="0086092A" w:rsidRPr="00C86D89">
        <w:rPr>
          <w:rFonts w:ascii="Arial" w:eastAsia="Times New Roman" w:hAnsi="Arial" w:cs="Arial"/>
          <w:color w:val="222222"/>
          <w:lang w:eastAsia="es-PE"/>
        </w:rPr>
        <w:t>S/ 124</w:t>
      </w:r>
      <w:r w:rsidR="006D1C92" w:rsidRPr="00C86D89">
        <w:rPr>
          <w:rFonts w:ascii="Arial" w:eastAsia="Times New Roman" w:hAnsi="Arial" w:cs="Arial"/>
          <w:color w:val="222222"/>
          <w:lang w:eastAsia="es-PE"/>
        </w:rPr>
        <w:t xml:space="preserve"> millones</w:t>
      </w:r>
      <w:r w:rsidR="00DA5738" w:rsidRPr="00C86D89">
        <w:rPr>
          <w:rFonts w:ascii="Arial" w:eastAsia="Times New Roman" w:hAnsi="Arial" w:cs="Arial"/>
          <w:color w:val="222222"/>
          <w:lang w:eastAsia="es-PE"/>
        </w:rPr>
        <w:t xml:space="preserve"> al año</w:t>
      </w:r>
      <w:r w:rsidR="0095774E" w:rsidRPr="00C86D89">
        <w:rPr>
          <w:rFonts w:ascii="Arial" w:eastAsia="Times New Roman" w:hAnsi="Arial" w:cs="Arial"/>
          <w:color w:val="222222"/>
          <w:lang w:eastAsia="es-PE"/>
        </w:rPr>
        <w:t xml:space="preserve">, cifra que está siendo analizada por </w:t>
      </w:r>
      <w:r w:rsidR="00C86D89">
        <w:rPr>
          <w:rFonts w:ascii="Arial" w:eastAsia="Times New Roman" w:hAnsi="Arial" w:cs="Arial"/>
          <w:color w:val="222222"/>
          <w:lang w:eastAsia="es-PE"/>
        </w:rPr>
        <w:t xml:space="preserve">la </w:t>
      </w:r>
      <w:r w:rsidR="0095774E" w:rsidRPr="00C86D89">
        <w:rPr>
          <w:rFonts w:ascii="Arial" w:eastAsia="Times New Roman" w:hAnsi="Arial" w:cs="Arial"/>
          <w:color w:val="222222"/>
          <w:lang w:eastAsia="es-PE"/>
        </w:rPr>
        <w:t xml:space="preserve">SUNAT para el inicio de las acciones correspondientes </w:t>
      </w:r>
      <w:r w:rsidR="001E1EB2" w:rsidRPr="00C86D89">
        <w:rPr>
          <w:rFonts w:ascii="Arial" w:eastAsia="Times New Roman" w:hAnsi="Arial" w:cs="Arial"/>
          <w:color w:val="222222"/>
          <w:lang w:eastAsia="es-PE"/>
        </w:rPr>
        <w:t xml:space="preserve">a efectos de </w:t>
      </w:r>
      <w:r w:rsidR="0095774E" w:rsidRPr="00C86D89">
        <w:rPr>
          <w:rFonts w:ascii="Arial" w:eastAsia="Times New Roman" w:hAnsi="Arial" w:cs="Arial"/>
          <w:color w:val="222222"/>
          <w:lang w:eastAsia="es-PE"/>
        </w:rPr>
        <w:t>determinar el correcto cumplimiento de las obligaciones tributarias</w:t>
      </w:r>
      <w:r w:rsidR="001E1EB2" w:rsidRPr="00C86D89">
        <w:rPr>
          <w:rFonts w:ascii="Arial" w:eastAsia="Times New Roman" w:hAnsi="Arial" w:cs="Arial"/>
          <w:color w:val="222222"/>
          <w:lang w:eastAsia="es-PE"/>
        </w:rPr>
        <w:t>.</w:t>
      </w:r>
    </w:p>
    <w:p w14:paraId="2548CDE9" w14:textId="69AE1845" w:rsidR="00CF4609" w:rsidRDefault="006D1C92" w:rsidP="00AE056C">
      <w:pPr>
        <w:spacing w:after="0" w:line="240" w:lineRule="auto"/>
        <w:jc w:val="both"/>
        <w:rPr>
          <w:rFonts w:ascii="Arial" w:eastAsia="Times New Roman" w:hAnsi="Arial" w:cs="Arial"/>
          <w:color w:val="222222"/>
          <w:lang w:eastAsia="es-PE"/>
        </w:rPr>
      </w:pPr>
      <w:r>
        <w:rPr>
          <w:rFonts w:ascii="Arial" w:eastAsia="Times New Roman" w:hAnsi="Arial" w:cs="Arial"/>
          <w:color w:val="222222"/>
          <w:lang w:eastAsia="es-PE"/>
        </w:rPr>
        <w:t xml:space="preserve"> </w:t>
      </w:r>
    </w:p>
    <w:p w14:paraId="6B0C260E" w14:textId="5AD99D89" w:rsidR="00C86D89" w:rsidRDefault="005B4619" w:rsidP="0084455E">
      <w:pPr>
        <w:spacing w:after="0" w:line="240" w:lineRule="auto"/>
        <w:jc w:val="both"/>
        <w:rPr>
          <w:rFonts w:ascii="Arial" w:hAnsi="Arial" w:cs="Arial"/>
          <w:lang w:val="es-ES"/>
        </w:rPr>
      </w:pPr>
      <w:r w:rsidRPr="000D79BF">
        <w:rPr>
          <w:rFonts w:ascii="Arial" w:eastAsia="Times New Roman" w:hAnsi="Arial" w:cs="Arial"/>
          <w:color w:val="222222"/>
          <w:lang w:eastAsia="es-PE"/>
        </w:rPr>
        <w:t xml:space="preserve">Otra </w:t>
      </w:r>
      <w:r w:rsidR="0024322D" w:rsidRPr="000D79BF">
        <w:rPr>
          <w:rFonts w:ascii="Arial" w:eastAsia="Times New Roman" w:hAnsi="Arial" w:cs="Arial"/>
          <w:color w:val="222222"/>
          <w:lang w:eastAsia="es-PE"/>
        </w:rPr>
        <w:t xml:space="preserve">modalidad </w:t>
      </w:r>
      <w:r w:rsidR="005A0650">
        <w:rPr>
          <w:rFonts w:ascii="Arial" w:eastAsia="Times New Roman" w:hAnsi="Arial" w:cs="Arial"/>
          <w:color w:val="222222"/>
          <w:lang w:eastAsia="es-PE"/>
        </w:rPr>
        <w:t>es</w:t>
      </w:r>
      <w:r w:rsidR="009B1D47">
        <w:rPr>
          <w:rFonts w:ascii="Arial" w:eastAsia="Times New Roman" w:hAnsi="Arial" w:cs="Arial"/>
          <w:color w:val="222222"/>
          <w:lang w:eastAsia="es-PE"/>
        </w:rPr>
        <w:t xml:space="preserve"> el </w:t>
      </w:r>
      <w:r w:rsidR="00B40D9C">
        <w:rPr>
          <w:rFonts w:ascii="Arial" w:eastAsia="Times New Roman" w:hAnsi="Arial" w:cs="Arial"/>
          <w:color w:val="222222"/>
          <w:lang w:eastAsia="es-PE"/>
        </w:rPr>
        <w:t>“</w:t>
      </w:r>
      <w:r w:rsidR="009B1D47" w:rsidRPr="00B40D9C">
        <w:rPr>
          <w:rFonts w:ascii="Arial" w:hAnsi="Arial" w:cs="Arial"/>
        </w:rPr>
        <w:t>Arrendamiento internacional a través de una sociedad sin sustancia económica</w:t>
      </w:r>
      <w:r w:rsidR="00B40D9C">
        <w:rPr>
          <w:rFonts w:ascii="Arial" w:hAnsi="Arial" w:cs="Arial"/>
          <w:b/>
          <w:bCs/>
        </w:rPr>
        <w:t>”</w:t>
      </w:r>
      <w:r w:rsidR="00C86D89">
        <w:rPr>
          <w:rFonts w:ascii="Arial" w:hAnsi="Arial" w:cs="Arial"/>
          <w:b/>
          <w:bCs/>
        </w:rPr>
        <w:t>.</w:t>
      </w:r>
      <w:r w:rsidR="009B1D47">
        <w:rPr>
          <w:rFonts w:ascii="Arial" w:hAnsi="Arial" w:cs="Arial"/>
        </w:rPr>
        <w:t xml:space="preserve"> </w:t>
      </w:r>
      <w:r w:rsidR="00C86D89">
        <w:rPr>
          <w:rFonts w:ascii="Arial" w:hAnsi="Arial" w:cs="Arial"/>
        </w:rPr>
        <w:t>E</w:t>
      </w:r>
      <w:r w:rsidR="009B1D47">
        <w:rPr>
          <w:rFonts w:ascii="Arial" w:hAnsi="Arial" w:cs="Arial"/>
        </w:rPr>
        <w:t xml:space="preserve">n este esquema una </w:t>
      </w:r>
      <w:r w:rsidR="005A0650" w:rsidRPr="0056744A">
        <w:rPr>
          <w:rFonts w:ascii="Arial" w:hAnsi="Arial" w:cs="Arial"/>
          <w:lang w:val="es-ES"/>
        </w:rPr>
        <w:t>compañía domiciliada en el Perú que inicialmente adquiría equipos, partes y accesorios de telecomunicaciones de su proveedor internacional, ahora los obtiene vía arrendamiento de su vinculada, recientemente constituida en el país “X”, el cual tiene un C</w:t>
      </w:r>
      <w:r w:rsidR="00972D7E">
        <w:rPr>
          <w:rFonts w:ascii="Arial" w:hAnsi="Arial" w:cs="Arial"/>
          <w:lang w:val="es-ES"/>
        </w:rPr>
        <w:t xml:space="preserve">onvenio para evitar la </w:t>
      </w:r>
      <w:r w:rsidR="00E600B1">
        <w:rPr>
          <w:rFonts w:ascii="Arial" w:hAnsi="Arial" w:cs="Arial"/>
          <w:lang w:val="es-ES"/>
        </w:rPr>
        <w:t>d</w:t>
      </w:r>
      <w:r w:rsidR="00972D7E">
        <w:rPr>
          <w:rFonts w:ascii="Arial" w:hAnsi="Arial" w:cs="Arial"/>
          <w:lang w:val="es-ES"/>
        </w:rPr>
        <w:t xml:space="preserve">oble </w:t>
      </w:r>
      <w:r w:rsidR="00E600B1">
        <w:rPr>
          <w:rFonts w:ascii="Arial" w:hAnsi="Arial" w:cs="Arial"/>
          <w:lang w:val="es-ES"/>
        </w:rPr>
        <w:t>i</w:t>
      </w:r>
      <w:r w:rsidR="00972D7E">
        <w:rPr>
          <w:rFonts w:ascii="Arial" w:hAnsi="Arial" w:cs="Arial"/>
          <w:lang w:val="es-ES"/>
        </w:rPr>
        <w:t xml:space="preserve">mposición (CDI) </w:t>
      </w:r>
      <w:r w:rsidR="005A0650" w:rsidRPr="0056744A">
        <w:rPr>
          <w:rFonts w:ascii="Arial" w:hAnsi="Arial" w:cs="Arial"/>
          <w:lang w:val="es-ES"/>
        </w:rPr>
        <w:t xml:space="preserve">con el Perú. </w:t>
      </w:r>
    </w:p>
    <w:p w14:paraId="0AE7BECF" w14:textId="77777777" w:rsidR="00C86D89" w:rsidRDefault="00C86D89" w:rsidP="0084455E">
      <w:pPr>
        <w:spacing w:after="0" w:line="240" w:lineRule="auto"/>
        <w:jc w:val="both"/>
        <w:rPr>
          <w:rFonts w:ascii="Arial" w:hAnsi="Arial" w:cs="Arial"/>
          <w:lang w:val="es-ES"/>
        </w:rPr>
      </w:pPr>
    </w:p>
    <w:p w14:paraId="56F56405" w14:textId="4C1CE0C5" w:rsidR="0084455E" w:rsidRDefault="0084455E" w:rsidP="0084455E">
      <w:pPr>
        <w:spacing w:after="0" w:line="240" w:lineRule="auto"/>
        <w:jc w:val="both"/>
        <w:rPr>
          <w:rFonts w:ascii="Arial" w:hAnsi="Arial" w:cs="Arial"/>
          <w:lang w:val="es-ES"/>
        </w:rPr>
      </w:pPr>
      <w:r w:rsidRPr="0056744A">
        <w:rPr>
          <w:rFonts w:ascii="Arial" w:hAnsi="Arial" w:cs="Arial"/>
          <w:lang w:val="es-ES"/>
        </w:rPr>
        <w:t>Del intercambio de información realizado con dicho país, se logra conocer que la empresa vinculada no dispone de lugar físico para el desarrollo de actividades, no posee activos y cuenta con un solo trabajador en planilla.</w:t>
      </w:r>
    </w:p>
    <w:p w14:paraId="3043EE53" w14:textId="1F0AEC02" w:rsidR="005A0650" w:rsidRPr="0056744A" w:rsidRDefault="005A0650" w:rsidP="005A0650">
      <w:pPr>
        <w:spacing w:after="0" w:line="240" w:lineRule="auto"/>
        <w:jc w:val="both"/>
        <w:rPr>
          <w:rFonts w:ascii="Arial" w:hAnsi="Arial" w:cs="Arial"/>
          <w:lang w:val="es-ES"/>
        </w:rPr>
      </w:pPr>
    </w:p>
    <w:p w14:paraId="51EB28F4" w14:textId="67A79422" w:rsidR="005A0650" w:rsidRPr="0056744A" w:rsidRDefault="009B1D47" w:rsidP="005A0650">
      <w:pPr>
        <w:spacing w:after="0" w:line="240" w:lineRule="auto"/>
        <w:jc w:val="both"/>
        <w:rPr>
          <w:rFonts w:ascii="Arial" w:hAnsi="Arial" w:cs="Arial"/>
          <w:lang w:val="es-ES"/>
        </w:rPr>
      </w:pPr>
      <w:r>
        <w:rPr>
          <w:rFonts w:ascii="Arial" w:hAnsi="Arial" w:cs="Arial"/>
          <w:lang w:val="es-ES"/>
        </w:rPr>
        <w:t>Según detalla el esquema,</w:t>
      </w:r>
      <w:r w:rsidR="005A0650" w:rsidRPr="0056744A">
        <w:rPr>
          <w:rFonts w:ascii="Arial" w:hAnsi="Arial" w:cs="Arial"/>
          <w:lang w:val="es-ES"/>
        </w:rPr>
        <w:t xml:space="preserve"> a solicitud de la compañía peruana, la empresa vinculada adquiere los bienes del mismo proveedor internacional, para luego entregárselos en arrendamiento. Cabe notar, además, que la importación de los bienes al Perú se realiza directamente del país del proveedor internacional, sin pasar por el país “X”.</w:t>
      </w:r>
    </w:p>
    <w:p w14:paraId="458EFEB1" w14:textId="77777777" w:rsidR="005A0650" w:rsidRPr="0056744A" w:rsidRDefault="005A0650" w:rsidP="005A0650">
      <w:pPr>
        <w:spacing w:after="0" w:line="240" w:lineRule="auto"/>
        <w:jc w:val="both"/>
        <w:rPr>
          <w:rFonts w:ascii="Arial" w:hAnsi="Arial" w:cs="Arial"/>
          <w:lang w:val="es-ES"/>
        </w:rPr>
      </w:pPr>
    </w:p>
    <w:p w14:paraId="7E725CE6" w14:textId="0CA066A3" w:rsidR="005A0650" w:rsidRDefault="005A0650" w:rsidP="005A0650">
      <w:pPr>
        <w:spacing w:after="0" w:line="240" w:lineRule="auto"/>
        <w:jc w:val="both"/>
        <w:rPr>
          <w:rFonts w:ascii="Arial" w:hAnsi="Arial" w:cs="Arial"/>
          <w:lang w:val="es-ES"/>
        </w:rPr>
      </w:pPr>
      <w:r w:rsidRPr="0056744A">
        <w:rPr>
          <w:rFonts w:ascii="Arial" w:hAnsi="Arial" w:cs="Arial"/>
          <w:lang w:val="es-ES"/>
        </w:rPr>
        <w:t xml:space="preserve">Con este esquema, la compañía peruana obtiene un ahorro tributario debido al monto de arrendamiento incrementado que deduce como gasto, disminuyendo su base imponible, y, por ende, el impuesto a pagar. </w:t>
      </w:r>
      <w:r w:rsidR="00C86D89">
        <w:rPr>
          <w:rFonts w:ascii="Arial" w:hAnsi="Arial" w:cs="Arial"/>
          <w:lang w:val="es-ES"/>
        </w:rPr>
        <w:t>E</w:t>
      </w:r>
      <w:r w:rsidRPr="0056744A">
        <w:rPr>
          <w:rFonts w:ascii="Arial" w:hAnsi="Arial" w:cs="Arial"/>
          <w:lang w:val="es-ES"/>
        </w:rPr>
        <w:t>ste ahorro tributario se materializa inclusive teniendo en consideración el pago del 15% de Impuesto a la Renta que efectúa su vinculada por el arrendamiento internacional, en aplicación del respectivo CDI</w:t>
      </w:r>
      <w:r w:rsidR="001E09E9">
        <w:rPr>
          <w:rFonts w:ascii="Arial" w:hAnsi="Arial" w:cs="Arial"/>
          <w:lang w:val="es-ES"/>
        </w:rPr>
        <w:t xml:space="preserve">, </w:t>
      </w:r>
      <w:r w:rsidR="001E09E9" w:rsidRPr="00C86D89">
        <w:rPr>
          <w:rFonts w:ascii="Arial" w:hAnsi="Arial" w:cs="Arial"/>
          <w:lang w:val="es-ES"/>
        </w:rPr>
        <w:t>tasa que</w:t>
      </w:r>
      <w:r w:rsidR="00B40D9C">
        <w:rPr>
          <w:rFonts w:ascii="Arial" w:hAnsi="Arial" w:cs="Arial"/>
          <w:lang w:val="es-ES"/>
        </w:rPr>
        <w:t>,</w:t>
      </w:r>
      <w:r w:rsidR="001E09E9" w:rsidRPr="00C86D89">
        <w:rPr>
          <w:rFonts w:ascii="Arial" w:hAnsi="Arial" w:cs="Arial"/>
          <w:lang w:val="es-ES"/>
        </w:rPr>
        <w:t xml:space="preserve"> además</w:t>
      </w:r>
      <w:r w:rsidR="00B40D9C">
        <w:rPr>
          <w:rFonts w:ascii="Arial" w:hAnsi="Arial" w:cs="Arial"/>
          <w:lang w:val="es-ES"/>
        </w:rPr>
        <w:t>,</w:t>
      </w:r>
      <w:r w:rsidR="001E09E9" w:rsidRPr="00C86D89">
        <w:rPr>
          <w:rFonts w:ascii="Arial" w:hAnsi="Arial" w:cs="Arial"/>
          <w:lang w:val="es-ES"/>
        </w:rPr>
        <w:t xml:space="preserve"> no le corresponde </w:t>
      </w:r>
      <w:r w:rsidR="00015FA3" w:rsidRPr="00C86D89">
        <w:rPr>
          <w:rFonts w:ascii="Arial" w:hAnsi="Arial" w:cs="Arial"/>
          <w:lang w:val="es-ES"/>
        </w:rPr>
        <w:t xml:space="preserve">al </w:t>
      </w:r>
      <w:r w:rsidR="001E09E9" w:rsidRPr="00C86D89">
        <w:rPr>
          <w:rFonts w:ascii="Arial" w:hAnsi="Arial" w:cs="Arial"/>
          <w:lang w:val="es-ES"/>
        </w:rPr>
        <w:t xml:space="preserve">no calificar como beneficiario efectivo </w:t>
      </w:r>
      <w:r w:rsidR="00972D7E" w:rsidRPr="00C86D89">
        <w:rPr>
          <w:rFonts w:ascii="Arial" w:hAnsi="Arial" w:cs="Arial"/>
          <w:lang w:val="es-ES"/>
        </w:rPr>
        <w:t xml:space="preserve">del referido convenio, </w:t>
      </w:r>
      <w:r w:rsidR="00015FA3" w:rsidRPr="00C86D89">
        <w:rPr>
          <w:rFonts w:ascii="Arial" w:hAnsi="Arial" w:cs="Arial"/>
          <w:lang w:val="es-ES"/>
        </w:rPr>
        <w:t>debiendo haber pagado una tasa del 30%</w:t>
      </w:r>
      <w:r w:rsidR="00972D7E" w:rsidRPr="00C86D89">
        <w:rPr>
          <w:rFonts w:ascii="Arial" w:hAnsi="Arial" w:cs="Arial"/>
          <w:lang w:val="es-ES"/>
        </w:rPr>
        <w:t>.</w:t>
      </w:r>
    </w:p>
    <w:p w14:paraId="7AE509AE" w14:textId="559F79AF" w:rsidR="001E1EB2" w:rsidRDefault="001E1EB2" w:rsidP="005A0650">
      <w:pPr>
        <w:spacing w:after="0" w:line="240" w:lineRule="auto"/>
        <w:jc w:val="both"/>
        <w:rPr>
          <w:rFonts w:ascii="Arial" w:hAnsi="Arial" w:cs="Arial"/>
          <w:lang w:val="es-ES"/>
        </w:rPr>
      </w:pPr>
    </w:p>
    <w:p w14:paraId="73DC031D" w14:textId="1D095839" w:rsidR="00B227F0" w:rsidRDefault="00CC4F8F" w:rsidP="00CC4F8F">
      <w:pPr>
        <w:spacing w:after="0" w:line="240" w:lineRule="auto"/>
        <w:jc w:val="both"/>
        <w:rPr>
          <w:rFonts w:ascii="Arial" w:eastAsia="Times New Roman" w:hAnsi="Arial" w:cs="Arial"/>
          <w:color w:val="222222"/>
          <w:lang w:eastAsia="es-PE"/>
        </w:rPr>
      </w:pPr>
      <w:r w:rsidRPr="00C86D89">
        <w:rPr>
          <w:rFonts w:ascii="Arial" w:eastAsia="Times New Roman" w:hAnsi="Arial" w:cs="Arial"/>
          <w:color w:val="222222"/>
          <w:lang w:eastAsia="es-PE"/>
        </w:rPr>
        <w:t xml:space="preserve">Según la base de datos de SUNAT, </w:t>
      </w:r>
      <w:r w:rsidR="00B227F0" w:rsidRPr="00C86D89">
        <w:rPr>
          <w:rFonts w:ascii="Arial" w:eastAsia="Times New Roman" w:hAnsi="Arial" w:cs="Arial"/>
          <w:color w:val="222222"/>
          <w:lang w:eastAsia="es-PE"/>
        </w:rPr>
        <w:t>la renta de fuente peruana generada por no domiciliados, en los últimos tres años, asciende en promedio a S/ 4 270 millones al año, considerando únicamente países con los cuales Perú tiene CDI</w:t>
      </w:r>
      <w:r w:rsidR="00C86D89">
        <w:rPr>
          <w:rFonts w:ascii="Arial" w:eastAsia="Times New Roman" w:hAnsi="Arial" w:cs="Arial"/>
          <w:color w:val="222222"/>
          <w:lang w:eastAsia="es-PE"/>
        </w:rPr>
        <w:t>,</w:t>
      </w:r>
      <w:r w:rsidR="00B227F0" w:rsidRPr="00C86D89">
        <w:rPr>
          <w:rFonts w:ascii="Arial" w:eastAsia="Times New Roman" w:hAnsi="Arial" w:cs="Arial"/>
          <w:color w:val="222222"/>
          <w:lang w:eastAsia="es-PE"/>
        </w:rPr>
        <w:t xml:space="preserve"> por lo que, prácticas como la descrita afectan significativamente la recaudación destinada a cubrir el presupuesto de la nación.</w:t>
      </w:r>
    </w:p>
    <w:p w14:paraId="0A8A3A15" w14:textId="73E2F405" w:rsidR="006A60D9" w:rsidRDefault="006A60D9" w:rsidP="00CC4F8F">
      <w:pPr>
        <w:spacing w:after="0" w:line="240" w:lineRule="auto"/>
        <w:jc w:val="both"/>
        <w:rPr>
          <w:rFonts w:ascii="Arial" w:eastAsia="Times New Roman" w:hAnsi="Arial" w:cs="Arial"/>
          <w:color w:val="222222"/>
          <w:lang w:eastAsia="es-PE"/>
        </w:rPr>
      </w:pPr>
    </w:p>
    <w:p w14:paraId="64B84D17" w14:textId="692752FC" w:rsidR="006A60D9" w:rsidRPr="00881C79" w:rsidRDefault="006A60D9" w:rsidP="00CC4F8F">
      <w:pPr>
        <w:spacing w:after="0" w:line="240" w:lineRule="auto"/>
        <w:jc w:val="both"/>
        <w:rPr>
          <w:rFonts w:ascii="Arial" w:eastAsia="Times New Roman" w:hAnsi="Arial" w:cs="Arial"/>
          <w:color w:val="222222"/>
          <w:lang w:eastAsia="es-PE"/>
        </w:rPr>
      </w:pPr>
      <w:r>
        <w:rPr>
          <w:rFonts w:ascii="Arial" w:eastAsia="Times New Roman" w:hAnsi="Arial" w:cs="Arial"/>
          <w:color w:val="222222"/>
          <w:lang w:eastAsia="es-PE"/>
        </w:rPr>
        <w:t xml:space="preserve">Para consultar el catálogo con los nuevos esquemas puede ingresar aquí </w:t>
      </w:r>
      <w:hyperlink r:id="rId8" w:history="1">
        <w:r w:rsidRPr="00454AEC">
          <w:rPr>
            <w:rStyle w:val="Hipervnculo"/>
            <w:rFonts w:ascii="Arial" w:eastAsia="Times New Roman" w:hAnsi="Arial" w:cs="Arial"/>
            <w:lang w:eastAsia="es-PE"/>
          </w:rPr>
          <w:t>https://orientacion.sunat.gob.pe/7320-10-catalogo-de-esquemas-de-alto-riesgo-fiscal-empresas</w:t>
        </w:r>
      </w:hyperlink>
      <w:r>
        <w:rPr>
          <w:rFonts w:ascii="Arial" w:eastAsia="Times New Roman" w:hAnsi="Arial" w:cs="Arial"/>
          <w:color w:val="222222"/>
          <w:lang w:eastAsia="es-PE"/>
        </w:rPr>
        <w:t xml:space="preserve">. </w:t>
      </w:r>
    </w:p>
    <w:p w14:paraId="2B54C78B" w14:textId="5FD070D3" w:rsidR="00B35E4A" w:rsidRPr="00881C79" w:rsidRDefault="00B35E4A" w:rsidP="001E1EB2">
      <w:pPr>
        <w:spacing w:after="0" w:line="240" w:lineRule="auto"/>
        <w:jc w:val="both"/>
        <w:rPr>
          <w:rFonts w:ascii="Arial" w:eastAsia="Times New Roman" w:hAnsi="Arial" w:cs="Arial"/>
          <w:color w:val="222222"/>
          <w:lang w:eastAsia="es-PE"/>
        </w:rPr>
      </w:pPr>
    </w:p>
    <w:p w14:paraId="17DF429C" w14:textId="77777777" w:rsidR="00C92E06" w:rsidRPr="00B123BF" w:rsidRDefault="00C92E06" w:rsidP="00AE056C">
      <w:pPr>
        <w:spacing w:after="0" w:line="240" w:lineRule="auto"/>
        <w:jc w:val="both"/>
        <w:rPr>
          <w:rFonts w:ascii="Arial" w:hAnsi="Arial" w:cs="Arial"/>
        </w:rPr>
      </w:pPr>
    </w:p>
    <w:p w14:paraId="51940724" w14:textId="77777777" w:rsidR="00E6615C" w:rsidRPr="00B123BF" w:rsidRDefault="00E6615C" w:rsidP="000841D4">
      <w:pPr>
        <w:spacing w:after="0"/>
        <w:jc w:val="both"/>
        <w:rPr>
          <w:rFonts w:ascii="Arial" w:hAnsi="Arial" w:cs="Arial"/>
          <w:b/>
          <w:bCs/>
        </w:rPr>
      </w:pPr>
      <w:r w:rsidRPr="00B123BF">
        <w:rPr>
          <w:rFonts w:ascii="Arial" w:hAnsi="Arial" w:cs="Arial"/>
          <w:b/>
          <w:bCs/>
        </w:rPr>
        <w:t>Gerencia de comunicaciones e Imagen Institucional</w:t>
      </w:r>
    </w:p>
    <w:p w14:paraId="35970BFA" w14:textId="797FD18C" w:rsidR="0024322D" w:rsidRPr="00B123BF" w:rsidRDefault="00E6615C" w:rsidP="000841D4">
      <w:pPr>
        <w:spacing w:after="0"/>
        <w:jc w:val="both"/>
        <w:rPr>
          <w:rFonts w:ascii="Arial" w:hAnsi="Arial" w:cs="Arial"/>
        </w:rPr>
      </w:pPr>
      <w:r w:rsidRPr="00B123BF">
        <w:rPr>
          <w:rFonts w:ascii="Arial" w:hAnsi="Arial" w:cs="Arial"/>
        </w:rPr>
        <w:t xml:space="preserve">Lima, </w:t>
      </w:r>
      <w:r w:rsidR="00CC4F8F">
        <w:rPr>
          <w:rFonts w:ascii="Arial" w:hAnsi="Arial" w:cs="Arial"/>
        </w:rPr>
        <w:t>miércoles</w:t>
      </w:r>
      <w:r w:rsidR="00A530F4">
        <w:rPr>
          <w:rFonts w:ascii="Arial" w:hAnsi="Arial" w:cs="Arial"/>
        </w:rPr>
        <w:t xml:space="preserve"> </w:t>
      </w:r>
      <w:r w:rsidR="00DF7364" w:rsidRPr="00B123BF">
        <w:rPr>
          <w:rFonts w:ascii="Arial" w:hAnsi="Arial" w:cs="Arial"/>
        </w:rPr>
        <w:t>1</w:t>
      </w:r>
      <w:r w:rsidR="00CC4F8F">
        <w:rPr>
          <w:rFonts w:ascii="Arial" w:hAnsi="Arial" w:cs="Arial"/>
        </w:rPr>
        <w:t>0</w:t>
      </w:r>
      <w:r w:rsidRPr="00B123BF">
        <w:rPr>
          <w:rFonts w:ascii="Arial" w:hAnsi="Arial" w:cs="Arial"/>
        </w:rPr>
        <w:t xml:space="preserve"> de </w:t>
      </w:r>
      <w:r w:rsidR="00CC4F8F">
        <w:rPr>
          <w:rFonts w:ascii="Arial" w:hAnsi="Arial" w:cs="Arial"/>
        </w:rPr>
        <w:t>julio</w:t>
      </w:r>
      <w:r w:rsidR="009F74E9" w:rsidRPr="00B123BF">
        <w:rPr>
          <w:rFonts w:ascii="Arial" w:hAnsi="Arial" w:cs="Arial"/>
        </w:rPr>
        <w:t xml:space="preserve"> </w:t>
      </w:r>
      <w:r w:rsidRPr="00B123BF">
        <w:rPr>
          <w:rFonts w:ascii="Arial" w:hAnsi="Arial" w:cs="Arial"/>
        </w:rPr>
        <w:t>de</w:t>
      </w:r>
      <w:r w:rsidR="00A530F4">
        <w:rPr>
          <w:rFonts w:ascii="Arial" w:hAnsi="Arial" w:cs="Arial"/>
        </w:rPr>
        <w:t>l</w:t>
      </w:r>
      <w:r w:rsidRPr="00B123BF">
        <w:rPr>
          <w:rFonts w:ascii="Arial" w:hAnsi="Arial" w:cs="Arial"/>
        </w:rPr>
        <w:t xml:space="preserve"> 20</w:t>
      </w:r>
      <w:r w:rsidR="00CC4F8F">
        <w:rPr>
          <w:rFonts w:ascii="Arial" w:hAnsi="Arial" w:cs="Arial"/>
        </w:rPr>
        <w:t>24</w:t>
      </w:r>
      <w:r w:rsidR="00F00F74">
        <w:rPr>
          <w:rFonts w:ascii="Arial" w:hAnsi="Arial" w:cs="Arial"/>
        </w:rPr>
        <w:t>.</w:t>
      </w:r>
    </w:p>
    <w:sectPr w:rsidR="0024322D" w:rsidRPr="00B123BF" w:rsidSect="00A40E65">
      <w:headerReference w:type="default" r:id="rId9"/>
      <w:footerReference w:type="default" r:id="rId10"/>
      <w:pgSz w:w="11906" w:h="16838"/>
      <w:pgMar w:top="1134" w:right="1701" w:bottom="426" w:left="1701" w:header="284"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84C9" w14:textId="77777777" w:rsidR="002045D9" w:rsidRDefault="002045D9" w:rsidP="00A62652">
      <w:pPr>
        <w:spacing w:after="0" w:line="240" w:lineRule="auto"/>
      </w:pPr>
      <w:r>
        <w:separator/>
      </w:r>
    </w:p>
  </w:endnote>
  <w:endnote w:type="continuationSeparator" w:id="0">
    <w:p w14:paraId="33BDE713" w14:textId="77777777" w:rsidR="002045D9" w:rsidRDefault="002045D9" w:rsidP="00A6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2DCA" w14:textId="77777777" w:rsidR="008E137C" w:rsidRDefault="00912C36">
    <w:pPr>
      <w:pStyle w:val="Piedepgina"/>
    </w:pPr>
    <w:r>
      <w:rPr>
        <w:noProof/>
      </w:rPr>
      <w:drawing>
        <wp:inline distT="0" distB="0" distL="0" distR="0" wp14:anchorId="5C503707" wp14:editId="0C5BE1C3">
          <wp:extent cx="285750" cy="28575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008E137C" w:rsidRPr="008E137C">
      <w:t>@SUNATOficial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8A78" w14:textId="77777777" w:rsidR="002045D9" w:rsidRDefault="002045D9" w:rsidP="00A62652">
      <w:pPr>
        <w:spacing w:after="0" w:line="240" w:lineRule="auto"/>
      </w:pPr>
      <w:r>
        <w:separator/>
      </w:r>
    </w:p>
  </w:footnote>
  <w:footnote w:type="continuationSeparator" w:id="0">
    <w:p w14:paraId="5D0C08B7" w14:textId="77777777" w:rsidR="002045D9" w:rsidRDefault="002045D9" w:rsidP="00A6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BD78" w14:textId="77777777" w:rsidR="00A62652" w:rsidRDefault="00912C36" w:rsidP="00A62652">
    <w:pPr>
      <w:pStyle w:val="Encabezado"/>
      <w:ind w:left="-284"/>
    </w:pPr>
    <w:r w:rsidRPr="000F63EA">
      <w:rPr>
        <w:noProof/>
        <w:lang w:eastAsia="es-PE"/>
      </w:rPr>
      <w:drawing>
        <wp:inline distT="0" distB="0" distL="0" distR="0" wp14:anchorId="687DCA54" wp14:editId="3CC7E95C">
          <wp:extent cx="2211705" cy="704850"/>
          <wp:effectExtent l="0" t="0" r="0" b="0"/>
          <wp:docPr id="3" name="Imagen 3" descr="Descripción: logoofici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3B"/>
    <w:multiLevelType w:val="hybridMultilevel"/>
    <w:tmpl w:val="6C1CF2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CC5814"/>
    <w:multiLevelType w:val="hybridMultilevel"/>
    <w:tmpl w:val="8BE67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3B42F6"/>
    <w:multiLevelType w:val="hybridMultilevel"/>
    <w:tmpl w:val="172C3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114589B"/>
    <w:multiLevelType w:val="hybridMultilevel"/>
    <w:tmpl w:val="E06C54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9AA3C28"/>
    <w:multiLevelType w:val="hybridMultilevel"/>
    <w:tmpl w:val="3B3CF2AC"/>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9F142C7"/>
    <w:multiLevelType w:val="hybridMultilevel"/>
    <w:tmpl w:val="313AE7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72443658">
    <w:abstractNumId w:val="3"/>
  </w:num>
  <w:num w:numId="2" w16cid:durableId="1330478339">
    <w:abstractNumId w:val="2"/>
  </w:num>
  <w:num w:numId="3" w16cid:durableId="735130023">
    <w:abstractNumId w:val="1"/>
  </w:num>
  <w:num w:numId="4" w16cid:durableId="1348016771">
    <w:abstractNumId w:val="5"/>
  </w:num>
  <w:num w:numId="5" w16cid:durableId="1288198087">
    <w:abstractNumId w:val="0"/>
  </w:num>
  <w:num w:numId="6" w16cid:durableId="146362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4"/>
    <w:rsid w:val="000152C8"/>
    <w:rsid w:val="00015FA3"/>
    <w:rsid w:val="00032FFC"/>
    <w:rsid w:val="00053920"/>
    <w:rsid w:val="00066D4F"/>
    <w:rsid w:val="000737F6"/>
    <w:rsid w:val="00074CCE"/>
    <w:rsid w:val="00076794"/>
    <w:rsid w:val="000841D4"/>
    <w:rsid w:val="00086C1D"/>
    <w:rsid w:val="00094164"/>
    <w:rsid w:val="000D79BF"/>
    <w:rsid w:val="000E28AC"/>
    <w:rsid w:val="000E367C"/>
    <w:rsid w:val="000E66CA"/>
    <w:rsid w:val="000F210F"/>
    <w:rsid w:val="00113A01"/>
    <w:rsid w:val="00131153"/>
    <w:rsid w:val="00133646"/>
    <w:rsid w:val="00177606"/>
    <w:rsid w:val="00192E30"/>
    <w:rsid w:val="00196EE2"/>
    <w:rsid w:val="00197269"/>
    <w:rsid w:val="001A0239"/>
    <w:rsid w:val="001A4452"/>
    <w:rsid w:val="001B19F8"/>
    <w:rsid w:val="001B2B3A"/>
    <w:rsid w:val="001E09E9"/>
    <w:rsid w:val="001E180D"/>
    <w:rsid w:val="001E1C40"/>
    <w:rsid w:val="001E1EB2"/>
    <w:rsid w:val="001E3505"/>
    <w:rsid w:val="001E5C9F"/>
    <w:rsid w:val="0020134D"/>
    <w:rsid w:val="002045D9"/>
    <w:rsid w:val="0020636F"/>
    <w:rsid w:val="00220199"/>
    <w:rsid w:val="002267C8"/>
    <w:rsid w:val="00231167"/>
    <w:rsid w:val="00234815"/>
    <w:rsid w:val="0024322D"/>
    <w:rsid w:val="00261C73"/>
    <w:rsid w:val="0027781F"/>
    <w:rsid w:val="00297A8C"/>
    <w:rsid w:val="002A21C7"/>
    <w:rsid w:val="002A4EFE"/>
    <w:rsid w:val="002D4D7E"/>
    <w:rsid w:val="002F374E"/>
    <w:rsid w:val="002F4FA4"/>
    <w:rsid w:val="003047C7"/>
    <w:rsid w:val="003111FF"/>
    <w:rsid w:val="003131A0"/>
    <w:rsid w:val="00325966"/>
    <w:rsid w:val="0035439D"/>
    <w:rsid w:val="003858EA"/>
    <w:rsid w:val="00394A8D"/>
    <w:rsid w:val="003B4A89"/>
    <w:rsid w:val="003C2E42"/>
    <w:rsid w:val="003C4ED9"/>
    <w:rsid w:val="003E4A0A"/>
    <w:rsid w:val="00405566"/>
    <w:rsid w:val="00415BA1"/>
    <w:rsid w:val="00430CBF"/>
    <w:rsid w:val="0043182A"/>
    <w:rsid w:val="00435ED8"/>
    <w:rsid w:val="00437FD9"/>
    <w:rsid w:val="00442CC5"/>
    <w:rsid w:val="004452A9"/>
    <w:rsid w:val="004460BC"/>
    <w:rsid w:val="00465464"/>
    <w:rsid w:val="00470380"/>
    <w:rsid w:val="00470F4E"/>
    <w:rsid w:val="00471DBE"/>
    <w:rsid w:val="00473323"/>
    <w:rsid w:val="00473CA5"/>
    <w:rsid w:val="00474F90"/>
    <w:rsid w:val="00477381"/>
    <w:rsid w:val="00487DB3"/>
    <w:rsid w:val="00496D99"/>
    <w:rsid w:val="004C562F"/>
    <w:rsid w:val="004D33B4"/>
    <w:rsid w:val="004D3968"/>
    <w:rsid w:val="004D743D"/>
    <w:rsid w:val="004E6C2E"/>
    <w:rsid w:val="004F3F49"/>
    <w:rsid w:val="005159AD"/>
    <w:rsid w:val="005414A4"/>
    <w:rsid w:val="00543A40"/>
    <w:rsid w:val="00544063"/>
    <w:rsid w:val="00544E8C"/>
    <w:rsid w:val="00552F10"/>
    <w:rsid w:val="005627FD"/>
    <w:rsid w:val="00582CD2"/>
    <w:rsid w:val="00590B90"/>
    <w:rsid w:val="0059668B"/>
    <w:rsid w:val="005A0650"/>
    <w:rsid w:val="005B4619"/>
    <w:rsid w:val="005D17D0"/>
    <w:rsid w:val="005E365B"/>
    <w:rsid w:val="005E3F3A"/>
    <w:rsid w:val="005F0E12"/>
    <w:rsid w:val="005F1EBD"/>
    <w:rsid w:val="006028FE"/>
    <w:rsid w:val="006054A8"/>
    <w:rsid w:val="006246B5"/>
    <w:rsid w:val="00634A20"/>
    <w:rsid w:val="00647632"/>
    <w:rsid w:val="00664958"/>
    <w:rsid w:val="00681235"/>
    <w:rsid w:val="006839B5"/>
    <w:rsid w:val="006902E6"/>
    <w:rsid w:val="006A60D9"/>
    <w:rsid w:val="006A78EE"/>
    <w:rsid w:val="006B166D"/>
    <w:rsid w:val="006C498C"/>
    <w:rsid w:val="006D1C92"/>
    <w:rsid w:val="00710BB2"/>
    <w:rsid w:val="00717B56"/>
    <w:rsid w:val="00726B1A"/>
    <w:rsid w:val="007326B9"/>
    <w:rsid w:val="007407B6"/>
    <w:rsid w:val="00740AAC"/>
    <w:rsid w:val="00750D3C"/>
    <w:rsid w:val="007560A3"/>
    <w:rsid w:val="0075619C"/>
    <w:rsid w:val="00771D5F"/>
    <w:rsid w:val="0077322E"/>
    <w:rsid w:val="007753B7"/>
    <w:rsid w:val="007919EB"/>
    <w:rsid w:val="007A16DD"/>
    <w:rsid w:val="007A2AB4"/>
    <w:rsid w:val="007B12F4"/>
    <w:rsid w:val="007B1793"/>
    <w:rsid w:val="007B3858"/>
    <w:rsid w:val="007B4895"/>
    <w:rsid w:val="007B699B"/>
    <w:rsid w:val="007C0C50"/>
    <w:rsid w:val="007C7DD3"/>
    <w:rsid w:val="007D1D03"/>
    <w:rsid w:val="007D433B"/>
    <w:rsid w:val="007D4F19"/>
    <w:rsid w:val="007D5832"/>
    <w:rsid w:val="007E4C33"/>
    <w:rsid w:val="007F2107"/>
    <w:rsid w:val="00804227"/>
    <w:rsid w:val="008128B3"/>
    <w:rsid w:val="00817B7D"/>
    <w:rsid w:val="00837090"/>
    <w:rsid w:val="0084455E"/>
    <w:rsid w:val="00845CE7"/>
    <w:rsid w:val="00847A0D"/>
    <w:rsid w:val="0085669A"/>
    <w:rsid w:val="0086092A"/>
    <w:rsid w:val="00862FFA"/>
    <w:rsid w:val="008656A1"/>
    <w:rsid w:val="008669A1"/>
    <w:rsid w:val="008801AE"/>
    <w:rsid w:val="00881C79"/>
    <w:rsid w:val="008830ED"/>
    <w:rsid w:val="008A4F12"/>
    <w:rsid w:val="008B1079"/>
    <w:rsid w:val="008C76EA"/>
    <w:rsid w:val="008C7A3D"/>
    <w:rsid w:val="008E137C"/>
    <w:rsid w:val="008E294A"/>
    <w:rsid w:val="008E7048"/>
    <w:rsid w:val="008F46AF"/>
    <w:rsid w:val="009019A4"/>
    <w:rsid w:val="00905814"/>
    <w:rsid w:val="00912C36"/>
    <w:rsid w:val="00916F55"/>
    <w:rsid w:val="00921D6C"/>
    <w:rsid w:val="00934861"/>
    <w:rsid w:val="00936D89"/>
    <w:rsid w:val="009505BC"/>
    <w:rsid w:val="00951CB3"/>
    <w:rsid w:val="0095774E"/>
    <w:rsid w:val="00972D7E"/>
    <w:rsid w:val="0097481E"/>
    <w:rsid w:val="009916BE"/>
    <w:rsid w:val="009A2A3D"/>
    <w:rsid w:val="009A4A53"/>
    <w:rsid w:val="009B139E"/>
    <w:rsid w:val="009B1D47"/>
    <w:rsid w:val="009C4DE7"/>
    <w:rsid w:val="009E35D3"/>
    <w:rsid w:val="009F0246"/>
    <w:rsid w:val="009F1083"/>
    <w:rsid w:val="009F74E9"/>
    <w:rsid w:val="00A40E65"/>
    <w:rsid w:val="00A45F91"/>
    <w:rsid w:val="00A47E2F"/>
    <w:rsid w:val="00A530F4"/>
    <w:rsid w:val="00A62652"/>
    <w:rsid w:val="00A77FAE"/>
    <w:rsid w:val="00A83851"/>
    <w:rsid w:val="00AA097D"/>
    <w:rsid w:val="00AC63C1"/>
    <w:rsid w:val="00AD1AC0"/>
    <w:rsid w:val="00AD20BD"/>
    <w:rsid w:val="00AD7ACB"/>
    <w:rsid w:val="00AE056C"/>
    <w:rsid w:val="00AE31AB"/>
    <w:rsid w:val="00AF5CB9"/>
    <w:rsid w:val="00B0013C"/>
    <w:rsid w:val="00B04B8F"/>
    <w:rsid w:val="00B123BF"/>
    <w:rsid w:val="00B15120"/>
    <w:rsid w:val="00B155C1"/>
    <w:rsid w:val="00B202EF"/>
    <w:rsid w:val="00B227F0"/>
    <w:rsid w:val="00B2691E"/>
    <w:rsid w:val="00B35E4A"/>
    <w:rsid w:val="00B40612"/>
    <w:rsid w:val="00B40D9C"/>
    <w:rsid w:val="00B413D1"/>
    <w:rsid w:val="00B63B43"/>
    <w:rsid w:val="00B86ABF"/>
    <w:rsid w:val="00B87679"/>
    <w:rsid w:val="00B9047E"/>
    <w:rsid w:val="00BB7A18"/>
    <w:rsid w:val="00BC56FA"/>
    <w:rsid w:val="00BD35AC"/>
    <w:rsid w:val="00BE2BE9"/>
    <w:rsid w:val="00BF0D57"/>
    <w:rsid w:val="00BF4061"/>
    <w:rsid w:val="00BF434D"/>
    <w:rsid w:val="00C078D0"/>
    <w:rsid w:val="00C46BE5"/>
    <w:rsid w:val="00C71DB9"/>
    <w:rsid w:val="00C86D89"/>
    <w:rsid w:val="00C92E06"/>
    <w:rsid w:val="00CB1E69"/>
    <w:rsid w:val="00CC123C"/>
    <w:rsid w:val="00CC4F8F"/>
    <w:rsid w:val="00CC7934"/>
    <w:rsid w:val="00CC7DFC"/>
    <w:rsid w:val="00CD1F6E"/>
    <w:rsid w:val="00CD61EB"/>
    <w:rsid w:val="00CF4609"/>
    <w:rsid w:val="00D02135"/>
    <w:rsid w:val="00D11A9D"/>
    <w:rsid w:val="00D17EAA"/>
    <w:rsid w:val="00D20225"/>
    <w:rsid w:val="00D234A3"/>
    <w:rsid w:val="00D36E22"/>
    <w:rsid w:val="00D52A7B"/>
    <w:rsid w:val="00D53322"/>
    <w:rsid w:val="00D818B2"/>
    <w:rsid w:val="00D92273"/>
    <w:rsid w:val="00DA5738"/>
    <w:rsid w:val="00DA6676"/>
    <w:rsid w:val="00DC5D75"/>
    <w:rsid w:val="00DD15B9"/>
    <w:rsid w:val="00DF44DD"/>
    <w:rsid w:val="00DF7171"/>
    <w:rsid w:val="00DF7364"/>
    <w:rsid w:val="00E023FA"/>
    <w:rsid w:val="00E105A3"/>
    <w:rsid w:val="00E107D2"/>
    <w:rsid w:val="00E21221"/>
    <w:rsid w:val="00E24D82"/>
    <w:rsid w:val="00E600B1"/>
    <w:rsid w:val="00E600EB"/>
    <w:rsid w:val="00E6615C"/>
    <w:rsid w:val="00E723A9"/>
    <w:rsid w:val="00E74B85"/>
    <w:rsid w:val="00E75E49"/>
    <w:rsid w:val="00E928BF"/>
    <w:rsid w:val="00EA34BD"/>
    <w:rsid w:val="00EA7B8C"/>
    <w:rsid w:val="00EC7E9B"/>
    <w:rsid w:val="00ED495E"/>
    <w:rsid w:val="00EE1CD2"/>
    <w:rsid w:val="00F00F74"/>
    <w:rsid w:val="00F25CA4"/>
    <w:rsid w:val="00F32C59"/>
    <w:rsid w:val="00F50938"/>
    <w:rsid w:val="00F50DC9"/>
    <w:rsid w:val="00F72F60"/>
    <w:rsid w:val="00F9310C"/>
    <w:rsid w:val="00F93C03"/>
    <w:rsid w:val="00F976CD"/>
    <w:rsid w:val="00FD5275"/>
    <w:rsid w:val="00FE4EAD"/>
    <w:rsid w:val="00FF20EA"/>
    <w:rsid w:val="00FF4A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EE46"/>
  <w15:docId w15:val="{A6649FFA-9CDD-264A-B158-12D5D22F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794"/>
    <w:pPr>
      <w:spacing w:before="100" w:beforeAutospacing="1" w:after="100" w:afterAutospacing="1" w:line="240" w:lineRule="auto"/>
    </w:pPr>
    <w:rPr>
      <w:rFonts w:ascii="Times New Roman" w:eastAsia="Times New Roman" w:hAnsi="Times New Roman"/>
      <w:sz w:val="24"/>
      <w:szCs w:val="24"/>
      <w:lang w:eastAsia="es-PE"/>
    </w:rPr>
  </w:style>
  <w:style w:type="paragraph" w:styleId="Encabezado">
    <w:name w:val="header"/>
    <w:basedOn w:val="Normal"/>
    <w:link w:val="EncabezadoCar"/>
    <w:uiPriority w:val="99"/>
    <w:unhideWhenUsed/>
    <w:rsid w:val="00A626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652"/>
  </w:style>
  <w:style w:type="paragraph" w:styleId="Piedepgina">
    <w:name w:val="footer"/>
    <w:basedOn w:val="Normal"/>
    <w:link w:val="PiedepginaCar"/>
    <w:uiPriority w:val="99"/>
    <w:unhideWhenUsed/>
    <w:rsid w:val="00A626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652"/>
  </w:style>
  <w:style w:type="character" w:styleId="Refdecomentario">
    <w:name w:val="annotation reference"/>
    <w:uiPriority w:val="99"/>
    <w:semiHidden/>
    <w:unhideWhenUsed/>
    <w:rsid w:val="007919EB"/>
    <w:rPr>
      <w:sz w:val="16"/>
      <w:szCs w:val="16"/>
    </w:rPr>
  </w:style>
  <w:style w:type="paragraph" w:styleId="Textocomentario">
    <w:name w:val="annotation text"/>
    <w:basedOn w:val="Normal"/>
    <w:link w:val="TextocomentarioCar"/>
    <w:uiPriority w:val="99"/>
    <w:unhideWhenUsed/>
    <w:rsid w:val="007919EB"/>
    <w:rPr>
      <w:sz w:val="20"/>
      <w:szCs w:val="20"/>
    </w:rPr>
  </w:style>
  <w:style w:type="character" w:customStyle="1" w:styleId="TextocomentarioCar">
    <w:name w:val="Texto comentario Car"/>
    <w:link w:val="Textocomentario"/>
    <w:uiPriority w:val="99"/>
    <w:rsid w:val="007919EB"/>
    <w:rPr>
      <w:lang w:eastAsia="en-US"/>
    </w:rPr>
  </w:style>
  <w:style w:type="paragraph" w:styleId="Asuntodelcomentario">
    <w:name w:val="annotation subject"/>
    <w:basedOn w:val="Textocomentario"/>
    <w:next w:val="Textocomentario"/>
    <w:link w:val="AsuntodelcomentarioCar"/>
    <w:uiPriority w:val="99"/>
    <w:semiHidden/>
    <w:unhideWhenUsed/>
    <w:rsid w:val="007919EB"/>
    <w:rPr>
      <w:b/>
      <w:bCs/>
    </w:rPr>
  </w:style>
  <w:style w:type="character" w:customStyle="1" w:styleId="AsuntodelcomentarioCar">
    <w:name w:val="Asunto del comentario Car"/>
    <w:link w:val="Asuntodelcomentario"/>
    <w:uiPriority w:val="99"/>
    <w:semiHidden/>
    <w:rsid w:val="007919EB"/>
    <w:rPr>
      <w:b/>
      <w:bCs/>
      <w:lang w:eastAsia="en-US"/>
    </w:rPr>
  </w:style>
  <w:style w:type="paragraph" w:styleId="Textodeglobo">
    <w:name w:val="Balloon Text"/>
    <w:basedOn w:val="Normal"/>
    <w:link w:val="TextodegloboCar"/>
    <w:uiPriority w:val="99"/>
    <w:semiHidden/>
    <w:unhideWhenUsed/>
    <w:rsid w:val="007919E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919EB"/>
    <w:rPr>
      <w:rFonts w:ascii="Segoe UI" w:hAnsi="Segoe UI" w:cs="Segoe UI"/>
      <w:sz w:val="18"/>
      <w:szCs w:val="18"/>
      <w:lang w:eastAsia="en-US"/>
    </w:rPr>
  </w:style>
  <w:style w:type="paragraph" w:styleId="Prrafodelista">
    <w:name w:val="List Paragraph"/>
    <w:basedOn w:val="Normal"/>
    <w:uiPriority w:val="34"/>
    <w:qFormat/>
    <w:rsid w:val="00B123BF"/>
    <w:pPr>
      <w:ind w:left="720"/>
      <w:contextualSpacing/>
    </w:pPr>
  </w:style>
  <w:style w:type="paragraph" w:styleId="Textonotapie">
    <w:name w:val="footnote text"/>
    <w:basedOn w:val="Normal"/>
    <w:link w:val="TextonotapieCar"/>
    <w:uiPriority w:val="99"/>
    <w:semiHidden/>
    <w:unhideWhenUsed/>
    <w:rsid w:val="00032FFC"/>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032FFC"/>
    <w:rPr>
      <w:rFonts w:asciiTheme="minorHAnsi" w:eastAsiaTheme="minorHAnsi" w:hAnsiTheme="minorHAnsi" w:cstheme="minorBidi"/>
      <w:lang w:val="es-PE" w:eastAsia="en-US"/>
    </w:rPr>
  </w:style>
  <w:style w:type="character" w:styleId="Refdenotaalpie">
    <w:name w:val="footnote reference"/>
    <w:basedOn w:val="Fuentedeprrafopredeter"/>
    <w:uiPriority w:val="99"/>
    <w:semiHidden/>
    <w:unhideWhenUsed/>
    <w:rsid w:val="00032FFC"/>
    <w:rPr>
      <w:vertAlign w:val="superscript"/>
    </w:rPr>
  </w:style>
  <w:style w:type="character" w:styleId="Hipervnculo">
    <w:name w:val="Hyperlink"/>
    <w:basedOn w:val="Fuentedeprrafopredeter"/>
    <w:uiPriority w:val="99"/>
    <w:unhideWhenUsed/>
    <w:rsid w:val="006A60D9"/>
    <w:rPr>
      <w:color w:val="0563C1" w:themeColor="hyperlink"/>
      <w:u w:val="single"/>
    </w:rPr>
  </w:style>
  <w:style w:type="character" w:styleId="Mencinsinresolver">
    <w:name w:val="Unresolved Mention"/>
    <w:basedOn w:val="Fuentedeprrafopredeter"/>
    <w:uiPriority w:val="99"/>
    <w:semiHidden/>
    <w:unhideWhenUsed/>
    <w:rsid w:val="006A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102">
      <w:bodyDiv w:val="1"/>
      <w:marLeft w:val="0"/>
      <w:marRight w:val="0"/>
      <w:marTop w:val="0"/>
      <w:marBottom w:val="0"/>
      <w:divBdr>
        <w:top w:val="none" w:sz="0" w:space="0" w:color="auto"/>
        <w:left w:val="none" w:sz="0" w:space="0" w:color="auto"/>
        <w:bottom w:val="none" w:sz="0" w:space="0" w:color="auto"/>
        <w:right w:val="none" w:sz="0" w:space="0" w:color="auto"/>
      </w:divBdr>
    </w:div>
    <w:div w:id="247079896">
      <w:bodyDiv w:val="1"/>
      <w:marLeft w:val="0"/>
      <w:marRight w:val="0"/>
      <w:marTop w:val="0"/>
      <w:marBottom w:val="0"/>
      <w:divBdr>
        <w:top w:val="none" w:sz="0" w:space="0" w:color="auto"/>
        <w:left w:val="none" w:sz="0" w:space="0" w:color="auto"/>
        <w:bottom w:val="none" w:sz="0" w:space="0" w:color="auto"/>
        <w:right w:val="none" w:sz="0" w:space="0" w:color="auto"/>
      </w:divBdr>
    </w:div>
    <w:div w:id="296566883">
      <w:bodyDiv w:val="1"/>
      <w:marLeft w:val="0"/>
      <w:marRight w:val="0"/>
      <w:marTop w:val="0"/>
      <w:marBottom w:val="0"/>
      <w:divBdr>
        <w:top w:val="none" w:sz="0" w:space="0" w:color="auto"/>
        <w:left w:val="none" w:sz="0" w:space="0" w:color="auto"/>
        <w:bottom w:val="none" w:sz="0" w:space="0" w:color="auto"/>
        <w:right w:val="none" w:sz="0" w:space="0" w:color="auto"/>
      </w:divBdr>
    </w:div>
    <w:div w:id="1721975528">
      <w:bodyDiv w:val="1"/>
      <w:marLeft w:val="0"/>
      <w:marRight w:val="0"/>
      <w:marTop w:val="0"/>
      <w:marBottom w:val="0"/>
      <w:divBdr>
        <w:top w:val="none" w:sz="0" w:space="0" w:color="auto"/>
        <w:left w:val="none" w:sz="0" w:space="0" w:color="auto"/>
        <w:bottom w:val="none" w:sz="0" w:space="0" w:color="auto"/>
        <w:right w:val="none" w:sz="0" w:space="0" w:color="auto"/>
      </w:divBdr>
    </w:div>
    <w:div w:id="1742554590">
      <w:bodyDiv w:val="1"/>
      <w:marLeft w:val="0"/>
      <w:marRight w:val="0"/>
      <w:marTop w:val="0"/>
      <w:marBottom w:val="0"/>
      <w:divBdr>
        <w:top w:val="none" w:sz="0" w:space="0" w:color="auto"/>
        <w:left w:val="none" w:sz="0" w:space="0" w:color="auto"/>
        <w:bottom w:val="none" w:sz="0" w:space="0" w:color="auto"/>
        <w:right w:val="none" w:sz="0" w:space="0" w:color="auto"/>
      </w:divBdr>
    </w:div>
    <w:div w:id="181502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entacion.sunat.gob.pe/7320-10-catalogo-de-esquemas-de-alto-riesgo-fiscal-empres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1223-C07C-4B0F-AF95-7163351A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Manzaneda Miranda Gardy Raul</cp:lastModifiedBy>
  <cp:revision>6</cp:revision>
  <dcterms:created xsi:type="dcterms:W3CDTF">2024-07-10T15:08:00Z</dcterms:created>
  <dcterms:modified xsi:type="dcterms:W3CDTF">2024-07-11T15:21:00Z</dcterms:modified>
</cp:coreProperties>
</file>