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BC84" w14:textId="77777777" w:rsidR="00B51099" w:rsidRPr="00B51099" w:rsidRDefault="00B51099" w:rsidP="00B51099">
      <w:pPr>
        <w:spacing w:after="0"/>
        <w:rPr>
          <w:rFonts w:ascii="Arial" w:eastAsia="Times New Roman" w:hAnsi="Arial" w:cs="Arial"/>
          <w:b/>
          <w:bCs/>
          <w:color w:val="222222"/>
          <w:lang w:eastAsia="es-PE"/>
        </w:rPr>
      </w:pPr>
    </w:p>
    <w:p w14:paraId="6361E9AA" w14:textId="752CD216" w:rsidR="00253557" w:rsidRPr="00253557" w:rsidRDefault="00253557" w:rsidP="00253557">
      <w:pPr>
        <w:spacing w:after="0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</w:pPr>
      <w:r w:rsidRPr="00253557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SUNAT: GOLPE AL CONTRABANDO US$ 254 MILLONES EN MERCANCÍAS ILEGALES CAEN EN 2025</w:t>
      </w:r>
    </w:p>
    <w:p w14:paraId="1CF676C8" w14:textId="77777777" w:rsidR="00B10462" w:rsidRDefault="00B10462" w:rsidP="00B10462">
      <w:pPr>
        <w:pStyle w:val="Prrafodelista"/>
        <w:spacing w:after="0"/>
        <w:jc w:val="both"/>
        <w:rPr>
          <w:rFonts w:ascii="Arial" w:eastAsia="Times New Roman" w:hAnsi="Arial" w:cs="Arial"/>
          <w:i/>
          <w:iCs/>
          <w:color w:val="222222"/>
          <w:lang w:eastAsia="es-PE"/>
        </w:rPr>
      </w:pPr>
    </w:p>
    <w:p w14:paraId="765924E3" w14:textId="2B58EA49" w:rsidR="00253557" w:rsidRDefault="00253557" w:rsidP="00B10462">
      <w:pPr>
        <w:pStyle w:val="Prrafodelista"/>
        <w:numPr>
          <w:ilvl w:val="0"/>
          <w:numId w:val="11"/>
        </w:numPr>
        <w:spacing w:after="120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</w:pPr>
      <w:r w:rsidRPr="00B10462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Despliegue operativo y uso de inteligencia aduanera permitieron crecimiento de 19% en intervenciones, con 17 757 acciones de control en todo el país.</w:t>
      </w:r>
    </w:p>
    <w:p w14:paraId="0D20C611" w14:textId="77777777" w:rsidR="00B10462" w:rsidRPr="00B10462" w:rsidRDefault="00B10462" w:rsidP="00B10462">
      <w:pPr>
        <w:pStyle w:val="Prrafodelista"/>
        <w:spacing w:after="120"/>
        <w:jc w:val="both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s-PE"/>
        </w:rPr>
      </w:pPr>
    </w:p>
    <w:p w14:paraId="6F6324CF" w14:textId="2837877B" w:rsidR="00253557" w:rsidRPr="00B10462" w:rsidRDefault="00253557" w:rsidP="00253557">
      <w:pPr>
        <w:pStyle w:val="Prrafodelista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</w:pPr>
      <w:r w:rsidRPr="00B10462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Drones, escáneres, canes K9 y coordinación con la PNP, Ministerio Público y FF.AA. cerraron espacios al crimen organizado y fortalecieron la persecución penal de redes delictivas.</w:t>
      </w:r>
    </w:p>
    <w:p w14:paraId="0D5E6A21" w14:textId="77777777" w:rsidR="00253557" w:rsidRDefault="00253557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391221D" w14:textId="7998CF64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 xml:space="preserve">La Superintendencia Nacional de Aduanas y de Administración Tributaria (SUNAT) viene reforzando su estrategia integral de control aduanero a nivel nacional, fortaleciendo las acciones conjuntas con distintas autoridades en la lucha contra el contrabando. </w:t>
      </w:r>
    </w:p>
    <w:p w14:paraId="7FCF182B" w14:textId="77777777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1D6A0C1" w14:textId="4C54146B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 xml:space="preserve">Entre enero y noviembre de 2025 se han intervenido mercancías de contrabando valorizadas en aproximadamente US$ 254 millones, lo que representa un incremento del 19% respecto del mismo período de 2024. En este mismo </w:t>
      </w:r>
      <w:r w:rsidR="00B10462">
        <w:rPr>
          <w:rFonts w:ascii="Arial" w:eastAsia="Times New Roman" w:hAnsi="Arial" w:cs="Arial"/>
          <w:color w:val="222222"/>
          <w:lang w:eastAsia="es-PE"/>
        </w:rPr>
        <w:t>periodo</w:t>
      </w:r>
      <w:r w:rsidRPr="003B3AC2">
        <w:rPr>
          <w:rFonts w:ascii="Arial" w:eastAsia="Times New Roman" w:hAnsi="Arial" w:cs="Arial"/>
          <w:color w:val="222222"/>
          <w:lang w:eastAsia="es-PE"/>
        </w:rPr>
        <w:t>, se han ejecutado alrededor de 17,757 acciones de control en fronteras, puertos, aeropuertos</w:t>
      </w:r>
      <w:r w:rsidR="00502E29">
        <w:rPr>
          <w:rFonts w:ascii="Arial" w:eastAsia="Times New Roman" w:hAnsi="Arial" w:cs="Arial"/>
          <w:color w:val="222222"/>
          <w:lang w:eastAsia="es-PE"/>
        </w:rPr>
        <w:t xml:space="preserve"> y </w:t>
      </w:r>
      <w:r w:rsidRPr="003B3AC2">
        <w:rPr>
          <w:rFonts w:ascii="Arial" w:eastAsia="Times New Roman" w:hAnsi="Arial" w:cs="Arial"/>
          <w:color w:val="222222"/>
          <w:lang w:eastAsia="es-PE"/>
        </w:rPr>
        <w:t xml:space="preserve">carreteras, superando las 16,704 intervenciones realizadas </w:t>
      </w:r>
      <w:r w:rsidR="00B10462">
        <w:rPr>
          <w:rFonts w:ascii="Arial" w:eastAsia="Times New Roman" w:hAnsi="Arial" w:cs="Arial"/>
          <w:color w:val="222222"/>
          <w:lang w:eastAsia="es-PE"/>
        </w:rPr>
        <w:t>el</w:t>
      </w:r>
      <w:r w:rsidRPr="003B3AC2">
        <w:rPr>
          <w:rFonts w:ascii="Arial" w:eastAsia="Times New Roman" w:hAnsi="Arial" w:cs="Arial"/>
          <w:color w:val="222222"/>
          <w:lang w:eastAsia="es-PE"/>
        </w:rPr>
        <w:t xml:space="preserve"> año anterior.</w:t>
      </w:r>
    </w:p>
    <w:p w14:paraId="7C653D9A" w14:textId="77777777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1E1ED5F" w14:textId="6C226378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>Las principales mercancías intervenidas son:</w:t>
      </w:r>
    </w:p>
    <w:p w14:paraId="36550764" w14:textId="77095985" w:rsidR="00B1046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 xml:space="preserve"> </w:t>
      </w:r>
    </w:p>
    <w:p w14:paraId="413E30A1" w14:textId="7E4EF68A" w:rsidR="003B3AC2" w:rsidRPr="00B10462" w:rsidRDefault="003B3AC2" w:rsidP="00B10462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10462">
        <w:rPr>
          <w:rFonts w:ascii="Arial" w:eastAsia="Times New Roman" w:hAnsi="Arial" w:cs="Arial"/>
          <w:color w:val="222222"/>
          <w:lang w:eastAsia="es-PE"/>
        </w:rPr>
        <w:t>Maquinarias y artefactos, que concentran alrededor del 10 % del valor total intervenido.</w:t>
      </w:r>
    </w:p>
    <w:p w14:paraId="09DC5D71" w14:textId="1EF565CA" w:rsidR="003B3AC2" w:rsidRPr="00B10462" w:rsidRDefault="003B3AC2" w:rsidP="00B10462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10462">
        <w:rPr>
          <w:rFonts w:ascii="Arial" w:eastAsia="Times New Roman" w:hAnsi="Arial" w:cs="Arial"/>
          <w:color w:val="222222"/>
          <w:lang w:eastAsia="es-PE"/>
        </w:rPr>
        <w:t>Oro y otros metales preciosos, que representan cerca del 7 % del valor total intervenido.</w:t>
      </w:r>
    </w:p>
    <w:p w14:paraId="65F9806E" w14:textId="33DF202B" w:rsidR="003B3AC2" w:rsidRPr="00B10462" w:rsidRDefault="003B3AC2" w:rsidP="00B10462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10462">
        <w:rPr>
          <w:rFonts w:ascii="Arial" w:eastAsia="Times New Roman" w:hAnsi="Arial" w:cs="Arial"/>
          <w:color w:val="222222"/>
          <w:lang w:eastAsia="es-PE"/>
        </w:rPr>
        <w:t>Prendas de vestir, confecciones y ropa usada, que representan aproximadamente el 10 % del total, superando los US$ 23 millones en intervenciones.</w:t>
      </w:r>
    </w:p>
    <w:p w14:paraId="2FC0E7A2" w14:textId="1FC2E5B1" w:rsidR="003B3AC2" w:rsidRPr="00B10462" w:rsidRDefault="003B3AC2" w:rsidP="00B10462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10462">
        <w:rPr>
          <w:rFonts w:ascii="Arial" w:eastAsia="Times New Roman" w:hAnsi="Arial" w:cs="Arial"/>
          <w:color w:val="222222"/>
          <w:lang w:eastAsia="es-PE"/>
        </w:rPr>
        <w:t>Cigarrillos, con un valor estimado de US$ 11.76 millones, lo que supone un incremento cercano al 165% respecto al año 2024.</w:t>
      </w:r>
    </w:p>
    <w:p w14:paraId="16830C5E" w14:textId="7CDC9916" w:rsidR="003B3AC2" w:rsidRPr="00B10462" w:rsidRDefault="003B3AC2" w:rsidP="00B10462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10462">
        <w:rPr>
          <w:rFonts w:ascii="Arial" w:eastAsia="Times New Roman" w:hAnsi="Arial" w:cs="Arial"/>
          <w:color w:val="222222"/>
          <w:lang w:eastAsia="es-PE"/>
        </w:rPr>
        <w:t>Calzado y productos tecnológicos, superan los US$ 34.88 millones.</w:t>
      </w:r>
    </w:p>
    <w:p w14:paraId="3C7E35CF" w14:textId="77777777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0E320DD" w14:textId="49B00259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>Las acciones de control no se limitan a la incautación de mercancías, sino que se orientan al combate de ilícitos mediante la persecución penal:</w:t>
      </w:r>
    </w:p>
    <w:p w14:paraId="0056F078" w14:textId="77777777" w:rsidR="00B10462" w:rsidRPr="003B3AC2" w:rsidRDefault="00B1046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4708FE2" w14:textId="06E3A43E" w:rsidR="003B3AC2" w:rsidRPr="00B10462" w:rsidRDefault="003B3AC2" w:rsidP="00B10462">
      <w:pPr>
        <w:pStyle w:val="Prrafodelista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10462">
        <w:rPr>
          <w:rFonts w:ascii="Arial" w:eastAsia="Times New Roman" w:hAnsi="Arial" w:cs="Arial"/>
          <w:color w:val="222222"/>
          <w:lang w:eastAsia="es-PE"/>
        </w:rPr>
        <w:t>Entre enero y noviembre de 2025 se han elaborado alrededor de 941 informes con indicios de delitos aduaneros, remitidos al Ministerio Público para su investigación, lo que supone un incremento de alrededor del 8 % respecto de 2024.</w:t>
      </w:r>
    </w:p>
    <w:p w14:paraId="5D4CA385" w14:textId="2FF0E18D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709B67D" w14:textId="247A08A7" w:rsidR="003B3AC2" w:rsidRDefault="003B3AC2" w:rsidP="003B3AC2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3B3AC2">
        <w:rPr>
          <w:rFonts w:ascii="Arial" w:eastAsia="Times New Roman" w:hAnsi="Arial" w:cs="Arial"/>
          <w:b/>
          <w:bCs/>
          <w:color w:val="222222"/>
          <w:lang w:eastAsia="es-PE"/>
        </w:rPr>
        <w:t>Estrategia integral</w:t>
      </w:r>
    </w:p>
    <w:p w14:paraId="78AAC0B6" w14:textId="77777777" w:rsidR="00B10462" w:rsidRPr="003B3AC2" w:rsidRDefault="00B10462" w:rsidP="003B3AC2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</w:p>
    <w:p w14:paraId="33CF57EC" w14:textId="77777777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>Estos</w:t>
      </w:r>
      <w:r w:rsidRPr="003B3AC2">
        <w:rPr>
          <w:rFonts w:ascii="Arial" w:eastAsia="Times New Roman" w:hAnsi="Arial" w:cs="Arial"/>
          <w:color w:val="222222"/>
          <w:lang w:eastAsia="es-PE"/>
        </w:rPr>
        <w:t xml:space="preserve"> resultados responden a una estrategia integral de control aduanero, basada en la gestión de riesgos e inteligencia aduanera, controles aéreos, marítimos, fluviales y terrestres, reforzados con el empleo de equipamiento tecnológico como drones, </w:t>
      </w:r>
      <w:r w:rsidRPr="003B3AC2">
        <w:rPr>
          <w:rFonts w:ascii="Arial" w:eastAsia="Times New Roman" w:hAnsi="Arial" w:cs="Arial"/>
          <w:color w:val="222222"/>
          <w:lang w:eastAsia="es-PE"/>
        </w:rPr>
        <w:lastRenderedPageBreak/>
        <w:t>escáneres portátiles y otros, con énfasis en zonas críticas como Puno, Tacna, Tumbes, Piura y el Callao</w:t>
      </w:r>
      <w:r>
        <w:rPr>
          <w:rFonts w:ascii="Arial" w:eastAsia="Times New Roman" w:hAnsi="Arial" w:cs="Arial"/>
          <w:color w:val="222222"/>
          <w:lang w:eastAsia="es-PE"/>
        </w:rPr>
        <w:t>.</w:t>
      </w:r>
    </w:p>
    <w:p w14:paraId="4EA619C3" w14:textId="77777777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02A1E06" w14:textId="25D6700D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>Asimismo,</w:t>
      </w:r>
      <w:r w:rsidRPr="003B3AC2">
        <w:rPr>
          <w:rFonts w:ascii="Arial" w:eastAsia="Times New Roman" w:hAnsi="Arial" w:cs="Arial"/>
          <w:color w:val="222222"/>
          <w:lang w:eastAsia="es-PE"/>
        </w:rPr>
        <w:t xml:space="preserve"> </w:t>
      </w:r>
      <w:r>
        <w:rPr>
          <w:rFonts w:ascii="Arial" w:eastAsia="Times New Roman" w:hAnsi="Arial" w:cs="Arial"/>
          <w:color w:val="222222"/>
          <w:lang w:eastAsia="es-PE"/>
        </w:rPr>
        <w:t xml:space="preserve">el </w:t>
      </w:r>
      <w:r w:rsidRPr="003B3AC2">
        <w:rPr>
          <w:rFonts w:ascii="Arial" w:eastAsia="Times New Roman" w:hAnsi="Arial" w:cs="Arial"/>
          <w:color w:val="222222"/>
          <w:lang w:eastAsia="es-PE"/>
        </w:rPr>
        <w:t>uso intensivo de capacidades especializadas a través de nuestros programas de canes detectores (K9) para la detección de drogas y dinero en efectivo y el Programa de Buzos de Acciones Acuáticas para inspecciones subacuáticas en naves y estructuras portuarias, así como el uso de escáneres de alta energía (Rayos X)</w:t>
      </w:r>
      <w:r w:rsidR="00B10462">
        <w:rPr>
          <w:rFonts w:ascii="Arial" w:eastAsia="Times New Roman" w:hAnsi="Arial" w:cs="Arial"/>
          <w:color w:val="222222"/>
          <w:lang w:eastAsia="es-PE"/>
        </w:rPr>
        <w:t>,</w:t>
      </w:r>
      <w:r w:rsidRPr="003B3AC2">
        <w:rPr>
          <w:rFonts w:ascii="Arial" w:eastAsia="Times New Roman" w:hAnsi="Arial" w:cs="Arial"/>
          <w:color w:val="222222"/>
          <w:lang w:eastAsia="es-PE"/>
        </w:rPr>
        <w:t xml:space="preserve"> estratégicamente ubicados para la inspección no intrusiva de mercancías sumado a las herramientas de análisis de imágenes, permitiendo la intervención de mercancías por montos significativos.</w:t>
      </w:r>
    </w:p>
    <w:p w14:paraId="3B3EF412" w14:textId="77777777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C67DD62" w14:textId="2E956962" w:rsidR="003B3AC2" w:rsidRDefault="003B3AC2" w:rsidP="003B3AC2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3B3AC2">
        <w:rPr>
          <w:rFonts w:ascii="Arial" w:eastAsia="Times New Roman" w:hAnsi="Arial" w:cs="Arial"/>
          <w:b/>
          <w:bCs/>
          <w:color w:val="222222"/>
          <w:lang w:eastAsia="es-PE"/>
        </w:rPr>
        <w:t>Coordinación</w:t>
      </w:r>
    </w:p>
    <w:p w14:paraId="34F89318" w14:textId="77777777" w:rsidR="00B10462" w:rsidRPr="003B3AC2" w:rsidRDefault="00B10462" w:rsidP="003B3AC2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</w:p>
    <w:p w14:paraId="4ACEBDEC" w14:textId="721CF820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>La lucha contra el contrabando y los delitos conexos es una política de Estado que exige coordinación permanente en el marco de la Comisión de Lucha contra los delitos aduaneros y la Piratería, con la Policía Nacional del Perú (PNP), el Ministerio Público, el apoyo de las Fuerzas Armadas y los gobiernos regionales, en lugares estratégicos de frontera y zonas de alta incidencia de minería ilegal y tráfico de insumos químicos y bienes fiscalizados.</w:t>
      </w:r>
    </w:p>
    <w:p w14:paraId="49C46348" w14:textId="77777777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858D63B" w14:textId="792634CC" w:rsidR="003B3AC2" w:rsidRP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>La SUNAT reafirma su compromiso de proteger la economía formal, salvaguardar la recaudación y combatir el crimen organizado vinculado al contrabando. Los resultados de 2025 demuestran que la combinación de inteligencia, tecnología, despliegue operativo especializado y cooperación interinstitucional es fundamental para reducir el espacio de acción de las organizaciones dedicadas a estas actividades ilícitas.</w:t>
      </w:r>
    </w:p>
    <w:p w14:paraId="38445154" w14:textId="77777777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5DC505F" w14:textId="53B55DFF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B3AC2">
        <w:rPr>
          <w:rFonts w:ascii="Arial" w:eastAsia="Times New Roman" w:hAnsi="Arial" w:cs="Arial"/>
          <w:color w:val="222222"/>
          <w:lang w:eastAsia="es-PE"/>
        </w:rPr>
        <w:t xml:space="preserve">Asimismo, </w:t>
      </w:r>
      <w:r>
        <w:rPr>
          <w:rFonts w:ascii="Arial" w:eastAsia="Times New Roman" w:hAnsi="Arial" w:cs="Arial"/>
          <w:color w:val="222222"/>
          <w:lang w:eastAsia="es-PE"/>
        </w:rPr>
        <w:t xml:space="preserve">es importante </w:t>
      </w:r>
      <w:r w:rsidRPr="003B3AC2">
        <w:rPr>
          <w:rFonts w:ascii="Arial" w:eastAsia="Times New Roman" w:hAnsi="Arial" w:cs="Arial"/>
          <w:color w:val="222222"/>
          <w:lang w:eastAsia="es-PE"/>
        </w:rPr>
        <w:t>recordar a la ciudadanía que el contrabando no solo afecta la recaudación y la competitividad de las empresas formales, sino que también puede poner en riesgo la salud y seguridad de la población.</w:t>
      </w:r>
    </w:p>
    <w:p w14:paraId="55623A7E" w14:textId="3F2FC5ED" w:rsidR="003B3AC2" w:rsidRDefault="003B3AC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26C8F682" w14:textId="77777777" w:rsidR="00B10462" w:rsidRDefault="00B10462" w:rsidP="003B3AC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786F13D" w14:textId="77777777" w:rsidR="00C052EC" w:rsidRPr="00B51099" w:rsidRDefault="00C052EC" w:rsidP="00C052EC">
      <w:pPr>
        <w:spacing w:after="0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B51099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0EE1B437" w14:textId="3C51CEBE" w:rsidR="00A45B01" w:rsidRPr="00B51099" w:rsidRDefault="00C052EC" w:rsidP="00C052EC">
      <w:pPr>
        <w:spacing w:after="0"/>
      </w:pPr>
      <w:r w:rsidRPr="00B51099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3B3AC2">
        <w:rPr>
          <w:rFonts w:ascii="Arial" w:eastAsia="Times New Roman" w:hAnsi="Arial" w:cs="Arial"/>
          <w:color w:val="222222"/>
          <w:lang w:eastAsia="es-PE"/>
        </w:rPr>
        <w:t xml:space="preserve">jueves </w:t>
      </w:r>
      <w:r w:rsidR="00B10462">
        <w:rPr>
          <w:rFonts w:ascii="Arial" w:eastAsia="Times New Roman" w:hAnsi="Arial" w:cs="Arial"/>
          <w:color w:val="222222"/>
          <w:lang w:eastAsia="es-PE"/>
        </w:rPr>
        <w:t xml:space="preserve">11 </w:t>
      </w:r>
      <w:r w:rsidR="001931BC">
        <w:rPr>
          <w:rFonts w:ascii="Arial" w:eastAsia="Times New Roman" w:hAnsi="Arial" w:cs="Arial"/>
          <w:color w:val="222222"/>
          <w:lang w:eastAsia="es-PE"/>
        </w:rPr>
        <w:t xml:space="preserve">de diciembre </w:t>
      </w:r>
      <w:r w:rsidRPr="00B51099">
        <w:rPr>
          <w:rFonts w:ascii="Arial" w:eastAsia="Times New Roman" w:hAnsi="Arial" w:cs="Arial"/>
          <w:color w:val="222222"/>
          <w:lang w:eastAsia="es-PE"/>
        </w:rPr>
        <w:t>de</w:t>
      </w:r>
      <w:r w:rsidR="000248A1" w:rsidRPr="00B51099">
        <w:rPr>
          <w:rFonts w:ascii="Arial" w:eastAsia="Times New Roman" w:hAnsi="Arial" w:cs="Arial"/>
          <w:color w:val="222222"/>
          <w:lang w:eastAsia="es-PE"/>
        </w:rPr>
        <w:t>l</w:t>
      </w:r>
      <w:r w:rsidRPr="00B51099">
        <w:rPr>
          <w:rFonts w:ascii="Arial" w:eastAsia="Times New Roman" w:hAnsi="Arial" w:cs="Arial"/>
          <w:color w:val="222222"/>
          <w:lang w:eastAsia="es-PE"/>
        </w:rPr>
        <w:t xml:space="preserve"> 202</w:t>
      </w:r>
      <w:r w:rsidR="00B51099">
        <w:rPr>
          <w:rFonts w:ascii="Arial" w:eastAsia="Times New Roman" w:hAnsi="Arial" w:cs="Arial"/>
          <w:color w:val="222222"/>
          <w:lang w:eastAsia="es-PE"/>
        </w:rPr>
        <w:t>5</w:t>
      </w:r>
      <w:r w:rsidRPr="00B51099">
        <w:rPr>
          <w:rFonts w:ascii="Arial" w:eastAsia="Times New Roman" w:hAnsi="Arial" w:cs="Arial"/>
          <w:color w:val="222222"/>
          <w:lang w:eastAsia="es-PE"/>
        </w:rPr>
        <w:t>.</w:t>
      </w:r>
    </w:p>
    <w:sectPr w:rsidR="00A45B01" w:rsidRPr="00B51099" w:rsidSect="008E137C">
      <w:headerReference w:type="default" r:id="rId11"/>
      <w:footerReference w:type="default" r:id="rId12"/>
      <w:pgSz w:w="11906" w:h="16838"/>
      <w:pgMar w:top="1134" w:right="1701" w:bottom="993" w:left="1701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1CAF" w14:textId="77777777" w:rsidR="002303CC" w:rsidRDefault="002303CC" w:rsidP="00A62652">
      <w:pPr>
        <w:spacing w:after="0" w:line="240" w:lineRule="auto"/>
      </w:pPr>
      <w:r>
        <w:separator/>
      </w:r>
    </w:p>
  </w:endnote>
  <w:endnote w:type="continuationSeparator" w:id="0">
    <w:p w14:paraId="1A7D550B" w14:textId="77777777" w:rsidR="002303CC" w:rsidRDefault="002303CC" w:rsidP="00A62652">
      <w:pPr>
        <w:spacing w:after="0" w:line="240" w:lineRule="auto"/>
      </w:pPr>
      <w:r>
        <w:continuationSeparator/>
      </w:r>
    </w:p>
  </w:endnote>
  <w:endnote w:type="continuationNotice" w:id="1">
    <w:p w14:paraId="50AE1A60" w14:textId="77777777" w:rsidR="002303CC" w:rsidRDefault="00230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B1D6" w14:textId="77777777" w:rsidR="008E137C" w:rsidRDefault="00F25B31">
    <w:pPr>
      <w:pStyle w:val="Piedepgina"/>
    </w:pPr>
    <w:r>
      <w:rPr>
        <w:noProof/>
      </w:rPr>
      <w:drawing>
        <wp:inline distT="0" distB="0" distL="0" distR="0" wp14:anchorId="748D5B68" wp14:editId="6DF88E47">
          <wp:extent cx="281305" cy="281305"/>
          <wp:effectExtent l="0" t="0" r="0" b="0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8388" w14:textId="77777777" w:rsidR="002303CC" w:rsidRDefault="002303CC" w:rsidP="00A62652">
      <w:pPr>
        <w:spacing w:after="0" w:line="240" w:lineRule="auto"/>
      </w:pPr>
      <w:r>
        <w:separator/>
      </w:r>
    </w:p>
  </w:footnote>
  <w:footnote w:type="continuationSeparator" w:id="0">
    <w:p w14:paraId="28F72D43" w14:textId="77777777" w:rsidR="002303CC" w:rsidRDefault="002303CC" w:rsidP="00A62652">
      <w:pPr>
        <w:spacing w:after="0" w:line="240" w:lineRule="auto"/>
      </w:pPr>
      <w:r>
        <w:continuationSeparator/>
      </w:r>
    </w:p>
  </w:footnote>
  <w:footnote w:type="continuationNotice" w:id="1">
    <w:p w14:paraId="117C5FE7" w14:textId="77777777" w:rsidR="002303CC" w:rsidRDefault="00230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E584" w14:textId="77777777" w:rsidR="00A62652" w:rsidRDefault="00F25B31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431C2266" wp14:editId="296075A1">
          <wp:extent cx="2212975" cy="708660"/>
          <wp:effectExtent l="0" t="0" r="0" b="0"/>
          <wp:docPr id="1" name="Imagen 3" descr="Descripción: logoofici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ABD"/>
    <w:multiLevelType w:val="hybridMultilevel"/>
    <w:tmpl w:val="14C2B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358"/>
    <w:multiLevelType w:val="hybridMultilevel"/>
    <w:tmpl w:val="88D60D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2423"/>
    <w:multiLevelType w:val="hybridMultilevel"/>
    <w:tmpl w:val="20663A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66C9"/>
    <w:multiLevelType w:val="hybridMultilevel"/>
    <w:tmpl w:val="032E56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E4757"/>
    <w:multiLevelType w:val="hybridMultilevel"/>
    <w:tmpl w:val="0FB03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35DF4"/>
    <w:multiLevelType w:val="hybridMultilevel"/>
    <w:tmpl w:val="58948D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09EF"/>
    <w:multiLevelType w:val="hybridMultilevel"/>
    <w:tmpl w:val="9C1EC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12BD3"/>
    <w:multiLevelType w:val="hybridMultilevel"/>
    <w:tmpl w:val="F3A21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309B3"/>
    <w:multiLevelType w:val="hybridMultilevel"/>
    <w:tmpl w:val="5BBCC9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453E"/>
    <w:rsid w:val="00014906"/>
    <w:rsid w:val="000156EF"/>
    <w:rsid w:val="000248A1"/>
    <w:rsid w:val="00037985"/>
    <w:rsid w:val="00044EB3"/>
    <w:rsid w:val="00076794"/>
    <w:rsid w:val="00082EDC"/>
    <w:rsid w:val="000841D4"/>
    <w:rsid w:val="000E7E1C"/>
    <w:rsid w:val="000F4117"/>
    <w:rsid w:val="001116B2"/>
    <w:rsid w:val="00112359"/>
    <w:rsid w:val="00113A01"/>
    <w:rsid w:val="00131153"/>
    <w:rsid w:val="00163ECB"/>
    <w:rsid w:val="00184F3C"/>
    <w:rsid w:val="001931BC"/>
    <w:rsid w:val="001C1171"/>
    <w:rsid w:val="00202ED2"/>
    <w:rsid w:val="002125B5"/>
    <w:rsid w:val="0022260A"/>
    <w:rsid w:val="002303CC"/>
    <w:rsid w:val="00240C14"/>
    <w:rsid w:val="00253557"/>
    <w:rsid w:val="00257898"/>
    <w:rsid w:val="002C7659"/>
    <w:rsid w:val="003131A0"/>
    <w:rsid w:val="00342FD9"/>
    <w:rsid w:val="00366C25"/>
    <w:rsid w:val="00372C9E"/>
    <w:rsid w:val="003A0F00"/>
    <w:rsid w:val="003A737C"/>
    <w:rsid w:val="003B3AC2"/>
    <w:rsid w:val="003C3977"/>
    <w:rsid w:val="003D3822"/>
    <w:rsid w:val="003E73F4"/>
    <w:rsid w:val="00416FE6"/>
    <w:rsid w:val="00426C96"/>
    <w:rsid w:val="0043182A"/>
    <w:rsid w:val="00446CFC"/>
    <w:rsid w:val="00473323"/>
    <w:rsid w:val="00473584"/>
    <w:rsid w:val="00491B9F"/>
    <w:rsid w:val="004968AD"/>
    <w:rsid w:val="004A6889"/>
    <w:rsid w:val="004D2423"/>
    <w:rsid w:val="00502E29"/>
    <w:rsid w:val="0053403B"/>
    <w:rsid w:val="00544063"/>
    <w:rsid w:val="00562EE2"/>
    <w:rsid w:val="00565F61"/>
    <w:rsid w:val="005729D5"/>
    <w:rsid w:val="005A3A4D"/>
    <w:rsid w:val="005A7025"/>
    <w:rsid w:val="005A7FDD"/>
    <w:rsid w:val="005C6606"/>
    <w:rsid w:val="005F2FAE"/>
    <w:rsid w:val="005F4215"/>
    <w:rsid w:val="00611ED6"/>
    <w:rsid w:val="006148AD"/>
    <w:rsid w:val="006338DD"/>
    <w:rsid w:val="00644259"/>
    <w:rsid w:val="0069571A"/>
    <w:rsid w:val="006A5F49"/>
    <w:rsid w:val="006F164A"/>
    <w:rsid w:val="00732DAF"/>
    <w:rsid w:val="00735EF5"/>
    <w:rsid w:val="00740AAC"/>
    <w:rsid w:val="00781575"/>
    <w:rsid w:val="007B3768"/>
    <w:rsid w:val="007B7E3C"/>
    <w:rsid w:val="007D46A2"/>
    <w:rsid w:val="007D534C"/>
    <w:rsid w:val="007E0D80"/>
    <w:rsid w:val="007F35D6"/>
    <w:rsid w:val="007F7933"/>
    <w:rsid w:val="00802085"/>
    <w:rsid w:val="0081542D"/>
    <w:rsid w:val="008322B9"/>
    <w:rsid w:val="008500A4"/>
    <w:rsid w:val="00863A16"/>
    <w:rsid w:val="00895AD1"/>
    <w:rsid w:val="008A483F"/>
    <w:rsid w:val="008B05D4"/>
    <w:rsid w:val="008B27B2"/>
    <w:rsid w:val="008E137C"/>
    <w:rsid w:val="008F16C1"/>
    <w:rsid w:val="008F526D"/>
    <w:rsid w:val="009025B0"/>
    <w:rsid w:val="009105B4"/>
    <w:rsid w:val="00930BEA"/>
    <w:rsid w:val="00931752"/>
    <w:rsid w:val="0096065A"/>
    <w:rsid w:val="009652FB"/>
    <w:rsid w:val="0097481E"/>
    <w:rsid w:val="00987AE7"/>
    <w:rsid w:val="009B1835"/>
    <w:rsid w:val="009D7EF1"/>
    <w:rsid w:val="00A45B01"/>
    <w:rsid w:val="00A47776"/>
    <w:rsid w:val="00A47E2F"/>
    <w:rsid w:val="00A5297D"/>
    <w:rsid w:val="00A575C9"/>
    <w:rsid w:val="00A62652"/>
    <w:rsid w:val="00AB3A22"/>
    <w:rsid w:val="00AB3A56"/>
    <w:rsid w:val="00AB789E"/>
    <w:rsid w:val="00AC6B84"/>
    <w:rsid w:val="00AF5B5D"/>
    <w:rsid w:val="00B10462"/>
    <w:rsid w:val="00B14415"/>
    <w:rsid w:val="00B2384B"/>
    <w:rsid w:val="00B3653E"/>
    <w:rsid w:val="00B51099"/>
    <w:rsid w:val="00B72868"/>
    <w:rsid w:val="00B81183"/>
    <w:rsid w:val="00B8737F"/>
    <w:rsid w:val="00BC097E"/>
    <w:rsid w:val="00BC181E"/>
    <w:rsid w:val="00BC56FA"/>
    <w:rsid w:val="00BE6E4B"/>
    <w:rsid w:val="00BF4E2F"/>
    <w:rsid w:val="00BF5477"/>
    <w:rsid w:val="00C00070"/>
    <w:rsid w:val="00C052EC"/>
    <w:rsid w:val="00C335F4"/>
    <w:rsid w:val="00C96427"/>
    <w:rsid w:val="00CC123C"/>
    <w:rsid w:val="00CD4986"/>
    <w:rsid w:val="00CF53A5"/>
    <w:rsid w:val="00D0508C"/>
    <w:rsid w:val="00D11A9D"/>
    <w:rsid w:val="00D13BB0"/>
    <w:rsid w:val="00D20225"/>
    <w:rsid w:val="00D21E17"/>
    <w:rsid w:val="00D73A08"/>
    <w:rsid w:val="00D8522E"/>
    <w:rsid w:val="00D8641A"/>
    <w:rsid w:val="00D92273"/>
    <w:rsid w:val="00D9265E"/>
    <w:rsid w:val="00DC5DCE"/>
    <w:rsid w:val="00E43C52"/>
    <w:rsid w:val="00E6615C"/>
    <w:rsid w:val="00E72B47"/>
    <w:rsid w:val="00E76330"/>
    <w:rsid w:val="00E817EB"/>
    <w:rsid w:val="00ED15DF"/>
    <w:rsid w:val="00EE3F11"/>
    <w:rsid w:val="00F06E8B"/>
    <w:rsid w:val="00F14CA1"/>
    <w:rsid w:val="00F25B31"/>
    <w:rsid w:val="00F5122A"/>
    <w:rsid w:val="00F72145"/>
    <w:rsid w:val="00F72FB4"/>
    <w:rsid w:val="00FB2125"/>
    <w:rsid w:val="00FB267A"/>
    <w:rsid w:val="00FC5A38"/>
    <w:rsid w:val="00FC64CB"/>
    <w:rsid w:val="00FD1964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8CDF0"/>
  <w15:docId w15:val="{E4092EDA-77E2-4383-9AAD-FEBEC01F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F2FAE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B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E9ACE43EDA4AB8C8C053A75B6960" ma:contentTypeVersion="13" ma:contentTypeDescription="Create a new document." ma:contentTypeScope="" ma:versionID="667b550c9cf6af5d07e86925571840a6">
  <xsd:schema xmlns:xsd="http://www.w3.org/2001/XMLSchema" xmlns:xs="http://www.w3.org/2001/XMLSchema" xmlns:p="http://schemas.microsoft.com/office/2006/metadata/properties" xmlns:ns2="4ff714bd-9427-4755-9d41-fa5e411faa9a" xmlns:ns3="ab72d32b-1e66-447b-9135-9573d4b0eba5" targetNamespace="http://schemas.microsoft.com/office/2006/metadata/properties" ma:root="true" ma:fieldsID="bc64f35666112f14466705f93d940c38" ns2:_="" ns3:_="">
    <xsd:import namespace="4ff714bd-9427-4755-9d41-fa5e411faa9a"/>
    <xsd:import namespace="ab72d32b-1e66-447b-9135-9573d4b0e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14bd-9427-4755-9d41-fa5e411fa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207d4c-8653-466d-8abb-bb49e137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2d32b-1e66-447b-9135-9573d4b0e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ccd52-8a39-427d-acaf-e0ad738154de}" ma:internalName="TaxCatchAll" ma:showField="CatchAllData" ma:web="ab72d32b-1e66-447b-9135-9573d4b0e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2d32b-1e66-447b-9135-9573d4b0eba5" xsi:nil="true"/>
    <lcf76f155ced4ddcb4097134ff3c332f xmlns="4ff714bd-9427-4755-9d41-fa5e411faa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43454-5DFC-4104-B07F-3E7764D95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9984B-EC0C-4B4E-9133-3265257C8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14bd-9427-4755-9d41-fa5e411faa9a"/>
    <ds:schemaRef ds:uri="ab72d32b-1e66-447b-9135-9573d4b0e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34A52-9512-4092-B06A-9BE7E8E43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0D1B6-F2A8-4EBE-9617-250F3DA2454D}">
  <ds:schemaRefs>
    <ds:schemaRef ds:uri="http://schemas.microsoft.com/office/2006/metadata/properties"/>
    <ds:schemaRef ds:uri="http://schemas.microsoft.com/office/infopath/2007/PartnerControls"/>
    <ds:schemaRef ds:uri="ab72d32b-1e66-447b-9135-9573d4b0eba5"/>
    <ds:schemaRef ds:uri="4ff714bd-9427-4755-9d41-fa5e411fa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JTAIPE@sunat.gob.pe</dc:creator>
  <cp:keywords/>
  <dc:description/>
  <cp:lastModifiedBy>Sanchez Lizarbe Carlos Gary</cp:lastModifiedBy>
  <cp:revision>3</cp:revision>
  <dcterms:created xsi:type="dcterms:W3CDTF">2025-12-11T16:32:00Z</dcterms:created>
  <dcterms:modified xsi:type="dcterms:W3CDTF">2025-12-11T16:49:00Z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0x0101004B21E9ACE43EDA4AB8C8C053A75B6960</vt:lpwstr>
  </property>
  <property fmtid="{D5CDD505-2E9C-101B-9397-08002B2CF9AE}" pid="3" name="MediaServiceImageTags">
    <vt:lpwstr/>
  </property>
</Properties>
</file>