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710CB" w14:textId="77777777" w:rsidR="007506E8" w:rsidRPr="007506E8" w:rsidRDefault="007506E8" w:rsidP="007506E8">
      <w:pPr>
        <w:autoSpaceDE w:val="0"/>
        <w:autoSpaceDN w:val="0"/>
        <w:adjustRightInd w:val="0"/>
        <w:spacing w:after="120"/>
        <w:ind w:right="142"/>
        <w:jc w:val="right"/>
        <w:rPr>
          <w:rStyle w:val="bold"/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</w:pPr>
      <w:r w:rsidRPr="007506E8">
        <w:rPr>
          <w:rStyle w:val="bold"/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 xml:space="preserve">Nota de Prensa </w:t>
      </w:r>
      <w:proofErr w:type="spellStart"/>
      <w:r w:rsidRPr="007506E8">
        <w:rPr>
          <w:rStyle w:val="bold"/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>N°</w:t>
      </w:r>
      <w:proofErr w:type="spellEnd"/>
      <w:r w:rsidRPr="007506E8">
        <w:rPr>
          <w:rStyle w:val="bold"/>
          <w:rFonts w:ascii="Arial" w:hAnsi="Arial" w:cs="Arial"/>
          <w:b/>
          <w:bCs/>
          <w:spacing w:val="3"/>
          <w:sz w:val="24"/>
          <w:szCs w:val="24"/>
          <w:shd w:val="clear" w:color="auto" w:fill="FFFFFF"/>
        </w:rPr>
        <w:t xml:space="preserve"> 004</w:t>
      </w:r>
    </w:p>
    <w:p w14:paraId="10BFE7CF" w14:textId="22EFB171" w:rsidR="003C68E3" w:rsidRPr="00F63572" w:rsidRDefault="00F63572" w:rsidP="00DB3C5B">
      <w:pPr>
        <w:autoSpaceDE w:val="0"/>
        <w:autoSpaceDN w:val="0"/>
        <w:adjustRightInd w:val="0"/>
        <w:spacing w:after="120"/>
        <w:ind w:right="142"/>
        <w:rPr>
          <w:rStyle w:val="bold"/>
          <w:rFonts w:ascii="Arial" w:hAnsi="Arial" w:cs="Arial"/>
          <w:b/>
          <w:bCs/>
          <w:i/>
          <w:iCs/>
          <w:spacing w:val="3"/>
          <w:shd w:val="clear" w:color="auto" w:fill="FFFFFF"/>
        </w:rPr>
      </w:pPr>
      <w:r w:rsidRPr="00F63572">
        <w:rPr>
          <w:rStyle w:val="bold"/>
          <w:rFonts w:ascii="Arial" w:hAnsi="Arial" w:cs="Arial"/>
          <w:b/>
          <w:bCs/>
          <w:i/>
          <w:iCs/>
          <w:spacing w:val="3"/>
          <w:shd w:val="clear" w:color="auto" w:fill="FFFFFF"/>
        </w:rPr>
        <w:t>Nuevos</w:t>
      </w:r>
      <w:r w:rsidR="003C68E3" w:rsidRPr="00F63572">
        <w:rPr>
          <w:rStyle w:val="bold"/>
          <w:rFonts w:ascii="Arial" w:hAnsi="Arial" w:cs="Arial"/>
          <w:b/>
          <w:bCs/>
          <w:i/>
          <w:iCs/>
          <w:spacing w:val="3"/>
          <w:shd w:val="clear" w:color="auto" w:fill="FFFFFF"/>
        </w:rPr>
        <w:t xml:space="preserve"> incentivos </w:t>
      </w:r>
      <w:r w:rsidR="00915792" w:rsidRPr="00F63572">
        <w:rPr>
          <w:rStyle w:val="bold"/>
          <w:rFonts w:ascii="Arial" w:hAnsi="Arial" w:cs="Arial"/>
          <w:b/>
          <w:bCs/>
          <w:i/>
          <w:iCs/>
          <w:spacing w:val="3"/>
          <w:shd w:val="clear" w:color="auto" w:fill="FFFFFF"/>
        </w:rPr>
        <w:t>para regularizar obligaciones tributarias</w:t>
      </w:r>
    </w:p>
    <w:p w14:paraId="0C683B49" w14:textId="3EB68DD1" w:rsidR="0029381D" w:rsidRPr="007E1461" w:rsidRDefault="00CE62EF" w:rsidP="00CE62EF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</w:rPr>
      </w:pPr>
      <w:r w:rsidRPr="007E1461">
        <w:rPr>
          <w:rFonts w:ascii="Arial" w:hAnsi="Arial" w:cs="Arial"/>
          <w:b/>
          <w:sz w:val="36"/>
          <w:szCs w:val="36"/>
        </w:rPr>
        <w:t>CONTRIBUYENTES</w:t>
      </w:r>
      <w:r w:rsidR="0029381D" w:rsidRPr="007E1461">
        <w:rPr>
          <w:rFonts w:ascii="Arial" w:hAnsi="Arial" w:cs="Arial"/>
          <w:b/>
          <w:sz w:val="36"/>
          <w:szCs w:val="36"/>
        </w:rPr>
        <w:t xml:space="preserve"> CON INGRESOS ANUALES DE HASTA 19 UIT </w:t>
      </w:r>
      <w:r w:rsidR="00BF7701" w:rsidRPr="007E1461">
        <w:rPr>
          <w:rFonts w:ascii="Arial" w:hAnsi="Arial" w:cs="Arial"/>
          <w:b/>
          <w:sz w:val="36"/>
          <w:szCs w:val="36"/>
        </w:rPr>
        <w:t>TENDRÁN MAYORES REBAJAS EN MULTAS AL SUBSANAR DECLARACIONES OMITIDAS</w:t>
      </w:r>
    </w:p>
    <w:p w14:paraId="6587759E" w14:textId="77777777" w:rsidR="006E2293" w:rsidRPr="007E1461" w:rsidRDefault="006E2293" w:rsidP="006E2293">
      <w:pPr>
        <w:spacing w:after="0"/>
        <w:ind w:right="142"/>
        <w:jc w:val="both"/>
        <w:rPr>
          <w:rFonts w:ascii="Arial" w:hAnsi="Arial" w:cs="Arial"/>
          <w:b/>
          <w:bCs/>
          <w:spacing w:val="3"/>
          <w:sz w:val="21"/>
          <w:szCs w:val="21"/>
          <w:shd w:val="clear" w:color="auto" w:fill="FFFFFF"/>
        </w:rPr>
      </w:pPr>
    </w:p>
    <w:p w14:paraId="5C2BE192" w14:textId="7FEAC386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  <w:r w:rsidRPr="007E1461">
        <w:rPr>
          <w:rFonts w:ascii="Arial" w:hAnsi="Arial" w:cs="Arial"/>
        </w:rPr>
        <w:t xml:space="preserve">La </w:t>
      </w:r>
      <w:r w:rsidR="00F63572">
        <w:rPr>
          <w:rFonts w:ascii="Arial" w:hAnsi="Arial" w:cs="Arial"/>
        </w:rPr>
        <w:t>SUNAT</w:t>
      </w:r>
      <w:r w:rsidRPr="007E1461">
        <w:rPr>
          <w:rFonts w:ascii="Arial" w:hAnsi="Arial" w:cs="Arial"/>
        </w:rPr>
        <w:t xml:space="preserve"> </w:t>
      </w:r>
      <w:r w:rsidR="00F63572">
        <w:rPr>
          <w:rFonts w:ascii="Arial" w:hAnsi="Arial" w:cs="Arial"/>
        </w:rPr>
        <w:t>dispuso la modificación</w:t>
      </w:r>
      <w:r w:rsidRPr="007E1461">
        <w:rPr>
          <w:rFonts w:ascii="Arial" w:hAnsi="Arial" w:cs="Arial"/>
        </w:rPr>
        <w:t xml:space="preserve"> </w:t>
      </w:r>
      <w:r w:rsidR="004014F6">
        <w:rPr>
          <w:rFonts w:ascii="Arial" w:hAnsi="Arial" w:cs="Arial"/>
        </w:rPr>
        <w:t>a</w:t>
      </w:r>
      <w:r w:rsidRPr="007E1461">
        <w:rPr>
          <w:rFonts w:ascii="Arial" w:hAnsi="Arial" w:cs="Arial"/>
        </w:rPr>
        <w:t>l Reglamento del Régimen de Gradualidad</w:t>
      </w:r>
      <w:r w:rsidR="00663D0A">
        <w:rPr>
          <w:rFonts w:ascii="Arial" w:hAnsi="Arial" w:cs="Arial"/>
        </w:rPr>
        <w:t xml:space="preserve"> </w:t>
      </w:r>
      <w:r w:rsidR="00663D0A" w:rsidRPr="00DB3C5B">
        <w:rPr>
          <w:rFonts w:ascii="Arial" w:hAnsi="Arial" w:cs="Arial"/>
        </w:rPr>
        <w:t>aplicable a la infracción de no presentar las declaraciones dentro de los plazos establecidos</w:t>
      </w:r>
      <w:r w:rsidR="00F63572" w:rsidRPr="00DB3C5B">
        <w:rPr>
          <w:rFonts w:ascii="Arial" w:hAnsi="Arial" w:cs="Arial"/>
        </w:rPr>
        <w:t>,</w:t>
      </w:r>
      <w:r w:rsidR="00F63572">
        <w:rPr>
          <w:rFonts w:ascii="Arial" w:hAnsi="Arial" w:cs="Arial"/>
        </w:rPr>
        <w:t xml:space="preserve"> </w:t>
      </w:r>
      <w:r w:rsidRPr="007E1461">
        <w:rPr>
          <w:rFonts w:ascii="Arial" w:hAnsi="Arial" w:cs="Arial"/>
        </w:rPr>
        <w:t xml:space="preserve">a fin de facilitar </w:t>
      </w:r>
      <w:r w:rsidR="00477295" w:rsidRPr="007E1461">
        <w:rPr>
          <w:rFonts w:ascii="Arial" w:hAnsi="Arial" w:cs="Arial"/>
        </w:rPr>
        <w:t>a</w:t>
      </w:r>
      <w:r w:rsidRPr="007E1461">
        <w:rPr>
          <w:rFonts w:ascii="Arial" w:hAnsi="Arial" w:cs="Arial"/>
        </w:rPr>
        <w:t xml:space="preserve"> los contribuyentes del Régimen General, </w:t>
      </w:r>
      <w:r w:rsidR="004014F6">
        <w:rPr>
          <w:rFonts w:ascii="Arial" w:hAnsi="Arial" w:cs="Arial"/>
        </w:rPr>
        <w:t>E</w:t>
      </w:r>
      <w:r w:rsidRPr="007E1461">
        <w:rPr>
          <w:rFonts w:ascii="Arial" w:hAnsi="Arial" w:cs="Arial"/>
        </w:rPr>
        <w:t xml:space="preserve">special y del MYPE Tributario con ingresos que no superen las 19 UIT </w:t>
      </w:r>
      <w:r w:rsidR="001860ED" w:rsidRPr="007E1461">
        <w:rPr>
          <w:rFonts w:ascii="Arial" w:hAnsi="Arial" w:cs="Arial"/>
        </w:rPr>
        <w:t xml:space="preserve">en el ejercicio anterior, </w:t>
      </w:r>
      <w:r w:rsidR="00477295" w:rsidRPr="007E1461">
        <w:rPr>
          <w:rFonts w:ascii="Arial" w:hAnsi="Arial" w:cs="Arial"/>
        </w:rPr>
        <w:t xml:space="preserve">la </w:t>
      </w:r>
      <w:r w:rsidRPr="007E1461">
        <w:rPr>
          <w:rFonts w:ascii="Arial" w:hAnsi="Arial" w:cs="Arial"/>
        </w:rPr>
        <w:t>present</w:t>
      </w:r>
      <w:r w:rsidR="00477295" w:rsidRPr="007E1461">
        <w:rPr>
          <w:rFonts w:ascii="Arial" w:hAnsi="Arial" w:cs="Arial"/>
        </w:rPr>
        <w:t>ación de</w:t>
      </w:r>
      <w:r w:rsidRPr="007E1461">
        <w:rPr>
          <w:rFonts w:ascii="Arial" w:hAnsi="Arial" w:cs="Arial"/>
        </w:rPr>
        <w:t xml:space="preserve"> sus declaraciones omitidas, estableciendo mayores </w:t>
      </w:r>
      <w:r w:rsidR="00DB3C5B">
        <w:rPr>
          <w:rFonts w:ascii="Arial" w:hAnsi="Arial" w:cs="Arial"/>
        </w:rPr>
        <w:t>rebajas</w:t>
      </w:r>
      <w:r w:rsidRPr="007E1461">
        <w:rPr>
          <w:rFonts w:ascii="Arial" w:hAnsi="Arial" w:cs="Arial"/>
        </w:rPr>
        <w:t xml:space="preserve"> en las multas y ampliando la oportunidad para regularizar su</w:t>
      </w:r>
      <w:r w:rsidR="00355576" w:rsidRPr="007E1461">
        <w:rPr>
          <w:rFonts w:ascii="Arial" w:hAnsi="Arial" w:cs="Arial"/>
        </w:rPr>
        <w:t>s</w:t>
      </w:r>
      <w:r w:rsidRPr="007E1461">
        <w:rPr>
          <w:rFonts w:ascii="Arial" w:hAnsi="Arial" w:cs="Arial"/>
        </w:rPr>
        <w:t xml:space="preserve"> </w:t>
      </w:r>
      <w:r w:rsidR="00355576" w:rsidRPr="007E1461">
        <w:rPr>
          <w:rFonts w:ascii="Arial" w:hAnsi="Arial" w:cs="Arial"/>
        </w:rPr>
        <w:t>obligaciones</w:t>
      </w:r>
      <w:r w:rsidRPr="007E1461">
        <w:rPr>
          <w:rFonts w:ascii="Arial" w:hAnsi="Arial" w:cs="Arial"/>
        </w:rPr>
        <w:t>.</w:t>
      </w:r>
    </w:p>
    <w:p w14:paraId="1A797ACE" w14:textId="6CFDFD17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</w:p>
    <w:p w14:paraId="4168DF5E" w14:textId="66ECD7EC" w:rsidR="000844D1" w:rsidRDefault="00F63572" w:rsidP="000844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Así lo establece la Resolución de Superintendencia </w:t>
      </w:r>
      <w:proofErr w:type="spellStart"/>
      <w:r>
        <w:rPr>
          <w:rFonts w:ascii="Arial" w:hAnsi="Arial" w:cs="Arial"/>
        </w:rPr>
        <w:t>N.°</w:t>
      </w:r>
      <w:proofErr w:type="spellEnd"/>
      <w:r>
        <w:rPr>
          <w:rFonts w:ascii="Arial" w:hAnsi="Arial" w:cs="Arial"/>
        </w:rPr>
        <w:t xml:space="preserve"> </w:t>
      </w:r>
      <w:r w:rsidR="00FE512A">
        <w:rPr>
          <w:rFonts w:ascii="Arial" w:hAnsi="Arial" w:cs="Arial"/>
        </w:rPr>
        <w:t>000007</w:t>
      </w:r>
      <w:r>
        <w:rPr>
          <w:rFonts w:ascii="Arial" w:hAnsi="Arial" w:cs="Arial"/>
        </w:rPr>
        <w:t xml:space="preserve">-2024/SUNAT, publicada hoy, </w:t>
      </w:r>
      <w:r w:rsidR="000844D1" w:rsidRPr="007E1461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brinda </w:t>
      </w:r>
      <w:r w:rsidR="00F471F2">
        <w:rPr>
          <w:rFonts w:ascii="Arial" w:hAnsi="Arial" w:cs="Arial"/>
        </w:rPr>
        <w:t xml:space="preserve">una serie </w:t>
      </w:r>
      <w:r w:rsidR="00F471F2" w:rsidRPr="00DB3C5B">
        <w:rPr>
          <w:rFonts w:ascii="Arial" w:hAnsi="Arial" w:cs="Arial"/>
        </w:rPr>
        <w:t>de</w:t>
      </w:r>
      <w:r w:rsidRPr="00DB3C5B">
        <w:rPr>
          <w:rFonts w:ascii="Arial" w:hAnsi="Arial" w:cs="Arial"/>
        </w:rPr>
        <w:t xml:space="preserve"> </w:t>
      </w:r>
      <w:r w:rsidR="00663D0A" w:rsidRPr="00DB3C5B">
        <w:rPr>
          <w:rFonts w:ascii="Arial" w:hAnsi="Arial" w:cs="Arial"/>
        </w:rPr>
        <w:t>facilidades</w:t>
      </w:r>
      <w:r w:rsidR="00663D0A">
        <w:rPr>
          <w:rFonts w:ascii="Arial" w:hAnsi="Arial" w:cs="Arial"/>
        </w:rPr>
        <w:t xml:space="preserve"> a </w:t>
      </w:r>
      <w:r w:rsidR="000844D1" w:rsidRPr="007E1461">
        <w:rPr>
          <w:rFonts w:ascii="Arial" w:hAnsi="Arial" w:cs="Arial"/>
        </w:rPr>
        <w:t>los contribuyentes</w:t>
      </w:r>
      <w:r w:rsidR="00477295" w:rsidRPr="007E1461">
        <w:rPr>
          <w:rFonts w:ascii="Arial" w:hAnsi="Arial" w:cs="Arial"/>
        </w:rPr>
        <w:t xml:space="preserve"> que </w:t>
      </w:r>
      <w:r w:rsidR="000844D1" w:rsidRPr="007E1461">
        <w:rPr>
          <w:rFonts w:ascii="Arial" w:hAnsi="Arial" w:cs="Arial"/>
        </w:rPr>
        <w:t>no pudieron acceder a la rebaja del 100% de la multa,</w:t>
      </w:r>
      <w:r>
        <w:rPr>
          <w:rFonts w:ascii="Arial" w:hAnsi="Arial" w:cs="Arial"/>
        </w:rPr>
        <w:t xml:space="preserve"> promoviendo que </w:t>
      </w:r>
      <w:r w:rsidR="00FE512A">
        <w:rPr>
          <w:rFonts w:ascii="Arial" w:hAnsi="Arial" w:cs="Arial"/>
        </w:rPr>
        <w:t>regularicen sus</w:t>
      </w:r>
      <w:r w:rsidR="000844D1" w:rsidRPr="007E1461">
        <w:rPr>
          <w:rFonts w:ascii="Arial" w:hAnsi="Arial" w:cs="Arial"/>
        </w:rPr>
        <w:t xml:space="preserve"> declaraciones, incluso si </w:t>
      </w:r>
      <w:r w:rsidR="00CF7933" w:rsidRPr="007E1461">
        <w:rPr>
          <w:rFonts w:ascii="Arial" w:hAnsi="Arial" w:cs="Arial"/>
        </w:rPr>
        <w:t>se encuentra</w:t>
      </w:r>
      <w:r w:rsidR="00F471F2">
        <w:rPr>
          <w:rFonts w:ascii="Arial" w:hAnsi="Arial" w:cs="Arial"/>
        </w:rPr>
        <w:t>n en proceso de</w:t>
      </w:r>
      <w:r w:rsidR="000844D1" w:rsidRPr="007E1461">
        <w:rPr>
          <w:rFonts w:ascii="Arial" w:hAnsi="Arial" w:cs="Arial"/>
        </w:rPr>
        <w:t xml:space="preserve"> cobranza coactiva</w:t>
      </w:r>
      <w:r w:rsidR="00F471F2">
        <w:rPr>
          <w:rFonts w:ascii="Arial" w:hAnsi="Arial" w:cs="Arial"/>
        </w:rPr>
        <w:t xml:space="preserve">. </w:t>
      </w:r>
    </w:p>
    <w:p w14:paraId="6C296F17" w14:textId="0C97C7E2" w:rsidR="00F471F2" w:rsidRDefault="00F471F2" w:rsidP="000844D1">
      <w:pPr>
        <w:spacing w:after="0"/>
        <w:jc w:val="both"/>
        <w:rPr>
          <w:rFonts w:ascii="Arial" w:hAnsi="Arial" w:cs="Arial"/>
        </w:rPr>
      </w:pPr>
    </w:p>
    <w:p w14:paraId="35DBECC3" w14:textId="0F4EEA5B" w:rsidR="00F471F2" w:rsidRDefault="00F471F2" w:rsidP="000844D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Los contribuyentes ahora cuentan con:</w:t>
      </w:r>
    </w:p>
    <w:p w14:paraId="012DE275" w14:textId="58554665" w:rsidR="00F471F2" w:rsidRDefault="00F471F2" w:rsidP="000844D1">
      <w:pPr>
        <w:spacing w:after="0"/>
        <w:jc w:val="both"/>
        <w:rPr>
          <w:rFonts w:ascii="Arial" w:hAnsi="Arial" w:cs="Arial"/>
        </w:rPr>
      </w:pPr>
    </w:p>
    <w:p w14:paraId="1B4792E8" w14:textId="272458A5" w:rsidR="000844D1" w:rsidRPr="007E1461" w:rsidRDefault="000844D1" w:rsidP="000844D1">
      <w:pPr>
        <w:pStyle w:val="Prrafodelista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7E1461">
        <w:rPr>
          <w:rFonts w:ascii="Arial" w:hAnsi="Arial" w:cs="Arial"/>
          <w:b/>
          <w:bCs/>
        </w:rPr>
        <w:t>Mayores rebajas en multas:</w:t>
      </w:r>
      <w:r w:rsidRPr="007E1461">
        <w:rPr>
          <w:rFonts w:ascii="Arial" w:hAnsi="Arial" w:cs="Arial"/>
        </w:rPr>
        <w:t xml:space="preserve"> Anteriormente, eran del 95% con pago </w:t>
      </w:r>
      <w:r w:rsidR="00477295" w:rsidRPr="007E1461">
        <w:rPr>
          <w:rFonts w:ascii="Arial" w:hAnsi="Arial" w:cs="Arial"/>
        </w:rPr>
        <w:t xml:space="preserve">de la </w:t>
      </w:r>
      <w:r w:rsidR="007E1461" w:rsidRPr="007E1461">
        <w:rPr>
          <w:rFonts w:ascii="Arial" w:hAnsi="Arial" w:cs="Arial"/>
        </w:rPr>
        <w:t>multa</w:t>
      </w:r>
      <w:r w:rsidR="00477295" w:rsidRPr="007E1461">
        <w:rPr>
          <w:rFonts w:ascii="Arial" w:hAnsi="Arial" w:cs="Arial"/>
        </w:rPr>
        <w:t xml:space="preserve"> </w:t>
      </w:r>
      <w:r w:rsidRPr="007E1461">
        <w:rPr>
          <w:rFonts w:ascii="Arial" w:hAnsi="Arial" w:cs="Arial"/>
        </w:rPr>
        <w:t xml:space="preserve">y 90% sin </w:t>
      </w:r>
      <w:r w:rsidR="00477295" w:rsidRPr="007E1461">
        <w:rPr>
          <w:rFonts w:ascii="Arial" w:hAnsi="Arial" w:cs="Arial"/>
        </w:rPr>
        <w:t xml:space="preserve">el </w:t>
      </w:r>
      <w:r w:rsidRPr="007E1461">
        <w:rPr>
          <w:rFonts w:ascii="Arial" w:hAnsi="Arial" w:cs="Arial"/>
        </w:rPr>
        <w:t>pago</w:t>
      </w:r>
      <w:r w:rsidR="00477295" w:rsidRPr="007E1461">
        <w:rPr>
          <w:rFonts w:ascii="Arial" w:hAnsi="Arial" w:cs="Arial"/>
        </w:rPr>
        <w:t xml:space="preserve"> de esta</w:t>
      </w:r>
      <w:r w:rsidRPr="007E1461">
        <w:rPr>
          <w:rFonts w:ascii="Arial" w:hAnsi="Arial" w:cs="Arial"/>
        </w:rPr>
        <w:t xml:space="preserve">. </w:t>
      </w:r>
      <w:r w:rsidR="00F471F2">
        <w:rPr>
          <w:rFonts w:ascii="Arial" w:hAnsi="Arial" w:cs="Arial"/>
        </w:rPr>
        <w:t>E</w:t>
      </w:r>
      <w:r w:rsidRPr="007E1461">
        <w:rPr>
          <w:rFonts w:ascii="Arial" w:hAnsi="Arial" w:cs="Arial"/>
        </w:rPr>
        <w:t xml:space="preserve">stos porcentajes aumentan a 99% y 98% </w:t>
      </w:r>
      <w:r w:rsidR="00477295" w:rsidRPr="007E1461">
        <w:rPr>
          <w:rFonts w:ascii="Arial" w:hAnsi="Arial" w:cs="Arial"/>
        </w:rPr>
        <w:t>respectivamente</w:t>
      </w:r>
      <w:r w:rsidRPr="007E1461">
        <w:rPr>
          <w:rFonts w:ascii="Arial" w:hAnsi="Arial" w:cs="Arial"/>
        </w:rPr>
        <w:t xml:space="preserve">, </w:t>
      </w:r>
      <w:r w:rsidR="00443BF9">
        <w:rPr>
          <w:rFonts w:ascii="Arial" w:hAnsi="Arial" w:cs="Arial"/>
        </w:rPr>
        <w:t xml:space="preserve">si </w:t>
      </w:r>
      <w:r w:rsidR="00477295" w:rsidRPr="007E1461">
        <w:rPr>
          <w:rFonts w:ascii="Arial" w:hAnsi="Arial" w:cs="Arial"/>
        </w:rPr>
        <w:t xml:space="preserve">se </w:t>
      </w:r>
      <w:r w:rsidR="001860ED" w:rsidRPr="007E1461">
        <w:rPr>
          <w:rFonts w:ascii="Arial" w:hAnsi="Arial" w:cs="Arial"/>
        </w:rPr>
        <w:t>presenta</w:t>
      </w:r>
      <w:r w:rsidR="001860ED" w:rsidRPr="007E1461">
        <w:rPr>
          <w:rFonts w:ascii="Arial" w:hAnsi="Arial" w:cs="Arial"/>
          <w:color w:val="FF0000"/>
        </w:rPr>
        <w:t xml:space="preserve"> </w:t>
      </w:r>
      <w:r w:rsidR="001860ED" w:rsidRPr="007E1461">
        <w:rPr>
          <w:rFonts w:ascii="Arial" w:hAnsi="Arial" w:cs="Arial"/>
        </w:rPr>
        <w:t xml:space="preserve">la declaración y </w:t>
      </w:r>
      <w:r w:rsidR="00477295" w:rsidRPr="007E1461">
        <w:rPr>
          <w:rFonts w:ascii="Arial" w:hAnsi="Arial" w:cs="Arial"/>
        </w:rPr>
        <w:t xml:space="preserve">se </w:t>
      </w:r>
      <w:r w:rsidR="001860ED" w:rsidRPr="007E1461">
        <w:rPr>
          <w:rFonts w:ascii="Arial" w:hAnsi="Arial" w:cs="Arial"/>
        </w:rPr>
        <w:t>paga</w:t>
      </w:r>
      <w:r w:rsidRPr="007E1461">
        <w:rPr>
          <w:rFonts w:ascii="Arial" w:hAnsi="Arial" w:cs="Arial"/>
        </w:rPr>
        <w:t xml:space="preserve"> </w:t>
      </w:r>
      <w:r w:rsidR="00443BF9" w:rsidRPr="00DB3C5B">
        <w:rPr>
          <w:rFonts w:ascii="Arial" w:hAnsi="Arial" w:cs="Arial"/>
        </w:rPr>
        <w:t>la multa</w:t>
      </w:r>
      <w:r w:rsidR="00443BF9">
        <w:rPr>
          <w:rFonts w:ascii="Arial" w:hAnsi="Arial" w:cs="Arial"/>
        </w:rPr>
        <w:t xml:space="preserve"> </w:t>
      </w:r>
      <w:r w:rsidR="00EB7B62" w:rsidRPr="007E1461">
        <w:rPr>
          <w:rFonts w:ascii="Arial" w:hAnsi="Arial" w:cs="Arial"/>
        </w:rPr>
        <w:t>hasta</w:t>
      </w:r>
      <w:r w:rsidRPr="007E1461">
        <w:rPr>
          <w:rFonts w:ascii="Arial" w:hAnsi="Arial" w:cs="Arial"/>
        </w:rPr>
        <w:t xml:space="preserve"> los 7 días hábiles </w:t>
      </w:r>
      <w:r w:rsidR="005D478C" w:rsidRPr="007E1461">
        <w:rPr>
          <w:rFonts w:ascii="Arial" w:hAnsi="Arial" w:cs="Arial"/>
        </w:rPr>
        <w:t xml:space="preserve">posteriores a </w:t>
      </w:r>
      <w:r w:rsidR="00355576" w:rsidRPr="007E1461">
        <w:rPr>
          <w:rFonts w:ascii="Arial" w:hAnsi="Arial" w:cs="Arial"/>
        </w:rPr>
        <w:t>la notificación</w:t>
      </w:r>
      <w:r w:rsidR="005D478C" w:rsidRPr="007E1461">
        <w:rPr>
          <w:rFonts w:ascii="Arial" w:hAnsi="Arial" w:cs="Arial"/>
        </w:rPr>
        <w:t xml:space="preserve"> </w:t>
      </w:r>
      <w:r w:rsidR="00EB7B62" w:rsidRPr="007E1461">
        <w:rPr>
          <w:rFonts w:ascii="Arial" w:hAnsi="Arial" w:cs="Arial"/>
        </w:rPr>
        <w:t>d</w:t>
      </w:r>
      <w:r w:rsidR="005D478C" w:rsidRPr="007E1461">
        <w:rPr>
          <w:rFonts w:ascii="Arial" w:hAnsi="Arial" w:cs="Arial"/>
        </w:rPr>
        <w:t>e</w:t>
      </w:r>
      <w:r w:rsidRPr="007E1461">
        <w:rPr>
          <w:rFonts w:ascii="Arial" w:hAnsi="Arial" w:cs="Arial"/>
        </w:rPr>
        <w:t xml:space="preserve"> la </w:t>
      </w:r>
      <w:r w:rsidR="00F471F2">
        <w:rPr>
          <w:rFonts w:ascii="Arial" w:hAnsi="Arial" w:cs="Arial"/>
        </w:rPr>
        <w:t>R</w:t>
      </w:r>
      <w:r w:rsidRPr="007E1461">
        <w:rPr>
          <w:rFonts w:ascii="Arial" w:hAnsi="Arial" w:cs="Arial"/>
        </w:rPr>
        <w:t xml:space="preserve">esolución de </w:t>
      </w:r>
      <w:r w:rsidR="00F471F2">
        <w:rPr>
          <w:rFonts w:ascii="Arial" w:hAnsi="Arial" w:cs="Arial"/>
        </w:rPr>
        <w:t>E</w:t>
      </w:r>
      <w:r w:rsidRPr="007E1461">
        <w:rPr>
          <w:rFonts w:ascii="Arial" w:hAnsi="Arial" w:cs="Arial"/>
        </w:rPr>
        <w:t xml:space="preserve">jecución </w:t>
      </w:r>
      <w:r w:rsidR="00F471F2">
        <w:rPr>
          <w:rFonts w:ascii="Arial" w:hAnsi="Arial" w:cs="Arial"/>
        </w:rPr>
        <w:t>C</w:t>
      </w:r>
      <w:r w:rsidRPr="007E1461">
        <w:rPr>
          <w:rFonts w:ascii="Arial" w:hAnsi="Arial" w:cs="Arial"/>
        </w:rPr>
        <w:t>oactiva</w:t>
      </w:r>
      <w:r w:rsidR="00241BE6" w:rsidRPr="007E1461">
        <w:rPr>
          <w:rFonts w:ascii="Arial" w:hAnsi="Arial" w:cs="Arial"/>
        </w:rPr>
        <w:t xml:space="preserve"> (REC)</w:t>
      </w:r>
      <w:r w:rsidRPr="007E1461">
        <w:rPr>
          <w:rFonts w:ascii="Arial" w:hAnsi="Arial" w:cs="Arial"/>
        </w:rPr>
        <w:t>.</w:t>
      </w:r>
    </w:p>
    <w:p w14:paraId="23DB83DB" w14:textId="77777777" w:rsidR="000844D1" w:rsidRPr="007E1461" w:rsidRDefault="000844D1" w:rsidP="000844D1">
      <w:pPr>
        <w:spacing w:after="0"/>
        <w:ind w:left="567"/>
        <w:jc w:val="both"/>
        <w:rPr>
          <w:rFonts w:ascii="Arial" w:hAnsi="Arial" w:cs="Arial"/>
        </w:rPr>
      </w:pPr>
    </w:p>
    <w:p w14:paraId="375E3D87" w14:textId="38697899" w:rsidR="000844D1" w:rsidRPr="007E1461" w:rsidRDefault="000844D1" w:rsidP="00DE7BED">
      <w:pPr>
        <w:pStyle w:val="Prrafodelista"/>
        <w:numPr>
          <w:ilvl w:val="0"/>
          <w:numId w:val="8"/>
        </w:numPr>
        <w:ind w:left="567"/>
        <w:jc w:val="both"/>
        <w:rPr>
          <w:rFonts w:ascii="Arial" w:hAnsi="Arial" w:cs="Arial"/>
        </w:rPr>
      </w:pPr>
      <w:r w:rsidRPr="007E1461">
        <w:rPr>
          <w:rFonts w:ascii="Arial" w:hAnsi="Arial" w:cs="Arial"/>
          <w:b/>
          <w:bCs/>
        </w:rPr>
        <w:t>Nuevos tramos para subsanar:</w:t>
      </w:r>
      <w:r w:rsidRPr="007E1461">
        <w:rPr>
          <w:rFonts w:ascii="Arial" w:hAnsi="Arial" w:cs="Arial"/>
        </w:rPr>
        <w:t xml:space="preserve"> Se </w:t>
      </w:r>
      <w:r w:rsidR="00F471F2">
        <w:rPr>
          <w:rFonts w:ascii="Arial" w:hAnsi="Arial" w:cs="Arial"/>
        </w:rPr>
        <w:t>implementa</w:t>
      </w:r>
      <w:r w:rsidRPr="007E1461">
        <w:rPr>
          <w:rFonts w:ascii="Arial" w:hAnsi="Arial" w:cs="Arial"/>
        </w:rPr>
        <w:t xml:space="preserve"> un tramo adicional </w:t>
      </w:r>
      <w:r w:rsidR="00241BE6" w:rsidRPr="007E1461">
        <w:rPr>
          <w:rFonts w:ascii="Arial" w:hAnsi="Arial" w:cs="Arial"/>
        </w:rPr>
        <w:t xml:space="preserve">para subsanar la infracción que va desde </w:t>
      </w:r>
      <w:r w:rsidR="00EB7B62" w:rsidRPr="007E1461">
        <w:rPr>
          <w:rFonts w:ascii="Arial" w:hAnsi="Arial" w:cs="Arial"/>
        </w:rPr>
        <w:t>los</w:t>
      </w:r>
      <w:r w:rsidR="00241BE6" w:rsidRPr="007E1461">
        <w:rPr>
          <w:rFonts w:ascii="Arial" w:hAnsi="Arial" w:cs="Arial"/>
        </w:rPr>
        <w:t xml:space="preserve"> 8 hasta </w:t>
      </w:r>
      <w:r w:rsidR="00EB7B62" w:rsidRPr="007E1461">
        <w:rPr>
          <w:rFonts w:ascii="Arial" w:hAnsi="Arial" w:cs="Arial"/>
        </w:rPr>
        <w:t>los</w:t>
      </w:r>
      <w:r w:rsidR="00241BE6" w:rsidRPr="007E1461">
        <w:rPr>
          <w:rFonts w:ascii="Arial" w:hAnsi="Arial" w:cs="Arial"/>
        </w:rPr>
        <w:t xml:space="preserve"> 120 día</w:t>
      </w:r>
      <w:r w:rsidR="00EB7B62" w:rsidRPr="007E1461">
        <w:rPr>
          <w:rFonts w:ascii="Arial" w:hAnsi="Arial" w:cs="Arial"/>
        </w:rPr>
        <w:t>s</w:t>
      </w:r>
      <w:r w:rsidR="00241BE6" w:rsidRPr="007E1461">
        <w:rPr>
          <w:rFonts w:ascii="Arial" w:hAnsi="Arial" w:cs="Arial"/>
        </w:rPr>
        <w:t xml:space="preserve"> hábil</w:t>
      </w:r>
      <w:r w:rsidR="00EB7B62" w:rsidRPr="007E1461">
        <w:rPr>
          <w:rFonts w:ascii="Arial" w:hAnsi="Arial" w:cs="Arial"/>
        </w:rPr>
        <w:t>es</w:t>
      </w:r>
      <w:r w:rsidR="00FE512A">
        <w:rPr>
          <w:rFonts w:ascii="Arial" w:hAnsi="Arial" w:cs="Arial"/>
        </w:rPr>
        <w:t>,</w:t>
      </w:r>
      <w:r w:rsidR="00241BE6" w:rsidRPr="007E1461">
        <w:rPr>
          <w:rFonts w:ascii="Arial" w:hAnsi="Arial" w:cs="Arial"/>
        </w:rPr>
        <w:t xml:space="preserve"> </w:t>
      </w:r>
      <w:r w:rsidR="005D478C" w:rsidRPr="007E1461">
        <w:rPr>
          <w:rFonts w:ascii="Arial" w:hAnsi="Arial" w:cs="Arial"/>
        </w:rPr>
        <w:t xml:space="preserve">posteriores a </w:t>
      </w:r>
      <w:r w:rsidR="00355576" w:rsidRPr="007E1461">
        <w:rPr>
          <w:rFonts w:ascii="Arial" w:hAnsi="Arial" w:cs="Arial"/>
        </w:rPr>
        <w:t>la notificación</w:t>
      </w:r>
      <w:r w:rsidR="005D478C" w:rsidRPr="007E1461">
        <w:rPr>
          <w:rFonts w:ascii="Arial" w:hAnsi="Arial" w:cs="Arial"/>
        </w:rPr>
        <w:t xml:space="preserve"> de</w:t>
      </w:r>
      <w:r w:rsidR="00241BE6" w:rsidRPr="007E1461">
        <w:rPr>
          <w:rFonts w:ascii="Arial" w:hAnsi="Arial" w:cs="Arial"/>
        </w:rPr>
        <w:t xml:space="preserve"> la REC. </w:t>
      </w:r>
      <w:r w:rsidRPr="007E1461">
        <w:rPr>
          <w:rFonts w:ascii="Arial" w:hAnsi="Arial" w:cs="Arial"/>
        </w:rPr>
        <w:t xml:space="preserve">Durante este </w:t>
      </w:r>
      <w:r w:rsidR="00F471F2">
        <w:rPr>
          <w:rFonts w:ascii="Arial" w:hAnsi="Arial" w:cs="Arial"/>
        </w:rPr>
        <w:t>periodo</w:t>
      </w:r>
      <w:r w:rsidRPr="007E1461">
        <w:rPr>
          <w:rFonts w:ascii="Arial" w:hAnsi="Arial" w:cs="Arial"/>
        </w:rPr>
        <w:t xml:space="preserve">, las rebajas serán del 97% y 96% </w:t>
      </w:r>
      <w:r w:rsidR="0085542C" w:rsidRPr="007E1461">
        <w:rPr>
          <w:rFonts w:ascii="Arial" w:hAnsi="Arial" w:cs="Arial"/>
        </w:rPr>
        <w:t xml:space="preserve">con y </w:t>
      </w:r>
      <w:r w:rsidRPr="007E1461">
        <w:rPr>
          <w:rFonts w:ascii="Arial" w:hAnsi="Arial" w:cs="Arial"/>
        </w:rPr>
        <w:t xml:space="preserve">sin </w:t>
      </w:r>
      <w:r w:rsidR="00F471F2">
        <w:rPr>
          <w:rFonts w:ascii="Arial" w:hAnsi="Arial" w:cs="Arial"/>
        </w:rPr>
        <w:t xml:space="preserve">el </w:t>
      </w:r>
      <w:r w:rsidRPr="007E1461">
        <w:rPr>
          <w:rFonts w:ascii="Arial" w:hAnsi="Arial" w:cs="Arial"/>
        </w:rPr>
        <w:t>pago</w:t>
      </w:r>
      <w:r w:rsidR="0085542C" w:rsidRPr="007E1461">
        <w:rPr>
          <w:rFonts w:ascii="Arial" w:hAnsi="Arial" w:cs="Arial"/>
        </w:rPr>
        <w:t xml:space="preserve"> de la </w:t>
      </w:r>
      <w:r w:rsidR="00DA0850">
        <w:rPr>
          <w:rFonts w:ascii="Arial" w:hAnsi="Arial" w:cs="Arial"/>
        </w:rPr>
        <w:t xml:space="preserve">multa, </w:t>
      </w:r>
      <w:r w:rsidR="0085542C" w:rsidRPr="007E1461">
        <w:rPr>
          <w:rFonts w:ascii="Arial" w:hAnsi="Arial" w:cs="Arial"/>
        </w:rPr>
        <w:t>respectivamente</w:t>
      </w:r>
      <w:r w:rsidRPr="007E1461">
        <w:rPr>
          <w:rFonts w:ascii="Arial" w:hAnsi="Arial" w:cs="Arial"/>
        </w:rPr>
        <w:t>.</w:t>
      </w:r>
    </w:p>
    <w:p w14:paraId="356B3D22" w14:textId="77777777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</w:p>
    <w:p w14:paraId="6E151A10" w14:textId="71E54F32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  <w:r w:rsidRPr="007E1461">
        <w:rPr>
          <w:rFonts w:ascii="Arial" w:hAnsi="Arial" w:cs="Arial"/>
        </w:rPr>
        <w:t xml:space="preserve">Las medidas también aplican a </w:t>
      </w:r>
      <w:r w:rsidRPr="00F55EA0">
        <w:rPr>
          <w:rFonts w:ascii="Arial" w:hAnsi="Arial" w:cs="Arial"/>
        </w:rPr>
        <w:t xml:space="preserve">aquellos contribuyentes con ingresos de hasta 19 UIT que, </w:t>
      </w:r>
      <w:r w:rsidR="00F471F2">
        <w:rPr>
          <w:rFonts w:ascii="Arial" w:hAnsi="Arial" w:cs="Arial"/>
        </w:rPr>
        <w:t>al inicio de la</w:t>
      </w:r>
      <w:r w:rsidRPr="00F55EA0">
        <w:rPr>
          <w:rFonts w:ascii="Arial" w:hAnsi="Arial" w:cs="Arial"/>
        </w:rPr>
        <w:t xml:space="preserve"> vig</w:t>
      </w:r>
      <w:r w:rsidR="001860ED" w:rsidRPr="00F55EA0">
        <w:rPr>
          <w:rFonts w:ascii="Arial" w:hAnsi="Arial" w:cs="Arial"/>
        </w:rPr>
        <w:t xml:space="preserve">encia </w:t>
      </w:r>
      <w:r w:rsidRPr="00F55EA0">
        <w:rPr>
          <w:rFonts w:ascii="Arial" w:hAnsi="Arial" w:cs="Arial"/>
        </w:rPr>
        <w:t xml:space="preserve">de la resolución, tengan multas en cobranza coactiva. Incluso, </w:t>
      </w:r>
      <w:r w:rsidR="0085542C" w:rsidRPr="00F55EA0">
        <w:rPr>
          <w:rFonts w:ascii="Arial" w:hAnsi="Arial" w:cs="Arial"/>
        </w:rPr>
        <w:t xml:space="preserve">cuando </w:t>
      </w:r>
      <w:r w:rsidR="008B6FB6" w:rsidRPr="00F55EA0">
        <w:rPr>
          <w:rFonts w:ascii="Arial" w:hAnsi="Arial" w:cs="Arial"/>
        </w:rPr>
        <w:t xml:space="preserve">el nuevo plazo de 120 días hábiles de notificada la REC </w:t>
      </w:r>
      <w:r w:rsidRPr="00F55EA0">
        <w:rPr>
          <w:rFonts w:ascii="Arial" w:hAnsi="Arial" w:cs="Arial"/>
        </w:rPr>
        <w:t xml:space="preserve">esté vencido o próximo a vencer, </w:t>
      </w:r>
      <w:r w:rsidR="0085542C" w:rsidRPr="00F55EA0">
        <w:rPr>
          <w:rFonts w:ascii="Arial" w:hAnsi="Arial" w:cs="Arial"/>
        </w:rPr>
        <w:t xml:space="preserve">a estos contribuyentes </w:t>
      </w:r>
      <w:r w:rsidRPr="00F55EA0">
        <w:rPr>
          <w:rFonts w:ascii="Arial" w:hAnsi="Arial" w:cs="Arial"/>
        </w:rPr>
        <w:t>se les brinda</w:t>
      </w:r>
      <w:r w:rsidR="0085542C" w:rsidRPr="00F55EA0">
        <w:rPr>
          <w:rFonts w:ascii="Arial" w:hAnsi="Arial" w:cs="Arial"/>
        </w:rPr>
        <w:t>rá</w:t>
      </w:r>
      <w:r w:rsidRPr="00F55EA0">
        <w:rPr>
          <w:rFonts w:ascii="Arial" w:hAnsi="Arial" w:cs="Arial"/>
        </w:rPr>
        <w:t xml:space="preserve"> un plazo excepcional adicional de 30 días hábiles posteriores a </w:t>
      </w:r>
      <w:r w:rsidR="00355576" w:rsidRPr="00F55EA0">
        <w:rPr>
          <w:rFonts w:ascii="Arial" w:hAnsi="Arial" w:cs="Arial"/>
        </w:rPr>
        <w:t xml:space="preserve">dicha </w:t>
      </w:r>
      <w:r w:rsidR="00965C07" w:rsidRPr="00F55EA0">
        <w:rPr>
          <w:rFonts w:ascii="Arial" w:hAnsi="Arial" w:cs="Arial"/>
        </w:rPr>
        <w:t xml:space="preserve">vigencia </w:t>
      </w:r>
      <w:r w:rsidR="005B543E">
        <w:rPr>
          <w:rFonts w:ascii="Arial" w:hAnsi="Arial" w:cs="Arial"/>
        </w:rPr>
        <w:t>para</w:t>
      </w:r>
      <w:r w:rsidR="0085542C" w:rsidRPr="00F55EA0">
        <w:rPr>
          <w:rFonts w:ascii="Arial" w:hAnsi="Arial" w:cs="Arial"/>
        </w:rPr>
        <w:t xml:space="preserve"> </w:t>
      </w:r>
      <w:r w:rsidRPr="00F55EA0">
        <w:rPr>
          <w:rFonts w:ascii="Arial" w:hAnsi="Arial" w:cs="Arial"/>
        </w:rPr>
        <w:t xml:space="preserve">regularizar </w:t>
      </w:r>
      <w:r w:rsidRPr="007E1461">
        <w:rPr>
          <w:rFonts w:ascii="Arial" w:hAnsi="Arial" w:cs="Arial"/>
        </w:rPr>
        <w:t>su situación.</w:t>
      </w:r>
    </w:p>
    <w:p w14:paraId="3A95DA6A" w14:textId="77777777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</w:p>
    <w:p w14:paraId="158D8856" w14:textId="41446A70" w:rsidR="000844D1" w:rsidRPr="007E1461" w:rsidRDefault="000844D1" w:rsidP="000844D1">
      <w:pPr>
        <w:spacing w:after="0"/>
        <w:jc w:val="both"/>
        <w:rPr>
          <w:rFonts w:ascii="Arial" w:hAnsi="Arial" w:cs="Arial"/>
        </w:rPr>
      </w:pPr>
      <w:r w:rsidRPr="007E1461">
        <w:rPr>
          <w:rFonts w:ascii="Arial" w:hAnsi="Arial" w:cs="Arial"/>
        </w:rPr>
        <w:t>Se estima que esta norma beneficiará aproximadamente a 56</w:t>
      </w:r>
      <w:r w:rsidR="00D7163D" w:rsidRPr="007E1461">
        <w:rPr>
          <w:rFonts w:ascii="Arial" w:hAnsi="Arial" w:cs="Arial"/>
        </w:rPr>
        <w:t xml:space="preserve">5 mil </w:t>
      </w:r>
      <w:r w:rsidRPr="007E1461">
        <w:rPr>
          <w:rFonts w:ascii="Arial" w:hAnsi="Arial" w:cs="Arial"/>
        </w:rPr>
        <w:t>contribuyentes, permitiéndoles subsanar la omisión en la presentación de sus declaraciones con un monto de multa acorde a sus ingresos</w:t>
      </w:r>
      <w:r w:rsidR="00A650C4" w:rsidRPr="007E1461">
        <w:rPr>
          <w:rFonts w:ascii="Arial" w:hAnsi="Arial" w:cs="Arial"/>
        </w:rPr>
        <w:t xml:space="preserve"> mensuales</w:t>
      </w:r>
      <w:r w:rsidRPr="007E1461">
        <w:rPr>
          <w:rFonts w:ascii="Arial" w:hAnsi="Arial" w:cs="Arial"/>
        </w:rPr>
        <w:t>.</w:t>
      </w:r>
    </w:p>
    <w:p w14:paraId="451B3D86" w14:textId="77777777" w:rsidR="00A650C4" w:rsidRPr="007E1461" w:rsidRDefault="00A650C4" w:rsidP="000844D1">
      <w:pPr>
        <w:spacing w:after="0"/>
        <w:jc w:val="both"/>
        <w:rPr>
          <w:rFonts w:ascii="Arial" w:hAnsi="Arial" w:cs="Arial"/>
        </w:rPr>
      </w:pPr>
    </w:p>
    <w:p w14:paraId="20109BE8" w14:textId="1959D4D0" w:rsidR="00F64AB6" w:rsidRPr="007E1461" w:rsidRDefault="00F64AB6" w:rsidP="00F64AB6">
      <w:pPr>
        <w:spacing w:after="0" w:line="256" w:lineRule="auto"/>
        <w:jc w:val="both"/>
        <w:rPr>
          <w:rFonts w:ascii="Arial" w:hAnsi="Arial" w:cs="Arial"/>
        </w:rPr>
      </w:pPr>
      <w:r w:rsidRPr="007E1461">
        <w:rPr>
          <w:rFonts w:ascii="Arial" w:eastAsia="Times New Roman" w:hAnsi="Arial" w:cs="Arial"/>
          <w:lang w:eastAsia="es-PE"/>
        </w:rPr>
        <w:t xml:space="preserve">Para obtener más información sobre el Régimen de Gradualidad y todos los beneficios que brinda, los contribuyentes pueden ingresar </w:t>
      </w:r>
      <w:r w:rsidR="00FE512A">
        <w:rPr>
          <w:rFonts w:ascii="Arial" w:eastAsia="Times New Roman" w:hAnsi="Arial" w:cs="Arial"/>
          <w:lang w:eastAsia="es-PE"/>
        </w:rPr>
        <w:t xml:space="preserve">al micrositio Emprender.sunat.gob.pe en el siguiente enlace: </w:t>
      </w:r>
      <w:hyperlink r:id="rId7" w:history="1">
        <w:r w:rsidR="00FE512A" w:rsidRPr="008A4898">
          <w:rPr>
            <w:rStyle w:val="Hipervnculo"/>
            <w:rFonts w:ascii="Arial" w:eastAsia="Times New Roman" w:hAnsi="Arial" w:cs="Arial"/>
            <w:lang w:eastAsia="es-PE"/>
          </w:rPr>
          <w:t>https://emprender.sunat.gob.pe/acciones-sunat/facultad-sancionadora/regimen-gradualidad</w:t>
        </w:r>
      </w:hyperlink>
      <w:r w:rsidR="00FE512A">
        <w:rPr>
          <w:rFonts w:ascii="Arial" w:eastAsia="Times New Roman" w:hAnsi="Arial" w:cs="Arial"/>
          <w:lang w:eastAsia="es-PE"/>
        </w:rPr>
        <w:t xml:space="preserve">. </w:t>
      </w:r>
    </w:p>
    <w:p w14:paraId="3F1E7926" w14:textId="54ABDECD" w:rsidR="0029381D" w:rsidRDefault="0029381D" w:rsidP="00DB176D">
      <w:pPr>
        <w:spacing w:after="0"/>
        <w:ind w:right="142"/>
        <w:jc w:val="both"/>
        <w:rPr>
          <w:rFonts w:ascii="Arial" w:hAnsi="Arial" w:cs="Arial"/>
        </w:rPr>
      </w:pPr>
    </w:p>
    <w:p w14:paraId="608F3696" w14:textId="77777777" w:rsidR="005B543E" w:rsidRPr="007E1461" w:rsidRDefault="005B543E" w:rsidP="00DB176D">
      <w:pPr>
        <w:spacing w:after="0"/>
        <w:ind w:right="142"/>
        <w:jc w:val="both"/>
        <w:rPr>
          <w:rFonts w:ascii="Arial" w:hAnsi="Arial" w:cs="Arial"/>
        </w:rPr>
      </w:pPr>
    </w:p>
    <w:p w14:paraId="692B46A9" w14:textId="77777777" w:rsidR="00CD4986" w:rsidRPr="007E146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lang w:eastAsia="es-PE"/>
        </w:rPr>
      </w:pPr>
      <w:r w:rsidRPr="007E1461">
        <w:rPr>
          <w:rFonts w:ascii="Arial" w:eastAsia="Times New Roman" w:hAnsi="Arial" w:cs="Arial"/>
          <w:b/>
          <w:bCs/>
          <w:lang w:eastAsia="es-PE"/>
        </w:rPr>
        <w:t>Gerencia de Comunicaciones e Imagen Institucional</w:t>
      </w:r>
    </w:p>
    <w:p w14:paraId="3C42BD8D" w14:textId="1EC04E9F" w:rsidR="00E6615C" w:rsidRPr="007E1461" w:rsidRDefault="00CD4986" w:rsidP="00DB176D">
      <w:pPr>
        <w:spacing w:after="0"/>
        <w:jc w:val="both"/>
        <w:rPr>
          <w:rFonts w:ascii="Arial" w:hAnsi="Arial" w:cs="Arial"/>
        </w:rPr>
      </w:pPr>
      <w:r w:rsidRPr="007E1461">
        <w:rPr>
          <w:rFonts w:ascii="Arial" w:eastAsia="Times New Roman" w:hAnsi="Arial" w:cs="Arial"/>
          <w:lang w:eastAsia="es-PE"/>
        </w:rPr>
        <w:lastRenderedPageBreak/>
        <w:t xml:space="preserve">Lima, </w:t>
      </w:r>
      <w:r w:rsidR="00FE512A">
        <w:rPr>
          <w:rFonts w:ascii="Arial" w:eastAsia="Times New Roman" w:hAnsi="Arial" w:cs="Arial"/>
          <w:lang w:eastAsia="es-PE"/>
        </w:rPr>
        <w:t>martes</w:t>
      </w:r>
      <w:r w:rsidR="00974EBA" w:rsidRPr="007E1461">
        <w:rPr>
          <w:rFonts w:ascii="Arial" w:eastAsia="Times New Roman" w:hAnsi="Arial" w:cs="Arial"/>
          <w:lang w:eastAsia="es-PE"/>
        </w:rPr>
        <w:t xml:space="preserve"> </w:t>
      </w:r>
      <w:r w:rsidR="000844D1" w:rsidRPr="007E1461">
        <w:rPr>
          <w:rFonts w:ascii="Arial" w:eastAsia="Times New Roman" w:hAnsi="Arial" w:cs="Arial"/>
          <w:lang w:eastAsia="es-PE"/>
        </w:rPr>
        <w:t>1</w:t>
      </w:r>
      <w:r w:rsidR="00FE512A">
        <w:rPr>
          <w:rFonts w:ascii="Arial" w:eastAsia="Times New Roman" w:hAnsi="Arial" w:cs="Arial"/>
          <w:lang w:eastAsia="es-PE"/>
        </w:rPr>
        <w:t>4</w:t>
      </w:r>
      <w:r w:rsidR="009F4459" w:rsidRPr="007E1461">
        <w:rPr>
          <w:rFonts w:ascii="Arial" w:eastAsia="Times New Roman" w:hAnsi="Arial" w:cs="Arial"/>
          <w:lang w:eastAsia="es-PE"/>
        </w:rPr>
        <w:t xml:space="preserve"> </w:t>
      </w:r>
      <w:r w:rsidRPr="007E1461">
        <w:rPr>
          <w:rFonts w:ascii="Arial" w:eastAsia="Times New Roman" w:hAnsi="Arial" w:cs="Arial"/>
          <w:lang w:eastAsia="es-PE"/>
        </w:rPr>
        <w:t xml:space="preserve">de </w:t>
      </w:r>
      <w:r w:rsidR="00F64AB6" w:rsidRPr="007E1461">
        <w:rPr>
          <w:rFonts w:ascii="Arial" w:eastAsia="Times New Roman" w:hAnsi="Arial" w:cs="Arial"/>
          <w:lang w:eastAsia="es-PE"/>
        </w:rPr>
        <w:t>enero</w:t>
      </w:r>
      <w:r w:rsidRPr="007E1461">
        <w:rPr>
          <w:rFonts w:ascii="Arial" w:eastAsia="Times New Roman" w:hAnsi="Arial" w:cs="Arial"/>
          <w:lang w:eastAsia="es-PE"/>
        </w:rPr>
        <w:t xml:space="preserve"> de</w:t>
      </w:r>
      <w:r w:rsidR="005B543E">
        <w:rPr>
          <w:rFonts w:ascii="Arial" w:eastAsia="Times New Roman" w:hAnsi="Arial" w:cs="Arial"/>
          <w:lang w:eastAsia="es-PE"/>
        </w:rPr>
        <w:t>l</w:t>
      </w:r>
      <w:r w:rsidRPr="007E1461">
        <w:rPr>
          <w:rFonts w:ascii="Arial" w:eastAsia="Times New Roman" w:hAnsi="Arial" w:cs="Arial"/>
          <w:lang w:eastAsia="es-PE"/>
        </w:rPr>
        <w:t xml:space="preserve"> 202</w:t>
      </w:r>
      <w:r w:rsidR="00F64AB6" w:rsidRPr="007E1461">
        <w:rPr>
          <w:rFonts w:ascii="Arial" w:eastAsia="Times New Roman" w:hAnsi="Arial" w:cs="Arial"/>
          <w:lang w:eastAsia="es-PE"/>
        </w:rPr>
        <w:t>5</w:t>
      </w:r>
      <w:r w:rsidRPr="007E1461">
        <w:rPr>
          <w:rFonts w:ascii="Arial" w:eastAsia="Times New Roman" w:hAnsi="Arial" w:cs="Arial"/>
          <w:lang w:eastAsia="es-PE"/>
        </w:rPr>
        <w:t>.</w:t>
      </w:r>
    </w:p>
    <w:sectPr w:rsidR="00E6615C" w:rsidRPr="007E1461" w:rsidSect="005B543E">
      <w:headerReference w:type="default" r:id="rId8"/>
      <w:footerReference w:type="default" r:id="rId9"/>
      <w:pgSz w:w="11906" w:h="16838"/>
      <w:pgMar w:top="1134" w:right="1701" w:bottom="993" w:left="1701" w:header="426" w:footer="8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5DD1C" w14:textId="77777777" w:rsidR="002B3198" w:rsidRDefault="002B3198" w:rsidP="00A62652">
      <w:pPr>
        <w:spacing w:after="0" w:line="240" w:lineRule="auto"/>
      </w:pPr>
      <w:r>
        <w:separator/>
      </w:r>
    </w:p>
  </w:endnote>
  <w:endnote w:type="continuationSeparator" w:id="0">
    <w:p w14:paraId="4B7EECBF" w14:textId="77777777" w:rsidR="002B3198" w:rsidRDefault="002B3198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852B6" w14:textId="77777777" w:rsidR="002B3198" w:rsidRDefault="002B3198" w:rsidP="00A62652">
      <w:pPr>
        <w:spacing w:after="0" w:line="240" w:lineRule="auto"/>
      </w:pPr>
      <w:r>
        <w:separator/>
      </w:r>
    </w:p>
  </w:footnote>
  <w:footnote w:type="continuationSeparator" w:id="0">
    <w:p w14:paraId="2F917E8C" w14:textId="77777777" w:rsidR="002B3198" w:rsidRDefault="002B3198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5" name="Imagen 5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53ACF"/>
    <w:multiLevelType w:val="hybridMultilevel"/>
    <w:tmpl w:val="9FA4FCA4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EE14A3F"/>
    <w:multiLevelType w:val="hybridMultilevel"/>
    <w:tmpl w:val="4302073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924587">
    <w:abstractNumId w:val="5"/>
  </w:num>
  <w:num w:numId="2" w16cid:durableId="1915163653">
    <w:abstractNumId w:val="3"/>
  </w:num>
  <w:num w:numId="3" w16cid:durableId="1645282061">
    <w:abstractNumId w:val="0"/>
  </w:num>
  <w:num w:numId="4" w16cid:durableId="955987866">
    <w:abstractNumId w:val="4"/>
  </w:num>
  <w:num w:numId="5" w16cid:durableId="2135709339">
    <w:abstractNumId w:val="6"/>
  </w:num>
  <w:num w:numId="6" w16cid:durableId="518852714">
    <w:abstractNumId w:val="1"/>
  </w:num>
  <w:num w:numId="7" w16cid:durableId="1090738968">
    <w:abstractNumId w:val="7"/>
  </w:num>
  <w:num w:numId="8" w16cid:durableId="209457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2B96"/>
    <w:rsid w:val="00017073"/>
    <w:rsid w:val="00052909"/>
    <w:rsid w:val="000640C1"/>
    <w:rsid w:val="0006418A"/>
    <w:rsid w:val="000701DD"/>
    <w:rsid w:val="00076794"/>
    <w:rsid w:val="000841D4"/>
    <w:rsid w:val="000844D1"/>
    <w:rsid w:val="00090123"/>
    <w:rsid w:val="000A566D"/>
    <w:rsid w:val="000B5464"/>
    <w:rsid w:val="000C2A7C"/>
    <w:rsid w:val="000C4E3C"/>
    <w:rsid w:val="000D704C"/>
    <w:rsid w:val="000E63B9"/>
    <w:rsid w:val="000F0D26"/>
    <w:rsid w:val="000F2828"/>
    <w:rsid w:val="000F6D2B"/>
    <w:rsid w:val="00101201"/>
    <w:rsid w:val="00113A01"/>
    <w:rsid w:val="00131153"/>
    <w:rsid w:val="00144FC2"/>
    <w:rsid w:val="00146188"/>
    <w:rsid w:val="00157EFB"/>
    <w:rsid w:val="00164C09"/>
    <w:rsid w:val="00165E1C"/>
    <w:rsid w:val="001736E3"/>
    <w:rsid w:val="001860ED"/>
    <w:rsid w:val="001A093B"/>
    <w:rsid w:val="001A7CA2"/>
    <w:rsid w:val="001C01DB"/>
    <w:rsid w:val="001C1725"/>
    <w:rsid w:val="001D3EE4"/>
    <w:rsid w:val="001E121D"/>
    <w:rsid w:val="001E74F7"/>
    <w:rsid w:val="001E7616"/>
    <w:rsid w:val="001F0761"/>
    <w:rsid w:val="001F2A73"/>
    <w:rsid w:val="00203724"/>
    <w:rsid w:val="002047BD"/>
    <w:rsid w:val="0021029C"/>
    <w:rsid w:val="00217248"/>
    <w:rsid w:val="00226D7D"/>
    <w:rsid w:val="00241BE6"/>
    <w:rsid w:val="002532D6"/>
    <w:rsid w:val="00261CBE"/>
    <w:rsid w:val="00264AB3"/>
    <w:rsid w:val="00266072"/>
    <w:rsid w:val="0029381D"/>
    <w:rsid w:val="002B3198"/>
    <w:rsid w:val="002C55F7"/>
    <w:rsid w:val="002E0C4C"/>
    <w:rsid w:val="002F537C"/>
    <w:rsid w:val="002F5BBF"/>
    <w:rsid w:val="00302B06"/>
    <w:rsid w:val="003131A0"/>
    <w:rsid w:val="0032444E"/>
    <w:rsid w:val="003275F6"/>
    <w:rsid w:val="00330C8A"/>
    <w:rsid w:val="00330F5E"/>
    <w:rsid w:val="00341F2F"/>
    <w:rsid w:val="00347338"/>
    <w:rsid w:val="00355576"/>
    <w:rsid w:val="003708F7"/>
    <w:rsid w:val="0039034A"/>
    <w:rsid w:val="003979E5"/>
    <w:rsid w:val="003A0458"/>
    <w:rsid w:val="003A33F2"/>
    <w:rsid w:val="003B100A"/>
    <w:rsid w:val="003B7E1C"/>
    <w:rsid w:val="003C070F"/>
    <w:rsid w:val="003C405A"/>
    <w:rsid w:val="003C68E3"/>
    <w:rsid w:val="003F38F9"/>
    <w:rsid w:val="004014F6"/>
    <w:rsid w:val="0040174D"/>
    <w:rsid w:val="00401AD3"/>
    <w:rsid w:val="00410D17"/>
    <w:rsid w:val="0041639D"/>
    <w:rsid w:val="00430CB0"/>
    <w:rsid w:val="0043182A"/>
    <w:rsid w:val="00435E85"/>
    <w:rsid w:val="00443BF9"/>
    <w:rsid w:val="004550DC"/>
    <w:rsid w:val="00473323"/>
    <w:rsid w:val="00477295"/>
    <w:rsid w:val="00481B9D"/>
    <w:rsid w:val="004823B8"/>
    <w:rsid w:val="00484E45"/>
    <w:rsid w:val="004906FB"/>
    <w:rsid w:val="004A29DF"/>
    <w:rsid w:val="004C2D5B"/>
    <w:rsid w:val="004C4B01"/>
    <w:rsid w:val="004C511C"/>
    <w:rsid w:val="004C79C8"/>
    <w:rsid w:val="004D1C34"/>
    <w:rsid w:val="004D41FD"/>
    <w:rsid w:val="004E367E"/>
    <w:rsid w:val="004F1A43"/>
    <w:rsid w:val="004F4BE5"/>
    <w:rsid w:val="00516F55"/>
    <w:rsid w:val="00536F28"/>
    <w:rsid w:val="00544063"/>
    <w:rsid w:val="00554306"/>
    <w:rsid w:val="00563EDD"/>
    <w:rsid w:val="00566C27"/>
    <w:rsid w:val="00596775"/>
    <w:rsid w:val="00596A51"/>
    <w:rsid w:val="005A5B52"/>
    <w:rsid w:val="005B543E"/>
    <w:rsid w:val="005C1EC7"/>
    <w:rsid w:val="005C2402"/>
    <w:rsid w:val="005D478C"/>
    <w:rsid w:val="005F05DE"/>
    <w:rsid w:val="00620BAD"/>
    <w:rsid w:val="006261AD"/>
    <w:rsid w:val="00627E25"/>
    <w:rsid w:val="006558BC"/>
    <w:rsid w:val="00663D0A"/>
    <w:rsid w:val="00666CBE"/>
    <w:rsid w:val="006758A9"/>
    <w:rsid w:val="0068666A"/>
    <w:rsid w:val="006A0D15"/>
    <w:rsid w:val="006A590F"/>
    <w:rsid w:val="006B2534"/>
    <w:rsid w:val="006B5EAC"/>
    <w:rsid w:val="006C2E14"/>
    <w:rsid w:val="006D1C4E"/>
    <w:rsid w:val="006D6D3E"/>
    <w:rsid w:val="006E19EA"/>
    <w:rsid w:val="006E1E20"/>
    <w:rsid w:val="006E2293"/>
    <w:rsid w:val="006E2AAB"/>
    <w:rsid w:val="006F532C"/>
    <w:rsid w:val="007019A4"/>
    <w:rsid w:val="007068EF"/>
    <w:rsid w:val="00712CF1"/>
    <w:rsid w:val="00733A2D"/>
    <w:rsid w:val="007343E1"/>
    <w:rsid w:val="00740AAC"/>
    <w:rsid w:val="007461B3"/>
    <w:rsid w:val="00746CE1"/>
    <w:rsid w:val="007506E8"/>
    <w:rsid w:val="00763D58"/>
    <w:rsid w:val="00780E25"/>
    <w:rsid w:val="0078579B"/>
    <w:rsid w:val="00785937"/>
    <w:rsid w:val="007863EA"/>
    <w:rsid w:val="00786E66"/>
    <w:rsid w:val="0079598A"/>
    <w:rsid w:val="007A44B7"/>
    <w:rsid w:val="007A6A14"/>
    <w:rsid w:val="007B16CC"/>
    <w:rsid w:val="007B6397"/>
    <w:rsid w:val="007B6CFB"/>
    <w:rsid w:val="007C4B07"/>
    <w:rsid w:val="007E0965"/>
    <w:rsid w:val="007E11F0"/>
    <w:rsid w:val="007E1461"/>
    <w:rsid w:val="007F760D"/>
    <w:rsid w:val="00811644"/>
    <w:rsid w:val="008237ED"/>
    <w:rsid w:val="00825BB0"/>
    <w:rsid w:val="00825D16"/>
    <w:rsid w:val="00827F45"/>
    <w:rsid w:val="008442EC"/>
    <w:rsid w:val="0085312D"/>
    <w:rsid w:val="0085542C"/>
    <w:rsid w:val="00880560"/>
    <w:rsid w:val="00883A81"/>
    <w:rsid w:val="008A68BE"/>
    <w:rsid w:val="008B1872"/>
    <w:rsid w:val="008B6FB6"/>
    <w:rsid w:val="008D136E"/>
    <w:rsid w:val="008E021B"/>
    <w:rsid w:val="008E137C"/>
    <w:rsid w:val="008E500F"/>
    <w:rsid w:val="008E6277"/>
    <w:rsid w:val="008F2E57"/>
    <w:rsid w:val="00900220"/>
    <w:rsid w:val="009136D4"/>
    <w:rsid w:val="00915792"/>
    <w:rsid w:val="00916E76"/>
    <w:rsid w:val="00922910"/>
    <w:rsid w:val="00931752"/>
    <w:rsid w:val="009373D1"/>
    <w:rsid w:val="0094334B"/>
    <w:rsid w:val="009445B8"/>
    <w:rsid w:val="00965C07"/>
    <w:rsid w:val="0097110D"/>
    <w:rsid w:val="0097481E"/>
    <w:rsid w:val="00974EBA"/>
    <w:rsid w:val="00976B83"/>
    <w:rsid w:val="00985DE1"/>
    <w:rsid w:val="00986C28"/>
    <w:rsid w:val="009A35F8"/>
    <w:rsid w:val="009B6054"/>
    <w:rsid w:val="009C4126"/>
    <w:rsid w:val="009D68FC"/>
    <w:rsid w:val="009F2041"/>
    <w:rsid w:val="009F4459"/>
    <w:rsid w:val="009F46E8"/>
    <w:rsid w:val="00A0050A"/>
    <w:rsid w:val="00A0465F"/>
    <w:rsid w:val="00A27791"/>
    <w:rsid w:val="00A31192"/>
    <w:rsid w:val="00A40457"/>
    <w:rsid w:val="00A45B01"/>
    <w:rsid w:val="00A47E2F"/>
    <w:rsid w:val="00A57743"/>
    <w:rsid w:val="00A62652"/>
    <w:rsid w:val="00A62856"/>
    <w:rsid w:val="00A650C4"/>
    <w:rsid w:val="00A96C19"/>
    <w:rsid w:val="00A975DB"/>
    <w:rsid w:val="00A97F37"/>
    <w:rsid w:val="00AB1300"/>
    <w:rsid w:val="00AC286F"/>
    <w:rsid w:val="00AC781C"/>
    <w:rsid w:val="00AD4D93"/>
    <w:rsid w:val="00AE7FA6"/>
    <w:rsid w:val="00B0700C"/>
    <w:rsid w:val="00B278B3"/>
    <w:rsid w:val="00B32EF0"/>
    <w:rsid w:val="00B34B3C"/>
    <w:rsid w:val="00B36C54"/>
    <w:rsid w:val="00B461B4"/>
    <w:rsid w:val="00B533C5"/>
    <w:rsid w:val="00B700CD"/>
    <w:rsid w:val="00B765E9"/>
    <w:rsid w:val="00BA081F"/>
    <w:rsid w:val="00BA4CD4"/>
    <w:rsid w:val="00BB3BA7"/>
    <w:rsid w:val="00BB78C5"/>
    <w:rsid w:val="00BC56FA"/>
    <w:rsid w:val="00BE6A41"/>
    <w:rsid w:val="00BF7701"/>
    <w:rsid w:val="00C13900"/>
    <w:rsid w:val="00C2594F"/>
    <w:rsid w:val="00C264CE"/>
    <w:rsid w:val="00C37468"/>
    <w:rsid w:val="00C40DE7"/>
    <w:rsid w:val="00C43F8A"/>
    <w:rsid w:val="00C54076"/>
    <w:rsid w:val="00C56E22"/>
    <w:rsid w:val="00C913A8"/>
    <w:rsid w:val="00C95E53"/>
    <w:rsid w:val="00CB0452"/>
    <w:rsid w:val="00CB6582"/>
    <w:rsid w:val="00CC123C"/>
    <w:rsid w:val="00CC74DA"/>
    <w:rsid w:val="00CD4986"/>
    <w:rsid w:val="00CE4DD7"/>
    <w:rsid w:val="00CE5689"/>
    <w:rsid w:val="00CE62EF"/>
    <w:rsid w:val="00CF434F"/>
    <w:rsid w:val="00CF6301"/>
    <w:rsid w:val="00CF7933"/>
    <w:rsid w:val="00D05B65"/>
    <w:rsid w:val="00D109C2"/>
    <w:rsid w:val="00D11A9D"/>
    <w:rsid w:val="00D141B7"/>
    <w:rsid w:val="00D20225"/>
    <w:rsid w:val="00D24E33"/>
    <w:rsid w:val="00D25117"/>
    <w:rsid w:val="00D7163D"/>
    <w:rsid w:val="00D92273"/>
    <w:rsid w:val="00D93C21"/>
    <w:rsid w:val="00D95D3F"/>
    <w:rsid w:val="00DA0850"/>
    <w:rsid w:val="00DB176D"/>
    <w:rsid w:val="00DB3C5B"/>
    <w:rsid w:val="00DB7B04"/>
    <w:rsid w:val="00DD551B"/>
    <w:rsid w:val="00DD5D4C"/>
    <w:rsid w:val="00DE5D0B"/>
    <w:rsid w:val="00DF292A"/>
    <w:rsid w:val="00E018D9"/>
    <w:rsid w:val="00E17930"/>
    <w:rsid w:val="00E5441A"/>
    <w:rsid w:val="00E6615C"/>
    <w:rsid w:val="00E90C68"/>
    <w:rsid w:val="00E971EB"/>
    <w:rsid w:val="00E97246"/>
    <w:rsid w:val="00EA293A"/>
    <w:rsid w:val="00EA439C"/>
    <w:rsid w:val="00EB0075"/>
    <w:rsid w:val="00EB54DE"/>
    <w:rsid w:val="00EB742B"/>
    <w:rsid w:val="00EB7B62"/>
    <w:rsid w:val="00EC060E"/>
    <w:rsid w:val="00EC78B9"/>
    <w:rsid w:val="00ED1D8C"/>
    <w:rsid w:val="00ED777B"/>
    <w:rsid w:val="00EE366B"/>
    <w:rsid w:val="00EF1ECB"/>
    <w:rsid w:val="00F1364A"/>
    <w:rsid w:val="00F42767"/>
    <w:rsid w:val="00F43E58"/>
    <w:rsid w:val="00F46D4D"/>
    <w:rsid w:val="00F471F2"/>
    <w:rsid w:val="00F55EA0"/>
    <w:rsid w:val="00F63572"/>
    <w:rsid w:val="00F64AB6"/>
    <w:rsid w:val="00F877D5"/>
    <w:rsid w:val="00FA227F"/>
    <w:rsid w:val="00FC210B"/>
    <w:rsid w:val="00FC33E6"/>
    <w:rsid w:val="00FC354F"/>
    <w:rsid w:val="00FD2F02"/>
    <w:rsid w:val="00FE287C"/>
    <w:rsid w:val="00FE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f01">
    <w:name w:val="cf01"/>
    <w:rsid w:val="0029381D"/>
    <w:rPr>
      <w:rFonts w:ascii="Segoe UI" w:hAnsi="Segoe UI" w:cs="Segoe UI" w:hint="default"/>
      <w:sz w:val="18"/>
      <w:szCs w:val="18"/>
    </w:rPr>
  </w:style>
  <w:style w:type="character" w:customStyle="1" w:styleId="bold">
    <w:name w:val="bold"/>
    <w:basedOn w:val="Fuentedeprrafopredeter"/>
    <w:rsid w:val="00CE62EF"/>
  </w:style>
  <w:style w:type="character" w:customStyle="1" w:styleId="ng-star-inserted">
    <w:name w:val="ng-star-inserted"/>
    <w:basedOn w:val="Fuentedeprrafopredeter"/>
    <w:rsid w:val="00CE62EF"/>
  </w:style>
  <w:style w:type="paragraph" w:styleId="Revisin">
    <w:name w:val="Revision"/>
    <w:hidden/>
    <w:uiPriority w:val="99"/>
    <w:semiHidden/>
    <w:rsid w:val="00D109C2"/>
    <w:rPr>
      <w:sz w:val="22"/>
      <w:szCs w:val="22"/>
      <w:lang w:eastAsia="en-US"/>
    </w:rPr>
  </w:style>
  <w:style w:type="character" w:customStyle="1" w:styleId="cf11">
    <w:name w:val="cf11"/>
    <w:basedOn w:val="Fuentedeprrafopredeter"/>
    <w:rsid w:val="007E0965"/>
    <w:rPr>
      <w:rFonts w:ascii="Segoe UI" w:hAnsi="Segoe UI" w:cs="Segoe UI" w:hint="default"/>
      <w:color w:val="151515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mprender.sunat.gob.pe/acciones-sunat/facultad-sancionadora/regimen-gradual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3</cp:revision>
  <cp:lastPrinted>2025-01-07T21:19:00Z</cp:lastPrinted>
  <dcterms:created xsi:type="dcterms:W3CDTF">2025-01-15T21:26:00Z</dcterms:created>
  <dcterms:modified xsi:type="dcterms:W3CDTF">2025-01-15T21:26:00Z</dcterms:modified>
</cp:coreProperties>
</file>