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73924" w14:textId="5728D202" w:rsidR="00A97BC3" w:rsidRPr="006C5305" w:rsidRDefault="00A97BC3" w:rsidP="006C5305">
      <w:pPr>
        <w:spacing w:after="120"/>
        <w:jc w:val="right"/>
        <w:rPr>
          <w:rFonts w:ascii="Arial" w:eastAsia="Times New Roman" w:hAnsi="Arial" w:cs="Arial"/>
          <w:b/>
          <w:bCs/>
          <w:color w:val="222222"/>
          <w:sz w:val="24"/>
          <w:szCs w:val="24"/>
          <w:lang w:eastAsia="es-PE"/>
        </w:rPr>
      </w:pPr>
      <w:r w:rsidRPr="006C5305">
        <w:rPr>
          <w:rFonts w:ascii="Arial" w:eastAsia="Times New Roman" w:hAnsi="Arial" w:cs="Arial"/>
          <w:b/>
          <w:bCs/>
          <w:color w:val="222222"/>
          <w:sz w:val="24"/>
          <w:szCs w:val="24"/>
          <w:lang w:eastAsia="es-PE"/>
        </w:rPr>
        <w:t xml:space="preserve">Nota de Prensa </w:t>
      </w:r>
      <w:proofErr w:type="spellStart"/>
      <w:r w:rsidRPr="006C5305">
        <w:rPr>
          <w:rFonts w:ascii="Arial" w:eastAsia="Times New Roman" w:hAnsi="Arial" w:cs="Arial"/>
          <w:b/>
          <w:bCs/>
          <w:color w:val="222222"/>
          <w:sz w:val="24"/>
          <w:szCs w:val="24"/>
          <w:lang w:eastAsia="es-PE"/>
        </w:rPr>
        <w:t>N°</w:t>
      </w:r>
      <w:proofErr w:type="spellEnd"/>
      <w:r w:rsidRPr="006C5305">
        <w:rPr>
          <w:rFonts w:ascii="Arial" w:eastAsia="Times New Roman" w:hAnsi="Arial" w:cs="Arial"/>
          <w:b/>
          <w:bCs/>
          <w:color w:val="222222"/>
          <w:sz w:val="24"/>
          <w:szCs w:val="24"/>
          <w:lang w:eastAsia="es-PE"/>
        </w:rPr>
        <w:t xml:space="preserve"> 02</w:t>
      </w:r>
      <w:r w:rsidR="004A3AB4" w:rsidRPr="006C5305">
        <w:rPr>
          <w:rFonts w:ascii="Arial" w:eastAsia="Times New Roman" w:hAnsi="Arial" w:cs="Arial"/>
          <w:b/>
          <w:bCs/>
          <w:color w:val="222222"/>
          <w:sz w:val="24"/>
          <w:szCs w:val="24"/>
          <w:lang w:eastAsia="es-PE"/>
        </w:rPr>
        <w:t>5</w:t>
      </w:r>
    </w:p>
    <w:p w14:paraId="5909549A" w14:textId="1B240818" w:rsidR="005D5934" w:rsidRPr="00F12212" w:rsidRDefault="005D5934" w:rsidP="00F12212">
      <w:pPr>
        <w:spacing w:after="120"/>
        <w:rPr>
          <w:rFonts w:ascii="Arial" w:eastAsia="Times New Roman" w:hAnsi="Arial" w:cs="Arial"/>
          <w:b/>
          <w:bCs/>
          <w:i/>
          <w:iCs/>
          <w:color w:val="222222"/>
          <w:sz w:val="24"/>
          <w:szCs w:val="24"/>
          <w:lang w:eastAsia="es-PE"/>
        </w:rPr>
      </w:pPr>
      <w:r w:rsidRPr="00F12212">
        <w:rPr>
          <w:rFonts w:ascii="Arial" w:eastAsia="Times New Roman" w:hAnsi="Arial" w:cs="Arial"/>
          <w:b/>
          <w:bCs/>
          <w:i/>
          <w:iCs/>
          <w:color w:val="222222"/>
          <w:sz w:val="24"/>
          <w:szCs w:val="24"/>
          <w:lang w:eastAsia="es-PE"/>
        </w:rPr>
        <w:t>Continuando con las medidas para enfrentar la minería informal</w:t>
      </w:r>
    </w:p>
    <w:p w14:paraId="250BB349" w14:textId="5A914150" w:rsidR="00FE5F9E" w:rsidRPr="007B74FA" w:rsidRDefault="00FE5F9E" w:rsidP="007B74FA">
      <w:pPr>
        <w:spacing w:after="0"/>
        <w:jc w:val="center"/>
        <w:rPr>
          <w:rFonts w:ascii="Arial" w:eastAsia="Times New Roman" w:hAnsi="Arial" w:cs="Arial"/>
          <w:b/>
          <w:bCs/>
          <w:color w:val="222222"/>
          <w:sz w:val="36"/>
          <w:szCs w:val="36"/>
          <w:lang w:eastAsia="es-PE"/>
        </w:rPr>
      </w:pPr>
      <w:r w:rsidRPr="00FE5F9E">
        <w:rPr>
          <w:rFonts w:ascii="Arial" w:eastAsia="Times New Roman" w:hAnsi="Arial" w:cs="Arial"/>
          <w:b/>
          <w:bCs/>
          <w:color w:val="222222"/>
          <w:sz w:val="36"/>
          <w:szCs w:val="36"/>
          <w:lang w:eastAsia="es-PE"/>
        </w:rPr>
        <w:t xml:space="preserve">SUNAT FORTALECE CONTROL EN </w:t>
      </w:r>
      <w:r w:rsidR="005D5934">
        <w:rPr>
          <w:rFonts w:ascii="Arial" w:eastAsia="Times New Roman" w:hAnsi="Arial" w:cs="Arial"/>
          <w:b/>
          <w:bCs/>
          <w:color w:val="222222"/>
          <w:sz w:val="36"/>
          <w:szCs w:val="36"/>
          <w:lang w:eastAsia="es-PE"/>
        </w:rPr>
        <w:t xml:space="preserve">TRASLADO DE </w:t>
      </w:r>
      <w:r w:rsidRPr="00FE5F9E">
        <w:rPr>
          <w:rFonts w:ascii="Arial" w:eastAsia="Times New Roman" w:hAnsi="Arial" w:cs="Arial"/>
          <w:b/>
          <w:bCs/>
          <w:color w:val="222222"/>
          <w:sz w:val="36"/>
          <w:szCs w:val="36"/>
          <w:lang w:eastAsia="es-PE"/>
        </w:rPr>
        <w:t>MINER</w:t>
      </w:r>
      <w:r w:rsidR="005D5934">
        <w:rPr>
          <w:rFonts w:ascii="Arial" w:eastAsia="Times New Roman" w:hAnsi="Arial" w:cs="Arial"/>
          <w:b/>
          <w:bCs/>
          <w:color w:val="222222"/>
          <w:sz w:val="36"/>
          <w:szCs w:val="36"/>
          <w:lang w:eastAsia="es-PE"/>
        </w:rPr>
        <w:t>ALES</w:t>
      </w:r>
      <w:r w:rsidRPr="00FE5F9E">
        <w:rPr>
          <w:rFonts w:ascii="Arial" w:eastAsia="Times New Roman" w:hAnsi="Arial" w:cs="Arial"/>
          <w:b/>
          <w:bCs/>
          <w:color w:val="222222"/>
          <w:sz w:val="36"/>
          <w:szCs w:val="36"/>
          <w:lang w:eastAsia="es-PE"/>
        </w:rPr>
        <w:t xml:space="preserve"> CON OPTIMIZACIÓN DEL SISTEMA DE DETRACCIONES</w:t>
      </w:r>
    </w:p>
    <w:p w14:paraId="64A77E41" w14:textId="77777777" w:rsidR="007B74FA" w:rsidRDefault="007B74FA" w:rsidP="007B74FA">
      <w:pPr>
        <w:spacing w:after="0"/>
        <w:jc w:val="both"/>
        <w:rPr>
          <w:rFonts w:ascii="Arial" w:hAnsi="Arial" w:cs="Arial"/>
        </w:rPr>
      </w:pPr>
    </w:p>
    <w:p w14:paraId="7F9701D2" w14:textId="77777777" w:rsidR="00F12212" w:rsidRDefault="00FE5F9E" w:rsidP="007B74FA">
      <w:pPr>
        <w:spacing w:after="0"/>
        <w:jc w:val="both"/>
        <w:rPr>
          <w:rFonts w:ascii="Arial" w:hAnsi="Arial" w:cs="Arial"/>
        </w:rPr>
      </w:pPr>
      <w:r w:rsidRPr="00FE5F9E">
        <w:rPr>
          <w:rFonts w:ascii="Arial" w:hAnsi="Arial" w:cs="Arial"/>
        </w:rPr>
        <w:t>La Superintendencia Nacional de Aduanas y de Administración Tributaria (SUNAT) ha implementado mejoras significativas en la aplicación del sistema de detracciones para las operaciones relacionadas con la minería metálica, tanto aurífera como no aurífera.</w:t>
      </w:r>
    </w:p>
    <w:p w14:paraId="7D4FC9E9" w14:textId="77777777" w:rsidR="00F12212" w:rsidRDefault="00F12212" w:rsidP="007B74FA">
      <w:pPr>
        <w:spacing w:after="0"/>
        <w:jc w:val="both"/>
        <w:rPr>
          <w:rFonts w:ascii="Arial" w:hAnsi="Arial" w:cs="Arial"/>
        </w:rPr>
      </w:pPr>
    </w:p>
    <w:p w14:paraId="7F8B0691" w14:textId="7901FDB5" w:rsidR="00FE5F9E" w:rsidRDefault="00FE5F9E" w:rsidP="007B74FA">
      <w:pPr>
        <w:spacing w:after="0"/>
        <w:jc w:val="both"/>
        <w:rPr>
          <w:rFonts w:ascii="Arial" w:hAnsi="Arial" w:cs="Arial"/>
        </w:rPr>
      </w:pPr>
      <w:r w:rsidRPr="00FE5F9E">
        <w:rPr>
          <w:rFonts w:ascii="Arial" w:hAnsi="Arial" w:cs="Arial"/>
        </w:rPr>
        <w:t xml:space="preserve">Esta optimización, oficializada a través de la Resolución de Superintendencia </w:t>
      </w:r>
      <w:proofErr w:type="spellStart"/>
      <w:r w:rsidRPr="00FE5F9E">
        <w:rPr>
          <w:rFonts w:ascii="Arial" w:hAnsi="Arial" w:cs="Arial"/>
        </w:rPr>
        <w:t>N°</w:t>
      </w:r>
      <w:proofErr w:type="spellEnd"/>
      <w:r w:rsidRPr="00FE5F9E">
        <w:rPr>
          <w:rFonts w:ascii="Arial" w:hAnsi="Arial" w:cs="Arial"/>
        </w:rPr>
        <w:t xml:space="preserve"> </w:t>
      </w:r>
      <w:r w:rsidR="00E91819">
        <w:rPr>
          <w:rFonts w:ascii="Arial" w:hAnsi="Arial" w:cs="Arial"/>
        </w:rPr>
        <w:t>86</w:t>
      </w:r>
      <w:r w:rsidRPr="00FE5F9E">
        <w:rPr>
          <w:rFonts w:ascii="Arial" w:hAnsi="Arial" w:cs="Arial"/>
        </w:rPr>
        <w:t>-2025/SUNAT publicada en el diario oficial y vigente a partir del 1 de abril, busca combatir la informalidad en el sector, mejorar la recaudación del IGV y fortalecer las labores de control y fiscalización tributaria.</w:t>
      </w:r>
    </w:p>
    <w:p w14:paraId="5D0413D4" w14:textId="77777777" w:rsidR="00FE5F9E" w:rsidRDefault="00FE5F9E" w:rsidP="007B74FA">
      <w:pPr>
        <w:spacing w:after="0"/>
        <w:jc w:val="both"/>
        <w:rPr>
          <w:rFonts w:ascii="Arial" w:hAnsi="Arial" w:cs="Arial"/>
        </w:rPr>
      </w:pPr>
    </w:p>
    <w:p w14:paraId="749C4838" w14:textId="77777777" w:rsidR="00F12212" w:rsidRDefault="007B74FA" w:rsidP="007B74FA">
      <w:pPr>
        <w:spacing w:after="0"/>
        <w:jc w:val="both"/>
        <w:rPr>
          <w:rFonts w:ascii="Arial" w:hAnsi="Arial" w:cs="Arial"/>
        </w:rPr>
      </w:pPr>
      <w:r>
        <w:rPr>
          <w:rFonts w:ascii="Arial" w:hAnsi="Arial" w:cs="Arial"/>
        </w:rPr>
        <w:t xml:space="preserve">En primer lugar, se dispone la obligación de efectuar el depósito de la detracción con anterioridad al traslado de los minerales metálicos auríferos y no auríferos, lo que permitirá efectuar </w:t>
      </w:r>
      <w:r w:rsidR="00EA4CCC" w:rsidRPr="00EA4CCC">
        <w:rPr>
          <w:rFonts w:ascii="Arial" w:hAnsi="Arial" w:cs="Arial"/>
        </w:rPr>
        <w:t>un control más efectivo en las vías de transporte</w:t>
      </w:r>
      <w:r>
        <w:rPr>
          <w:rFonts w:ascii="Arial" w:hAnsi="Arial" w:cs="Arial"/>
        </w:rPr>
        <w:t>.</w:t>
      </w:r>
      <w:r w:rsidR="005D5934">
        <w:rPr>
          <w:rFonts w:ascii="Arial" w:hAnsi="Arial" w:cs="Arial"/>
        </w:rPr>
        <w:t xml:space="preserve"> </w:t>
      </w:r>
    </w:p>
    <w:p w14:paraId="43FB06DE" w14:textId="77777777" w:rsidR="00F12212" w:rsidRDefault="00F12212" w:rsidP="007B74FA">
      <w:pPr>
        <w:spacing w:after="0"/>
        <w:jc w:val="both"/>
        <w:rPr>
          <w:rFonts w:ascii="Arial" w:hAnsi="Arial" w:cs="Arial"/>
        </w:rPr>
      </w:pPr>
    </w:p>
    <w:p w14:paraId="6F3C869C" w14:textId="2A8B7B04" w:rsidR="007B74FA" w:rsidRDefault="005F62F9" w:rsidP="007B74FA">
      <w:pPr>
        <w:spacing w:after="0"/>
        <w:jc w:val="both"/>
        <w:rPr>
          <w:rFonts w:ascii="Arial" w:hAnsi="Arial" w:cs="Arial"/>
        </w:rPr>
      </w:pPr>
      <w:r>
        <w:rPr>
          <w:rFonts w:ascii="Arial" w:hAnsi="Arial" w:cs="Arial"/>
        </w:rPr>
        <w:t xml:space="preserve">De este modo, los funcionarios de la SUNAT, ubicados en las diferentes garitas de control o en los controles móviles, </w:t>
      </w:r>
      <w:r w:rsidR="00E91819">
        <w:rPr>
          <w:rFonts w:ascii="Arial" w:hAnsi="Arial" w:cs="Arial"/>
        </w:rPr>
        <w:t>requerirán</w:t>
      </w:r>
      <w:r>
        <w:rPr>
          <w:rFonts w:ascii="Arial" w:hAnsi="Arial" w:cs="Arial"/>
        </w:rPr>
        <w:t xml:space="preserve"> la constancia del depósito de la detracción por el traslado de </w:t>
      </w:r>
      <w:r w:rsidR="00DB34ED">
        <w:rPr>
          <w:rFonts w:ascii="Arial" w:hAnsi="Arial" w:cs="Arial"/>
        </w:rPr>
        <w:t xml:space="preserve">estos </w:t>
      </w:r>
      <w:r>
        <w:rPr>
          <w:rFonts w:ascii="Arial" w:hAnsi="Arial" w:cs="Arial"/>
        </w:rPr>
        <w:t xml:space="preserve">bienes. La remisión de </w:t>
      </w:r>
      <w:r w:rsidR="00E91819">
        <w:rPr>
          <w:rFonts w:ascii="Arial" w:hAnsi="Arial" w:cs="Arial"/>
        </w:rPr>
        <w:t xml:space="preserve">este tipo de </w:t>
      </w:r>
      <w:r>
        <w:rPr>
          <w:rFonts w:ascii="Arial" w:hAnsi="Arial" w:cs="Arial"/>
        </w:rPr>
        <w:t xml:space="preserve">minerales sin la </w:t>
      </w:r>
      <w:r w:rsidR="00DB34ED">
        <w:rPr>
          <w:rFonts w:ascii="Arial" w:hAnsi="Arial" w:cs="Arial"/>
        </w:rPr>
        <w:t xml:space="preserve">referida </w:t>
      </w:r>
      <w:r>
        <w:rPr>
          <w:rFonts w:ascii="Arial" w:hAnsi="Arial" w:cs="Arial"/>
        </w:rPr>
        <w:t xml:space="preserve">constancia será sancionada con </w:t>
      </w:r>
      <w:r w:rsidR="00DB34ED">
        <w:rPr>
          <w:rFonts w:ascii="Arial" w:hAnsi="Arial" w:cs="Arial"/>
        </w:rPr>
        <w:t xml:space="preserve">el </w:t>
      </w:r>
      <w:r>
        <w:rPr>
          <w:rFonts w:ascii="Arial" w:hAnsi="Arial" w:cs="Arial"/>
        </w:rPr>
        <w:t xml:space="preserve">comiso </w:t>
      </w:r>
      <w:r w:rsidR="00DB34ED">
        <w:rPr>
          <w:rFonts w:ascii="Arial" w:hAnsi="Arial" w:cs="Arial"/>
        </w:rPr>
        <w:t xml:space="preserve">de los bienes </w:t>
      </w:r>
      <w:r>
        <w:rPr>
          <w:rFonts w:ascii="Arial" w:hAnsi="Arial" w:cs="Arial"/>
        </w:rPr>
        <w:t>o multa.</w:t>
      </w:r>
      <w:r w:rsidR="007B74FA">
        <w:rPr>
          <w:rFonts w:ascii="Arial" w:hAnsi="Arial" w:cs="Arial"/>
        </w:rPr>
        <w:t xml:space="preserve"> </w:t>
      </w:r>
    </w:p>
    <w:p w14:paraId="0004F999" w14:textId="77777777" w:rsidR="007B74FA" w:rsidRDefault="007B74FA" w:rsidP="007B74FA">
      <w:pPr>
        <w:spacing w:after="0"/>
        <w:jc w:val="both"/>
        <w:rPr>
          <w:rFonts w:ascii="Arial" w:hAnsi="Arial" w:cs="Arial"/>
        </w:rPr>
      </w:pPr>
    </w:p>
    <w:p w14:paraId="11D037B0" w14:textId="77777777" w:rsidR="00F12212" w:rsidRDefault="00EA4CCC" w:rsidP="007B74FA">
      <w:pPr>
        <w:spacing w:after="0"/>
        <w:jc w:val="both"/>
        <w:rPr>
          <w:rFonts w:ascii="Arial" w:hAnsi="Arial" w:cs="Arial"/>
        </w:rPr>
      </w:pPr>
      <w:r w:rsidRPr="00EA4CCC">
        <w:rPr>
          <w:rFonts w:ascii="Arial" w:hAnsi="Arial" w:cs="Arial"/>
        </w:rPr>
        <w:t xml:space="preserve">Adicionalmente, </w:t>
      </w:r>
      <w:r w:rsidR="00F12212">
        <w:rPr>
          <w:rFonts w:ascii="Arial" w:hAnsi="Arial" w:cs="Arial"/>
        </w:rPr>
        <w:t>se</w:t>
      </w:r>
      <w:r w:rsidRPr="00EA4CCC">
        <w:rPr>
          <w:rFonts w:ascii="Arial" w:hAnsi="Arial" w:cs="Arial"/>
        </w:rPr>
        <w:t xml:space="preserve"> ha desagregado el servicio de beneficio de minerales metálicos dentro del sistema de detracciones. Si bien este servicio ya estaba incluido bajo la categoría general de "demás servicios gravados con el IGV", la nueva especificación facilitará la identificación precisa de los actores involucrados en el proceso de beneficio de minerales auríferos y no auríferos. </w:t>
      </w:r>
    </w:p>
    <w:p w14:paraId="03A6E524" w14:textId="77777777" w:rsidR="00F12212" w:rsidRDefault="00F12212" w:rsidP="007B74FA">
      <w:pPr>
        <w:spacing w:after="0"/>
        <w:jc w:val="both"/>
        <w:rPr>
          <w:rFonts w:ascii="Arial" w:hAnsi="Arial" w:cs="Arial"/>
        </w:rPr>
      </w:pPr>
    </w:p>
    <w:p w14:paraId="061A5BA7" w14:textId="7BF51155" w:rsidR="00EA4CCC" w:rsidRDefault="00EA4CCC" w:rsidP="007B74FA">
      <w:pPr>
        <w:spacing w:after="0"/>
        <w:jc w:val="both"/>
        <w:rPr>
          <w:rFonts w:ascii="Arial" w:hAnsi="Arial" w:cs="Arial"/>
        </w:rPr>
      </w:pPr>
      <w:r w:rsidRPr="00EA4CCC">
        <w:rPr>
          <w:rFonts w:ascii="Arial" w:hAnsi="Arial" w:cs="Arial"/>
        </w:rPr>
        <w:t xml:space="preserve">Esta mayor trazabilidad permitirá un seguimiento y control tributario más eficiente de este eslabón clave en la cadena de valor minera, contribuyendo a mejorar el cumplimiento tributario. </w:t>
      </w:r>
    </w:p>
    <w:p w14:paraId="35B96852" w14:textId="77777777" w:rsidR="00EA4CCC" w:rsidRDefault="00EA4CCC" w:rsidP="007B74FA">
      <w:pPr>
        <w:spacing w:after="0"/>
        <w:jc w:val="both"/>
        <w:rPr>
          <w:rFonts w:ascii="Arial" w:hAnsi="Arial" w:cs="Arial"/>
        </w:rPr>
      </w:pPr>
    </w:p>
    <w:p w14:paraId="4B379327" w14:textId="77777777" w:rsidR="0023706E" w:rsidRPr="0023706E" w:rsidRDefault="0023706E" w:rsidP="0023706E">
      <w:pPr>
        <w:spacing w:after="0"/>
        <w:jc w:val="both"/>
        <w:rPr>
          <w:rFonts w:ascii="Arial" w:hAnsi="Arial" w:cs="Arial"/>
        </w:rPr>
      </w:pPr>
      <w:r w:rsidRPr="0023706E">
        <w:rPr>
          <w:rFonts w:ascii="Arial" w:hAnsi="Arial" w:cs="Arial"/>
        </w:rPr>
        <w:t>Es importante destacar que los porcentajes de detracción no han sido modificados. Se mantienen en 10% para los minerales de oro y sus concentrados gravados con el IGV, así como para los minerales metálicos no auríferos. La tasa para el servicio de beneficio de minerales metálicos gravados con el IGV se mantiene en 12%.</w:t>
      </w:r>
    </w:p>
    <w:p w14:paraId="2E152D9D" w14:textId="77777777" w:rsidR="0023706E" w:rsidRDefault="0023706E" w:rsidP="0023706E">
      <w:pPr>
        <w:spacing w:after="0"/>
        <w:jc w:val="both"/>
        <w:rPr>
          <w:rFonts w:ascii="Arial" w:hAnsi="Arial" w:cs="Arial"/>
        </w:rPr>
      </w:pPr>
    </w:p>
    <w:p w14:paraId="25D00B91" w14:textId="619C81AF" w:rsidR="005F62F9" w:rsidRDefault="005F62F9" w:rsidP="0023706E">
      <w:pPr>
        <w:spacing w:after="0"/>
        <w:jc w:val="both"/>
        <w:rPr>
          <w:rFonts w:ascii="Arial" w:hAnsi="Arial" w:cs="Arial"/>
        </w:rPr>
      </w:pPr>
      <w:r>
        <w:rPr>
          <w:rFonts w:ascii="Arial" w:hAnsi="Arial" w:cs="Arial"/>
        </w:rPr>
        <w:t xml:space="preserve">Esta medida forma parte de un conjunto de disposiciones que viene </w:t>
      </w:r>
      <w:r w:rsidR="00DB34ED">
        <w:rPr>
          <w:rFonts w:ascii="Arial" w:hAnsi="Arial" w:cs="Arial"/>
        </w:rPr>
        <w:t xml:space="preserve">impulsando </w:t>
      </w:r>
      <w:r w:rsidR="00EA6B29">
        <w:rPr>
          <w:rFonts w:ascii="Arial" w:hAnsi="Arial" w:cs="Arial"/>
        </w:rPr>
        <w:t>e</w:t>
      </w:r>
      <w:r>
        <w:rPr>
          <w:rFonts w:ascii="Arial" w:hAnsi="Arial" w:cs="Arial"/>
        </w:rPr>
        <w:t xml:space="preserve">l ente recaudador para incrementar el cumplimiento tributario en el sector minero, </w:t>
      </w:r>
      <w:r w:rsidR="00DB34ED">
        <w:rPr>
          <w:rFonts w:ascii="Arial" w:hAnsi="Arial" w:cs="Arial"/>
        </w:rPr>
        <w:t>sobre todo</w:t>
      </w:r>
      <w:r>
        <w:rPr>
          <w:rFonts w:ascii="Arial" w:hAnsi="Arial" w:cs="Arial"/>
        </w:rPr>
        <w:t xml:space="preserve"> en el segmento que representa </w:t>
      </w:r>
      <w:r w:rsidR="00EA6B29">
        <w:rPr>
          <w:rFonts w:ascii="Arial" w:hAnsi="Arial" w:cs="Arial"/>
        </w:rPr>
        <w:t>un mayor nivel de informalidad.</w:t>
      </w:r>
    </w:p>
    <w:p w14:paraId="5D88C503" w14:textId="77777777" w:rsidR="005F62F9" w:rsidRPr="0023706E" w:rsidRDefault="005F62F9" w:rsidP="0023706E">
      <w:pPr>
        <w:spacing w:after="0"/>
        <w:jc w:val="both"/>
        <w:rPr>
          <w:rFonts w:ascii="Arial" w:hAnsi="Arial" w:cs="Arial"/>
        </w:rPr>
      </w:pPr>
    </w:p>
    <w:p w14:paraId="2CA4E1CE" w14:textId="5D9F09A4" w:rsidR="0023706E" w:rsidRDefault="0023706E" w:rsidP="0023706E">
      <w:pPr>
        <w:spacing w:after="0"/>
        <w:jc w:val="both"/>
        <w:rPr>
          <w:rFonts w:ascii="Arial" w:hAnsi="Arial" w:cs="Arial"/>
        </w:rPr>
      </w:pPr>
      <w:r w:rsidRPr="0023706E">
        <w:rPr>
          <w:rFonts w:ascii="Arial" w:hAnsi="Arial" w:cs="Arial"/>
        </w:rPr>
        <w:t>La SUNAT reafirma su compromiso con la lucha contra la evasión y la informalidad, implementando medidas que promuevan una mayor transparencia y el cumplimiento de las obligaciones tributarias en todos los sectores económicos.</w:t>
      </w:r>
      <w:r w:rsidRPr="0023706E" w:rsidDel="0023706E">
        <w:rPr>
          <w:rFonts w:ascii="Arial" w:hAnsi="Arial" w:cs="Arial"/>
        </w:rPr>
        <w:t xml:space="preserve"> </w:t>
      </w:r>
    </w:p>
    <w:p w14:paraId="52D86ACD" w14:textId="77777777" w:rsidR="007B0E3B" w:rsidRPr="007B0E3B" w:rsidRDefault="007B0E3B" w:rsidP="007B0E3B">
      <w:pPr>
        <w:spacing w:after="0"/>
        <w:jc w:val="both"/>
        <w:rPr>
          <w:rFonts w:ascii="Arial" w:eastAsia="Times New Roman" w:hAnsi="Arial" w:cs="Arial"/>
          <w:color w:val="222222"/>
          <w:lang w:eastAsia="es-PE"/>
        </w:rPr>
      </w:pPr>
    </w:p>
    <w:p w14:paraId="5386192E" w14:textId="77777777" w:rsidR="007B0E3B" w:rsidRPr="00FD7347" w:rsidRDefault="007B0E3B" w:rsidP="007B0E3B">
      <w:pPr>
        <w:spacing w:after="0"/>
        <w:jc w:val="both"/>
        <w:rPr>
          <w:rFonts w:ascii="Arial" w:eastAsia="Times New Roman" w:hAnsi="Arial" w:cs="Arial"/>
          <w:b/>
          <w:bCs/>
          <w:color w:val="222222"/>
          <w:lang w:eastAsia="es-PE"/>
        </w:rPr>
      </w:pPr>
      <w:r w:rsidRPr="00FD7347">
        <w:rPr>
          <w:rFonts w:ascii="Arial" w:eastAsia="Times New Roman" w:hAnsi="Arial" w:cs="Arial"/>
          <w:b/>
          <w:bCs/>
          <w:color w:val="222222"/>
          <w:lang w:eastAsia="es-PE"/>
        </w:rPr>
        <w:t>Gerencia de Comunicaciones e Imagen Institucional</w:t>
      </w:r>
    </w:p>
    <w:p w14:paraId="5A80EA54" w14:textId="5CC40BBF" w:rsidR="00A45B01" w:rsidRPr="00CD4986" w:rsidRDefault="007B0E3B" w:rsidP="00CD4986">
      <w:pPr>
        <w:spacing w:after="0"/>
        <w:jc w:val="both"/>
        <w:rPr>
          <w:rFonts w:ascii="Arial" w:eastAsia="Times New Roman" w:hAnsi="Arial" w:cs="Arial"/>
          <w:color w:val="222222"/>
          <w:lang w:eastAsia="es-PE"/>
        </w:rPr>
      </w:pPr>
      <w:r w:rsidRPr="007B0E3B">
        <w:rPr>
          <w:rFonts w:ascii="Arial" w:eastAsia="Times New Roman" w:hAnsi="Arial" w:cs="Arial"/>
          <w:color w:val="222222"/>
          <w:lang w:eastAsia="es-PE"/>
        </w:rPr>
        <w:lastRenderedPageBreak/>
        <w:t xml:space="preserve">Lima, </w:t>
      </w:r>
      <w:r w:rsidR="00DB34ED">
        <w:rPr>
          <w:rFonts w:ascii="Arial" w:eastAsia="Times New Roman" w:hAnsi="Arial" w:cs="Arial"/>
          <w:color w:val="222222"/>
          <w:lang w:eastAsia="es-PE"/>
        </w:rPr>
        <w:t>domingo</w:t>
      </w:r>
      <w:r w:rsidRPr="007B0E3B">
        <w:rPr>
          <w:rFonts w:ascii="Arial" w:eastAsia="Times New Roman" w:hAnsi="Arial" w:cs="Arial"/>
          <w:color w:val="222222"/>
          <w:lang w:eastAsia="es-PE"/>
        </w:rPr>
        <w:t xml:space="preserve"> </w:t>
      </w:r>
      <w:r w:rsidR="00DB34ED">
        <w:rPr>
          <w:rFonts w:ascii="Arial" w:eastAsia="Times New Roman" w:hAnsi="Arial" w:cs="Arial"/>
          <w:color w:val="222222"/>
          <w:lang w:eastAsia="es-PE"/>
        </w:rPr>
        <w:t>30</w:t>
      </w:r>
      <w:r w:rsidRPr="007B0E3B">
        <w:rPr>
          <w:rFonts w:ascii="Arial" w:eastAsia="Times New Roman" w:hAnsi="Arial" w:cs="Arial"/>
          <w:color w:val="222222"/>
          <w:lang w:eastAsia="es-PE"/>
        </w:rPr>
        <w:t xml:space="preserve"> de </w:t>
      </w:r>
      <w:r w:rsidR="007C2570">
        <w:rPr>
          <w:rFonts w:ascii="Arial" w:eastAsia="Times New Roman" w:hAnsi="Arial" w:cs="Arial"/>
          <w:color w:val="222222"/>
          <w:lang w:eastAsia="es-PE"/>
        </w:rPr>
        <w:t>marzo</w:t>
      </w:r>
      <w:r w:rsidRPr="007B0E3B">
        <w:rPr>
          <w:rFonts w:ascii="Arial" w:eastAsia="Times New Roman" w:hAnsi="Arial" w:cs="Arial"/>
          <w:color w:val="222222"/>
          <w:lang w:eastAsia="es-PE"/>
        </w:rPr>
        <w:t xml:space="preserve"> de 202</w:t>
      </w:r>
      <w:r w:rsidR="007C2570">
        <w:rPr>
          <w:rFonts w:ascii="Arial" w:eastAsia="Times New Roman" w:hAnsi="Arial" w:cs="Arial"/>
          <w:color w:val="222222"/>
          <w:lang w:eastAsia="es-PE"/>
        </w:rPr>
        <w:t>5</w:t>
      </w:r>
      <w:r w:rsidRPr="007B0E3B">
        <w:rPr>
          <w:rFonts w:ascii="Arial" w:eastAsia="Times New Roman" w:hAnsi="Arial" w:cs="Arial"/>
          <w:color w:val="222222"/>
          <w:lang w:eastAsia="es-PE"/>
        </w:rPr>
        <w:t>.</w:t>
      </w:r>
    </w:p>
    <w:sectPr w:rsidR="00A45B01" w:rsidRPr="00CD4986" w:rsidSect="00AD18F2">
      <w:headerReference w:type="default" r:id="rId7"/>
      <w:footerReference w:type="default" r:id="rId8"/>
      <w:pgSz w:w="11906" w:h="16838"/>
      <w:pgMar w:top="1134" w:right="1701" w:bottom="993" w:left="1701" w:header="567"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4FAAD" w14:textId="77777777" w:rsidR="00EE36F3" w:rsidRDefault="00EE36F3" w:rsidP="00A62652">
      <w:pPr>
        <w:spacing w:after="0" w:line="240" w:lineRule="auto"/>
      </w:pPr>
      <w:r>
        <w:separator/>
      </w:r>
    </w:p>
  </w:endnote>
  <w:endnote w:type="continuationSeparator" w:id="0">
    <w:p w14:paraId="0AFF0814" w14:textId="77777777" w:rsidR="00EE36F3" w:rsidRDefault="00EE36F3" w:rsidP="00A626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A9E2E" w14:textId="57E6C613" w:rsidR="008E137C" w:rsidRDefault="007C2570">
    <w:pPr>
      <w:pStyle w:val="Piedepgina"/>
    </w:pPr>
    <w:r>
      <w:rPr>
        <w:noProof/>
      </w:rPr>
      <w:drawing>
        <wp:inline distT="0" distB="0" distL="0" distR="0" wp14:anchorId="154CCC92" wp14:editId="66A80C25">
          <wp:extent cx="285750" cy="28575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pic:spPr>
              </pic:pic>
            </a:graphicData>
          </a:graphic>
        </wp:inline>
      </w:drawing>
    </w:r>
    <w:r w:rsidR="008E137C" w:rsidRPr="008E137C">
      <w:t>@SUNATOficial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21698" w14:textId="77777777" w:rsidR="00EE36F3" w:rsidRDefault="00EE36F3" w:rsidP="00A62652">
      <w:pPr>
        <w:spacing w:after="0" w:line="240" w:lineRule="auto"/>
      </w:pPr>
      <w:r>
        <w:separator/>
      </w:r>
    </w:p>
  </w:footnote>
  <w:footnote w:type="continuationSeparator" w:id="0">
    <w:p w14:paraId="57B1A267" w14:textId="77777777" w:rsidR="00EE36F3" w:rsidRDefault="00EE36F3" w:rsidP="00A626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290D" w14:textId="6CBEF368" w:rsidR="00A62652" w:rsidRDefault="007C2570" w:rsidP="00A62652">
    <w:pPr>
      <w:pStyle w:val="Encabezado"/>
      <w:ind w:left="-284"/>
    </w:pPr>
    <w:r w:rsidRPr="000F63EA">
      <w:rPr>
        <w:noProof/>
        <w:lang w:eastAsia="es-PE"/>
      </w:rPr>
      <w:drawing>
        <wp:inline distT="0" distB="0" distL="0" distR="0" wp14:anchorId="05973805" wp14:editId="598209CD">
          <wp:extent cx="2209800" cy="704850"/>
          <wp:effectExtent l="0" t="0" r="0" b="0"/>
          <wp:docPr id="7" name="Imagen 7" descr="Descripción: logo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ogo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C5814"/>
    <w:multiLevelType w:val="hybridMultilevel"/>
    <w:tmpl w:val="8BE675F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DA91358"/>
    <w:multiLevelType w:val="hybridMultilevel"/>
    <w:tmpl w:val="88D60D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E3B42F6"/>
    <w:multiLevelType w:val="hybridMultilevel"/>
    <w:tmpl w:val="172C373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7C9489D"/>
    <w:multiLevelType w:val="hybridMultilevel"/>
    <w:tmpl w:val="10B422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4114589B"/>
    <w:multiLevelType w:val="hybridMultilevel"/>
    <w:tmpl w:val="E06C543C"/>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27D3C12"/>
    <w:multiLevelType w:val="hybridMultilevel"/>
    <w:tmpl w:val="7D06AB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76712BD3"/>
    <w:multiLevelType w:val="hybridMultilevel"/>
    <w:tmpl w:val="F3A21D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820073333">
    <w:abstractNumId w:val="4"/>
  </w:num>
  <w:num w:numId="2" w16cid:durableId="1425615520">
    <w:abstractNumId w:val="2"/>
  </w:num>
  <w:num w:numId="3" w16cid:durableId="1538854426">
    <w:abstractNumId w:val="0"/>
  </w:num>
  <w:num w:numId="4" w16cid:durableId="1845974722">
    <w:abstractNumId w:val="3"/>
  </w:num>
  <w:num w:numId="5" w16cid:durableId="1783766263">
    <w:abstractNumId w:val="1"/>
  </w:num>
  <w:num w:numId="6" w16cid:durableId="881554677">
    <w:abstractNumId w:val="6"/>
  </w:num>
  <w:num w:numId="7" w16cid:durableId="1253661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794"/>
    <w:rsid w:val="00015DBE"/>
    <w:rsid w:val="00076794"/>
    <w:rsid w:val="000841D4"/>
    <w:rsid w:val="000A1532"/>
    <w:rsid w:val="000F4ADF"/>
    <w:rsid w:val="00113A01"/>
    <w:rsid w:val="00131153"/>
    <w:rsid w:val="001E3F46"/>
    <w:rsid w:val="0023706E"/>
    <w:rsid w:val="00257898"/>
    <w:rsid w:val="00265C7B"/>
    <w:rsid w:val="002E66DA"/>
    <w:rsid w:val="003131A0"/>
    <w:rsid w:val="00321EE9"/>
    <w:rsid w:val="00385B1D"/>
    <w:rsid w:val="003A68A4"/>
    <w:rsid w:val="003F11E7"/>
    <w:rsid w:val="0043182A"/>
    <w:rsid w:val="00447996"/>
    <w:rsid w:val="00473323"/>
    <w:rsid w:val="0048284D"/>
    <w:rsid w:val="004A3AB4"/>
    <w:rsid w:val="004D0C34"/>
    <w:rsid w:val="004F5BBB"/>
    <w:rsid w:val="00544063"/>
    <w:rsid w:val="00554147"/>
    <w:rsid w:val="005547F2"/>
    <w:rsid w:val="005D5934"/>
    <w:rsid w:val="005F62F9"/>
    <w:rsid w:val="0068768C"/>
    <w:rsid w:val="006C5305"/>
    <w:rsid w:val="006D6855"/>
    <w:rsid w:val="006F37BC"/>
    <w:rsid w:val="0073742B"/>
    <w:rsid w:val="00740AAC"/>
    <w:rsid w:val="00767FD4"/>
    <w:rsid w:val="007B0E3B"/>
    <w:rsid w:val="007B74FA"/>
    <w:rsid w:val="007C2570"/>
    <w:rsid w:val="007F7933"/>
    <w:rsid w:val="00872DEC"/>
    <w:rsid w:val="00885B8E"/>
    <w:rsid w:val="008E137C"/>
    <w:rsid w:val="008F5757"/>
    <w:rsid w:val="009025B0"/>
    <w:rsid w:val="00931752"/>
    <w:rsid w:val="00940997"/>
    <w:rsid w:val="0097481E"/>
    <w:rsid w:val="00A22C19"/>
    <w:rsid w:val="00A45B01"/>
    <w:rsid w:val="00A47E2F"/>
    <w:rsid w:val="00A62652"/>
    <w:rsid w:val="00A72386"/>
    <w:rsid w:val="00A87ADE"/>
    <w:rsid w:val="00A97BC3"/>
    <w:rsid w:val="00AB3A22"/>
    <w:rsid w:val="00AD18F2"/>
    <w:rsid w:val="00BC56FA"/>
    <w:rsid w:val="00BE06EA"/>
    <w:rsid w:val="00C44A50"/>
    <w:rsid w:val="00CC123C"/>
    <w:rsid w:val="00CD39B9"/>
    <w:rsid w:val="00CD4986"/>
    <w:rsid w:val="00D11A9D"/>
    <w:rsid w:val="00D13BB0"/>
    <w:rsid w:val="00D20225"/>
    <w:rsid w:val="00D92273"/>
    <w:rsid w:val="00DB34ED"/>
    <w:rsid w:val="00E6615C"/>
    <w:rsid w:val="00E91819"/>
    <w:rsid w:val="00EA4CCC"/>
    <w:rsid w:val="00EA6B29"/>
    <w:rsid w:val="00EE36F3"/>
    <w:rsid w:val="00EE4280"/>
    <w:rsid w:val="00F10B2C"/>
    <w:rsid w:val="00F12212"/>
    <w:rsid w:val="00FC7A26"/>
    <w:rsid w:val="00FD2F02"/>
    <w:rsid w:val="00FD7347"/>
    <w:rsid w:val="00FE5F9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21F84"/>
  <w15:docId w15:val="{283CD740-3461-4409-B1F1-2EB05DCB0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076794"/>
    <w:pPr>
      <w:spacing w:before="100" w:beforeAutospacing="1" w:after="100" w:afterAutospacing="1" w:line="240" w:lineRule="auto"/>
    </w:pPr>
    <w:rPr>
      <w:rFonts w:ascii="Times New Roman" w:eastAsia="Times New Roman" w:hAnsi="Times New Roman"/>
      <w:sz w:val="24"/>
      <w:szCs w:val="24"/>
      <w:lang w:eastAsia="es-PE"/>
    </w:rPr>
  </w:style>
  <w:style w:type="paragraph" w:styleId="Encabezado">
    <w:name w:val="header"/>
    <w:basedOn w:val="Normal"/>
    <w:link w:val="EncabezadoCar"/>
    <w:uiPriority w:val="99"/>
    <w:unhideWhenUsed/>
    <w:rsid w:val="00A6265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2652"/>
  </w:style>
  <w:style w:type="paragraph" w:styleId="Piedepgina">
    <w:name w:val="footer"/>
    <w:basedOn w:val="Normal"/>
    <w:link w:val="PiedepginaCar"/>
    <w:uiPriority w:val="99"/>
    <w:unhideWhenUsed/>
    <w:rsid w:val="00A6265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2652"/>
  </w:style>
  <w:style w:type="character" w:styleId="Hipervnculo">
    <w:name w:val="Hyperlink"/>
    <w:uiPriority w:val="99"/>
    <w:unhideWhenUsed/>
    <w:rsid w:val="00CD4986"/>
    <w:rPr>
      <w:color w:val="0563C1"/>
      <w:u w:val="single"/>
    </w:rPr>
  </w:style>
  <w:style w:type="character" w:styleId="Mencinsinresolver">
    <w:name w:val="Unresolved Mention"/>
    <w:uiPriority w:val="99"/>
    <w:semiHidden/>
    <w:unhideWhenUsed/>
    <w:rsid w:val="00CD4986"/>
    <w:rPr>
      <w:color w:val="605E5C"/>
      <w:shd w:val="clear" w:color="auto" w:fill="E1DFDD"/>
    </w:rPr>
  </w:style>
  <w:style w:type="paragraph" w:styleId="Revisin">
    <w:name w:val="Revision"/>
    <w:hidden/>
    <w:uiPriority w:val="99"/>
    <w:semiHidden/>
    <w:rsid w:val="00767FD4"/>
    <w:rPr>
      <w:sz w:val="22"/>
      <w:szCs w:val="22"/>
      <w:lang w:eastAsia="en-US"/>
    </w:rPr>
  </w:style>
  <w:style w:type="character" w:styleId="Refdecomentario">
    <w:name w:val="annotation reference"/>
    <w:basedOn w:val="Fuentedeprrafopredeter"/>
    <w:uiPriority w:val="99"/>
    <w:semiHidden/>
    <w:unhideWhenUsed/>
    <w:rsid w:val="00A22C19"/>
    <w:rPr>
      <w:sz w:val="16"/>
      <w:szCs w:val="16"/>
    </w:rPr>
  </w:style>
  <w:style w:type="paragraph" w:styleId="Textocomentario">
    <w:name w:val="annotation text"/>
    <w:basedOn w:val="Normal"/>
    <w:link w:val="TextocomentarioCar"/>
    <w:uiPriority w:val="99"/>
    <w:unhideWhenUsed/>
    <w:rsid w:val="00A22C19"/>
    <w:pPr>
      <w:spacing w:line="240" w:lineRule="auto"/>
    </w:pPr>
    <w:rPr>
      <w:sz w:val="20"/>
      <w:szCs w:val="20"/>
    </w:rPr>
  </w:style>
  <w:style w:type="character" w:customStyle="1" w:styleId="TextocomentarioCar">
    <w:name w:val="Texto comentario Car"/>
    <w:basedOn w:val="Fuentedeprrafopredeter"/>
    <w:link w:val="Textocomentario"/>
    <w:uiPriority w:val="99"/>
    <w:rsid w:val="00A22C19"/>
    <w:rPr>
      <w:lang w:eastAsia="en-US"/>
    </w:rPr>
  </w:style>
  <w:style w:type="paragraph" w:styleId="Asuntodelcomentario">
    <w:name w:val="annotation subject"/>
    <w:basedOn w:val="Textocomentario"/>
    <w:next w:val="Textocomentario"/>
    <w:link w:val="AsuntodelcomentarioCar"/>
    <w:uiPriority w:val="99"/>
    <w:semiHidden/>
    <w:unhideWhenUsed/>
    <w:rsid w:val="00A22C19"/>
    <w:rPr>
      <w:b/>
      <w:bCs/>
    </w:rPr>
  </w:style>
  <w:style w:type="character" w:customStyle="1" w:styleId="AsuntodelcomentarioCar">
    <w:name w:val="Asunto del comentario Car"/>
    <w:basedOn w:val="TextocomentarioCar"/>
    <w:link w:val="Asuntodelcomentario"/>
    <w:uiPriority w:val="99"/>
    <w:semiHidden/>
    <w:rsid w:val="00A22C1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79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423</Words>
  <Characters>2329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Manzaneda Miranda Gardy Raul</cp:lastModifiedBy>
  <cp:revision>6</cp:revision>
  <dcterms:created xsi:type="dcterms:W3CDTF">2025-03-30T19:21:00Z</dcterms:created>
  <dcterms:modified xsi:type="dcterms:W3CDTF">2025-04-02T16:39:00Z</dcterms:modified>
</cp:coreProperties>
</file>