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143B" w14:textId="4D2565EF" w:rsidR="00BF3BEB" w:rsidRPr="00866DAB" w:rsidRDefault="00866DAB" w:rsidP="00866DAB">
      <w:pPr>
        <w:spacing w:after="0" w:line="240" w:lineRule="auto"/>
        <w:contextualSpacing/>
        <w:jc w:val="center"/>
        <w:rPr>
          <w:rFonts w:ascii="Arial Nova" w:eastAsia="Arial" w:hAnsi="Arial Nova" w:cs="Arial"/>
          <w:b/>
          <w:iCs/>
          <w:caps/>
          <w:sz w:val="36"/>
          <w:szCs w:val="36"/>
          <w:lang w:eastAsia="es-PE"/>
        </w:rPr>
      </w:pPr>
      <w:r w:rsidRPr="00866DAB">
        <w:rPr>
          <w:rFonts w:ascii="Arial Nova" w:eastAsia="Arial" w:hAnsi="Arial Nova" w:cs="Arial"/>
          <w:b/>
          <w:iCs/>
          <w:caps/>
          <w:sz w:val="36"/>
          <w:szCs w:val="36"/>
          <w:lang w:eastAsia="es-PE"/>
        </w:rPr>
        <w:t xml:space="preserve">SUNAT: </w:t>
      </w:r>
      <w:r w:rsidR="00EF120E" w:rsidRPr="00866DAB">
        <w:rPr>
          <w:rFonts w:ascii="Arial Nova" w:eastAsia="Arial" w:hAnsi="Arial Nova" w:cs="Arial"/>
          <w:b/>
          <w:iCs/>
          <w:caps/>
          <w:sz w:val="36"/>
          <w:szCs w:val="36"/>
          <w:lang w:eastAsia="es-PE"/>
        </w:rPr>
        <w:t xml:space="preserve">INGRESOS TRIBUTARIOS </w:t>
      </w:r>
      <w:r w:rsidR="001B3F28" w:rsidRPr="00866DAB">
        <w:rPr>
          <w:rFonts w:ascii="Arial Nova" w:eastAsia="Arial" w:hAnsi="Arial Nova" w:cs="Arial"/>
          <w:b/>
          <w:iCs/>
          <w:caps/>
          <w:sz w:val="36"/>
          <w:szCs w:val="36"/>
          <w:lang w:eastAsia="es-PE"/>
        </w:rPr>
        <w:t xml:space="preserve">DEL </w:t>
      </w:r>
      <w:r w:rsidR="008A2097" w:rsidRPr="00866DAB">
        <w:rPr>
          <w:rFonts w:ascii="Arial Nova" w:eastAsia="Arial" w:hAnsi="Arial Nova" w:cs="Arial"/>
          <w:b/>
          <w:iCs/>
          <w:caps/>
          <w:sz w:val="36"/>
          <w:szCs w:val="36"/>
          <w:lang w:eastAsia="es-PE"/>
        </w:rPr>
        <w:t>2025</w:t>
      </w:r>
      <w:r w:rsidRPr="00866DAB">
        <w:rPr>
          <w:rFonts w:ascii="Arial Nova" w:eastAsia="Arial" w:hAnsi="Arial Nova" w:cs="Arial"/>
          <w:b/>
          <w:iCs/>
          <w:caps/>
          <w:sz w:val="36"/>
          <w:szCs w:val="36"/>
          <w:lang w:eastAsia="es-PE"/>
        </w:rPr>
        <w:t xml:space="preserve"> CRECIERON 10,8% ALCANZANDO</w:t>
      </w:r>
      <w:r w:rsidR="0077695B" w:rsidRPr="00866DAB">
        <w:rPr>
          <w:rFonts w:ascii="Arial Nova" w:eastAsia="Arial" w:hAnsi="Arial Nova" w:cs="Arial"/>
          <w:b/>
          <w:iCs/>
          <w:caps/>
          <w:sz w:val="36"/>
          <w:szCs w:val="36"/>
          <w:lang w:eastAsia="es-PE"/>
        </w:rPr>
        <w:t xml:space="preserve"> </w:t>
      </w:r>
      <w:r w:rsidR="00EF120E" w:rsidRPr="00866DAB">
        <w:rPr>
          <w:rFonts w:ascii="Arial Nova" w:eastAsia="Arial" w:hAnsi="Arial Nova" w:cs="Arial"/>
          <w:b/>
          <w:iCs/>
          <w:caps/>
          <w:sz w:val="36"/>
          <w:szCs w:val="36"/>
          <w:lang w:eastAsia="es-PE"/>
        </w:rPr>
        <w:t xml:space="preserve">LOS </w:t>
      </w:r>
    </w:p>
    <w:p w14:paraId="48F63050" w14:textId="098F533A" w:rsidR="00AA106A" w:rsidRDefault="00D55B18" w:rsidP="00866DAB">
      <w:pPr>
        <w:spacing w:after="0" w:line="240" w:lineRule="auto"/>
        <w:contextualSpacing/>
        <w:jc w:val="center"/>
        <w:rPr>
          <w:rFonts w:ascii="Arial Nova" w:eastAsia="Arial" w:hAnsi="Arial Nova" w:cs="Arial"/>
          <w:b/>
          <w:iCs/>
          <w:caps/>
          <w:sz w:val="36"/>
          <w:szCs w:val="36"/>
          <w:lang w:eastAsia="es-PE"/>
        </w:rPr>
      </w:pPr>
      <w:r w:rsidRPr="00866DAB">
        <w:rPr>
          <w:rFonts w:ascii="Arial Nova" w:eastAsia="Arial" w:hAnsi="Arial Nova" w:cs="Arial"/>
          <w:b/>
          <w:iCs/>
          <w:caps/>
          <w:sz w:val="36"/>
          <w:szCs w:val="36"/>
          <w:lang w:eastAsia="es-PE"/>
        </w:rPr>
        <w:t>s/ 1</w:t>
      </w:r>
      <w:r w:rsidR="008A2097" w:rsidRPr="00866DAB">
        <w:rPr>
          <w:rFonts w:ascii="Arial Nova" w:eastAsia="Arial" w:hAnsi="Arial Nova" w:cs="Arial"/>
          <w:b/>
          <w:iCs/>
          <w:caps/>
          <w:sz w:val="36"/>
          <w:szCs w:val="36"/>
          <w:lang w:eastAsia="es-PE"/>
        </w:rPr>
        <w:t>7</w:t>
      </w:r>
      <w:r w:rsidRPr="00866DAB">
        <w:rPr>
          <w:rFonts w:ascii="Arial Nova" w:eastAsia="Arial" w:hAnsi="Arial Nova" w:cs="Arial"/>
          <w:b/>
          <w:iCs/>
          <w:caps/>
          <w:sz w:val="36"/>
          <w:szCs w:val="36"/>
          <w:lang w:eastAsia="es-PE"/>
        </w:rPr>
        <w:t xml:space="preserve">5 </w:t>
      </w:r>
      <w:r w:rsidR="008A2097" w:rsidRPr="00866DAB">
        <w:rPr>
          <w:rFonts w:ascii="Arial Nova" w:eastAsia="Arial" w:hAnsi="Arial Nova" w:cs="Arial"/>
          <w:b/>
          <w:iCs/>
          <w:caps/>
          <w:sz w:val="36"/>
          <w:szCs w:val="36"/>
          <w:lang w:eastAsia="es-PE"/>
        </w:rPr>
        <w:t>15</w:t>
      </w:r>
      <w:r w:rsidR="00624044" w:rsidRPr="00866DAB">
        <w:rPr>
          <w:rFonts w:ascii="Arial Nova" w:eastAsia="Arial" w:hAnsi="Arial Nova" w:cs="Arial"/>
          <w:b/>
          <w:iCs/>
          <w:caps/>
          <w:sz w:val="36"/>
          <w:szCs w:val="36"/>
          <w:lang w:eastAsia="es-PE"/>
        </w:rPr>
        <w:t>6</w:t>
      </w:r>
      <w:r w:rsidRPr="00866DAB">
        <w:rPr>
          <w:rFonts w:ascii="Arial Nova" w:eastAsia="Arial" w:hAnsi="Arial Nova" w:cs="Arial"/>
          <w:b/>
          <w:iCs/>
          <w:caps/>
          <w:sz w:val="36"/>
          <w:szCs w:val="36"/>
          <w:lang w:eastAsia="es-PE"/>
        </w:rPr>
        <w:t xml:space="preserve"> MILLONES </w:t>
      </w:r>
    </w:p>
    <w:p w14:paraId="5A78930A" w14:textId="77777777" w:rsidR="00346D73" w:rsidRPr="00346D73" w:rsidRDefault="00346D73" w:rsidP="00866DAB">
      <w:pPr>
        <w:spacing w:after="0" w:line="240" w:lineRule="auto"/>
        <w:contextualSpacing/>
        <w:jc w:val="center"/>
        <w:rPr>
          <w:rFonts w:ascii="Arial Nova" w:eastAsia="Arial" w:hAnsi="Arial Nova" w:cs="Arial"/>
          <w:b/>
          <w:iCs/>
          <w:caps/>
          <w:lang w:eastAsia="es-PE"/>
        </w:rPr>
      </w:pPr>
    </w:p>
    <w:p w14:paraId="4B5B5204" w14:textId="1E2C2FB5" w:rsidR="00346D73" w:rsidRDefault="00346D73" w:rsidP="00413973">
      <w:pPr>
        <w:pStyle w:val="Prrafodelista"/>
        <w:numPr>
          <w:ilvl w:val="0"/>
          <w:numId w:val="22"/>
        </w:numPr>
        <w:pBdr>
          <w:top w:val="nil"/>
          <w:left w:val="nil"/>
          <w:bottom w:val="nil"/>
          <w:right w:val="nil"/>
          <w:between w:val="nil"/>
        </w:pBdr>
        <w:ind w:left="426" w:hanging="426"/>
        <w:jc w:val="both"/>
        <w:rPr>
          <w:rFonts w:ascii="Arial Nova" w:eastAsia="Arial" w:hAnsi="Arial Nova" w:cs="Arial"/>
          <w:bCs/>
          <w:i/>
          <w:sz w:val="22"/>
          <w:szCs w:val="22"/>
        </w:rPr>
      </w:pPr>
      <w:r w:rsidRPr="00346D73">
        <w:rPr>
          <w:rFonts w:ascii="Arial Nova" w:eastAsia="Arial" w:hAnsi="Arial Nova" w:cs="Arial"/>
          <w:b/>
          <w:i/>
          <w:sz w:val="22"/>
          <w:szCs w:val="22"/>
        </w:rPr>
        <w:t xml:space="preserve">Mayor actividad económica, resultados en regularización de renta y acciones de la SUNAT </w:t>
      </w:r>
      <w:r w:rsidR="008A3B49">
        <w:rPr>
          <w:rFonts w:ascii="Arial Nova" w:eastAsia="Arial" w:hAnsi="Arial Nova" w:cs="Arial"/>
          <w:b/>
          <w:i/>
          <w:sz w:val="22"/>
          <w:szCs w:val="22"/>
        </w:rPr>
        <w:t xml:space="preserve">orientadas al cierre de brechas </w:t>
      </w:r>
      <w:r w:rsidRPr="00346D73">
        <w:rPr>
          <w:rFonts w:ascii="Arial Nova" w:eastAsia="Arial" w:hAnsi="Arial Nova" w:cs="Arial"/>
          <w:b/>
          <w:i/>
          <w:sz w:val="22"/>
          <w:szCs w:val="22"/>
        </w:rPr>
        <w:t>influyeron en el resultado 2025</w:t>
      </w:r>
      <w:r>
        <w:rPr>
          <w:rFonts w:ascii="Arial Nova" w:eastAsia="Arial" w:hAnsi="Arial Nova" w:cs="Arial"/>
          <w:bCs/>
          <w:i/>
          <w:sz w:val="22"/>
          <w:szCs w:val="22"/>
        </w:rPr>
        <w:t>.</w:t>
      </w:r>
    </w:p>
    <w:p w14:paraId="750C596F" w14:textId="5BD24D60" w:rsidR="00866DAB" w:rsidRPr="00346D73" w:rsidRDefault="004C2D9E" w:rsidP="00413973">
      <w:pPr>
        <w:pStyle w:val="Prrafodelista"/>
        <w:numPr>
          <w:ilvl w:val="0"/>
          <w:numId w:val="22"/>
        </w:numPr>
        <w:pBdr>
          <w:top w:val="nil"/>
          <w:left w:val="nil"/>
          <w:bottom w:val="nil"/>
          <w:right w:val="nil"/>
          <w:between w:val="nil"/>
        </w:pBdr>
        <w:ind w:left="426" w:hanging="426"/>
        <w:jc w:val="both"/>
        <w:rPr>
          <w:rFonts w:ascii="Arial Nova" w:eastAsia="Arial" w:hAnsi="Arial Nova" w:cs="Arial"/>
          <w:b/>
          <w:i/>
          <w:sz w:val="22"/>
          <w:szCs w:val="22"/>
        </w:rPr>
      </w:pPr>
      <w:r w:rsidRPr="00346D73">
        <w:rPr>
          <w:rFonts w:ascii="Arial Nova" w:eastAsia="Arial" w:hAnsi="Arial Nova" w:cs="Arial"/>
          <w:b/>
          <w:i/>
          <w:sz w:val="22"/>
          <w:szCs w:val="22"/>
        </w:rPr>
        <w:t>En diciembre último</w:t>
      </w:r>
      <w:r w:rsidR="00353B26">
        <w:rPr>
          <w:rFonts w:ascii="Arial Nova" w:eastAsia="Arial" w:hAnsi="Arial Nova" w:cs="Arial"/>
          <w:b/>
          <w:i/>
          <w:sz w:val="22"/>
          <w:szCs w:val="22"/>
        </w:rPr>
        <w:t>,</w:t>
      </w:r>
      <w:r w:rsidRPr="00346D73">
        <w:rPr>
          <w:rFonts w:ascii="Arial Nova" w:eastAsia="Arial" w:hAnsi="Arial Nova" w:cs="Arial"/>
          <w:b/>
          <w:i/>
          <w:sz w:val="22"/>
          <w:szCs w:val="22"/>
        </w:rPr>
        <w:t xml:space="preserve"> recaudación creció 3,7% al totalizar 15 660 millones de soles.</w:t>
      </w:r>
    </w:p>
    <w:p w14:paraId="27A84C73" w14:textId="64BE77D2" w:rsidR="00AA106A" w:rsidRPr="007F552D" w:rsidRDefault="00BF3BEB" w:rsidP="00866A6F">
      <w:pPr>
        <w:spacing w:before="240" w:line="240" w:lineRule="auto"/>
        <w:jc w:val="both"/>
        <w:rPr>
          <w:rFonts w:ascii="Arial" w:hAnsi="Arial" w:cs="Arial"/>
          <w:noProof/>
          <w:color w:val="000000" w:themeColor="text1"/>
          <w:lang w:eastAsia="es-PE"/>
        </w:rPr>
      </w:pPr>
      <w:r w:rsidRPr="00C76091">
        <w:rPr>
          <w:rFonts w:ascii="Arial" w:hAnsi="Arial" w:cs="Arial"/>
          <w:noProof/>
          <w:lang w:eastAsia="es-PE"/>
        </w:rPr>
        <w:t>La recaudación de</w:t>
      </w:r>
      <w:r w:rsidR="00AA106A" w:rsidRPr="00C76091">
        <w:rPr>
          <w:rFonts w:ascii="Arial" w:hAnsi="Arial" w:cs="Arial"/>
          <w:noProof/>
          <w:lang w:eastAsia="es-PE"/>
        </w:rPr>
        <w:t xml:space="preserve">l año </w:t>
      </w:r>
      <w:r w:rsidR="008A2097" w:rsidRPr="00C76091">
        <w:rPr>
          <w:rFonts w:ascii="Arial" w:hAnsi="Arial" w:cs="Arial"/>
          <w:noProof/>
          <w:lang w:eastAsia="es-PE"/>
        </w:rPr>
        <w:t>2025</w:t>
      </w:r>
      <w:r w:rsidR="00AA106A" w:rsidRPr="00C76091">
        <w:rPr>
          <w:rFonts w:ascii="Arial" w:hAnsi="Arial" w:cs="Arial"/>
          <w:noProof/>
          <w:lang w:eastAsia="es-PE"/>
        </w:rPr>
        <w:t xml:space="preserve"> </w:t>
      </w:r>
      <w:r w:rsidRPr="00C76091">
        <w:rPr>
          <w:rFonts w:ascii="Arial" w:hAnsi="Arial" w:cs="Arial"/>
          <w:noProof/>
          <w:lang w:eastAsia="es-PE"/>
        </w:rPr>
        <w:t xml:space="preserve">alcanzó los </w:t>
      </w:r>
      <w:r w:rsidR="00AA106A" w:rsidRPr="00C76091">
        <w:rPr>
          <w:rFonts w:ascii="Arial" w:hAnsi="Arial" w:cs="Arial"/>
          <w:noProof/>
          <w:lang w:eastAsia="es-PE"/>
        </w:rPr>
        <w:t xml:space="preserve">S/ </w:t>
      </w:r>
      <w:r w:rsidR="00510A5B" w:rsidRPr="00C76091">
        <w:rPr>
          <w:rFonts w:ascii="Arial" w:hAnsi="Arial" w:cs="Arial"/>
          <w:noProof/>
          <w:lang w:eastAsia="es-PE"/>
        </w:rPr>
        <w:t>1</w:t>
      </w:r>
      <w:r w:rsidR="008A2097" w:rsidRPr="00C76091">
        <w:rPr>
          <w:rFonts w:ascii="Arial" w:hAnsi="Arial" w:cs="Arial"/>
          <w:noProof/>
          <w:lang w:eastAsia="es-PE"/>
        </w:rPr>
        <w:t>75</w:t>
      </w:r>
      <w:r w:rsidR="00B86FC7" w:rsidRPr="00C76091">
        <w:rPr>
          <w:rFonts w:ascii="Arial" w:hAnsi="Arial" w:cs="Arial"/>
          <w:noProof/>
          <w:lang w:eastAsia="es-PE"/>
        </w:rPr>
        <w:t xml:space="preserve"> </w:t>
      </w:r>
      <w:r w:rsidR="008A2097" w:rsidRPr="00C76091">
        <w:rPr>
          <w:rFonts w:ascii="Arial" w:hAnsi="Arial" w:cs="Arial"/>
          <w:noProof/>
          <w:lang w:eastAsia="es-PE"/>
        </w:rPr>
        <w:t>15</w:t>
      </w:r>
      <w:r w:rsidR="00624044" w:rsidRPr="00C76091">
        <w:rPr>
          <w:rFonts w:ascii="Arial" w:hAnsi="Arial" w:cs="Arial"/>
          <w:noProof/>
          <w:lang w:eastAsia="es-PE"/>
        </w:rPr>
        <w:t>6</w:t>
      </w:r>
      <w:r w:rsidR="00AA106A" w:rsidRPr="00C76091">
        <w:rPr>
          <w:rFonts w:ascii="Arial" w:hAnsi="Arial" w:cs="Arial"/>
          <w:noProof/>
          <w:lang w:eastAsia="es-PE"/>
        </w:rPr>
        <w:t xml:space="preserve"> millones, importe que representa un</w:t>
      </w:r>
      <w:r w:rsidR="00510A5B" w:rsidRPr="00C76091">
        <w:rPr>
          <w:rFonts w:ascii="Arial" w:hAnsi="Arial" w:cs="Arial"/>
          <w:noProof/>
          <w:lang w:eastAsia="es-PE"/>
        </w:rPr>
        <w:t xml:space="preserve"> </w:t>
      </w:r>
      <w:r w:rsidR="00510A5B" w:rsidRPr="007F552D">
        <w:rPr>
          <w:rFonts w:ascii="Arial" w:hAnsi="Arial" w:cs="Arial"/>
          <w:noProof/>
          <w:color w:val="000000" w:themeColor="text1"/>
          <w:lang w:eastAsia="es-PE"/>
        </w:rPr>
        <w:t xml:space="preserve">crecimiento </w:t>
      </w:r>
      <w:r w:rsidR="00AA106A" w:rsidRPr="007F552D">
        <w:rPr>
          <w:rFonts w:ascii="Arial" w:hAnsi="Arial" w:cs="Arial"/>
          <w:noProof/>
          <w:color w:val="000000" w:themeColor="text1"/>
          <w:lang w:eastAsia="es-PE"/>
        </w:rPr>
        <w:t xml:space="preserve">del </w:t>
      </w:r>
      <w:r w:rsidR="008A2097" w:rsidRPr="007F552D">
        <w:rPr>
          <w:rFonts w:ascii="Arial" w:hAnsi="Arial" w:cs="Arial"/>
          <w:noProof/>
          <w:color w:val="000000" w:themeColor="text1"/>
          <w:lang w:eastAsia="es-PE"/>
        </w:rPr>
        <w:t>10,8</w:t>
      </w:r>
      <w:r w:rsidR="00AA106A" w:rsidRPr="007F552D">
        <w:rPr>
          <w:rFonts w:ascii="Arial" w:hAnsi="Arial" w:cs="Arial"/>
          <w:noProof/>
          <w:color w:val="000000" w:themeColor="text1"/>
          <w:lang w:eastAsia="es-PE"/>
        </w:rPr>
        <w:t>%</w:t>
      </w:r>
      <w:r w:rsidR="003C2188" w:rsidRPr="007F552D">
        <w:rPr>
          <w:rStyle w:val="Refdenotaalpie"/>
          <w:rFonts w:ascii="Arial" w:hAnsi="Arial" w:cs="Arial"/>
          <w:color w:val="000000" w:themeColor="text1"/>
          <w:kern w:val="24"/>
        </w:rPr>
        <w:footnoteReference w:id="1"/>
      </w:r>
      <w:r w:rsidR="003C2188" w:rsidRPr="007F552D">
        <w:rPr>
          <w:rFonts w:ascii="Arial" w:hAnsi="Arial" w:cs="Arial"/>
          <w:color w:val="000000" w:themeColor="text1"/>
          <w:kern w:val="24"/>
        </w:rPr>
        <w:t xml:space="preserve"> </w:t>
      </w:r>
      <w:r w:rsidR="00AA106A" w:rsidRPr="007F552D">
        <w:rPr>
          <w:rFonts w:ascii="Arial" w:hAnsi="Arial" w:cs="Arial"/>
          <w:noProof/>
          <w:color w:val="000000" w:themeColor="text1"/>
          <w:lang w:eastAsia="es-PE"/>
        </w:rPr>
        <w:t xml:space="preserve"> respecto </w:t>
      </w:r>
      <w:r w:rsidR="00112477" w:rsidRPr="007F552D">
        <w:rPr>
          <w:rFonts w:ascii="Arial" w:hAnsi="Arial" w:cs="Arial"/>
          <w:noProof/>
          <w:color w:val="000000" w:themeColor="text1"/>
          <w:lang w:eastAsia="es-PE"/>
        </w:rPr>
        <w:t>de</w:t>
      </w:r>
      <w:r w:rsidR="00AA106A" w:rsidRPr="007F552D">
        <w:rPr>
          <w:rFonts w:ascii="Arial" w:hAnsi="Arial" w:cs="Arial"/>
          <w:noProof/>
          <w:color w:val="000000" w:themeColor="text1"/>
          <w:lang w:eastAsia="es-PE"/>
        </w:rPr>
        <w:t xml:space="preserve"> lo obtenido en el año </w:t>
      </w:r>
      <w:r w:rsidR="00112477" w:rsidRPr="007F552D">
        <w:rPr>
          <w:rFonts w:ascii="Arial" w:hAnsi="Arial" w:cs="Arial"/>
          <w:noProof/>
          <w:color w:val="000000" w:themeColor="text1"/>
          <w:lang w:eastAsia="es-PE"/>
        </w:rPr>
        <w:t>previo</w:t>
      </w:r>
      <w:r w:rsidR="001B3F28" w:rsidRPr="007F552D">
        <w:rPr>
          <w:rFonts w:ascii="Arial" w:hAnsi="Arial" w:cs="Arial"/>
          <w:noProof/>
          <w:color w:val="000000" w:themeColor="text1"/>
          <w:lang w:eastAsia="es-PE"/>
        </w:rPr>
        <w:t xml:space="preserve">. El monto </w:t>
      </w:r>
      <w:r w:rsidR="00665BF8" w:rsidRPr="007F552D">
        <w:rPr>
          <w:rFonts w:ascii="Arial" w:hAnsi="Arial" w:cs="Arial"/>
          <w:noProof/>
          <w:color w:val="000000" w:themeColor="text1"/>
          <w:lang w:eastAsia="es-PE"/>
        </w:rPr>
        <w:t>alcanzado</w:t>
      </w:r>
      <w:r w:rsidRPr="007F552D">
        <w:rPr>
          <w:rFonts w:ascii="Arial" w:hAnsi="Arial" w:cs="Arial"/>
          <w:noProof/>
          <w:color w:val="000000" w:themeColor="text1"/>
          <w:lang w:eastAsia="es-PE"/>
        </w:rPr>
        <w:t xml:space="preserve"> </w:t>
      </w:r>
      <w:r w:rsidR="001B3F28" w:rsidRPr="007F552D">
        <w:rPr>
          <w:rFonts w:ascii="Arial" w:hAnsi="Arial" w:cs="Arial"/>
          <w:noProof/>
          <w:color w:val="000000" w:themeColor="text1"/>
          <w:lang w:eastAsia="es-PE"/>
        </w:rPr>
        <w:t xml:space="preserve">es mayor al previsto en el </w:t>
      </w:r>
      <w:r w:rsidR="00D76F4C" w:rsidRPr="007F552D">
        <w:rPr>
          <w:rFonts w:ascii="Arial" w:hAnsi="Arial" w:cs="Arial"/>
          <w:noProof/>
          <w:color w:val="000000" w:themeColor="text1"/>
          <w:lang w:eastAsia="es-PE"/>
        </w:rPr>
        <w:t>Marco Macroeconómico Multianual</w:t>
      </w:r>
      <w:r w:rsidR="00A108F5" w:rsidRPr="007F552D">
        <w:rPr>
          <w:rFonts w:ascii="Arial" w:hAnsi="Arial" w:cs="Arial"/>
          <w:noProof/>
          <w:color w:val="000000" w:themeColor="text1"/>
          <w:lang w:eastAsia="es-PE"/>
        </w:rPr>
        <w:t xml:space="preserve"> 202</w:t>
      </w:r>
      <w:r w:rsidR="007F56D0">
        <w:rPr>
          <w:rFonts w:ascii="Arial" w:hAnsi="Arial" w:cs="Arial"/>
          <w:noProof/>
          <w:color w:val="000000" w:themeColor="text1"/>
          <w:lang w:eastAsia="es-PE"/>
        </w:rPr>
        <w:t>6</w:t>
      </w:r>
      <w:r w:rsidR="00A108F5" w:rsidRPr="007F552D">
        <w:rPr>
          <w:rFonts w:ascii="Arial" w:hAnsi="Arial" w:cs="Arial"/>
          <w:noProof/>
          <w:color w:val="000000" w:themeColor="text1"/>
          <w:lang w:eastAsia="es-PE"/>
        </w:rPr>
        <w:t>-202</w:t>
      </w:r>
      <w:r w:rsidR="008A2097" w:rsidRPr="007F552D">
        <w:rPr>
          <w:rFonts w:ascii="Arial" w:hAnsi="Arial" w:cs="Arial"/>
          <w:noProof/>
          <w:color w:val="000000" w:themeColor="text1"/>
          <w:lang w:eastAsia="es-PE"/>
        </w:rPr>
        <w:t>9</w:t>
      </w:r>
      <w:r w:rsidR="00A108F5" w:rsidRPr="007F552D">
        <w:rPr>
          <w:rFonts w:ascii="Arial" w:hAnsi="Arial" w:cs="Arial"/>
          <w:noProof/>
          <w:color w:val="000000" w:themeColor="text1"/>
          <w:lang w:eastAsia="es-PE"/>
        </w:rPr>
        <w:t xml:space="preserve"> publicado en agosto </w:t>
      </w:r>
      <w:r w:rsidR="001B322F" w:rsidRPr="007F552D">
        <w:rPr>
          <w:rFonts w:ascii="Arial" w:hAnsi="Arial" w:cs="Arial"/>
          <w:noProof/>
          <w:color w:val="000000" w:themeColor="text1"/>
          <w:lang w:eastAsia="es-PE"/>
        </w:rPr>
        <w:t xml:space="preserve">de 2025 </w:t>
      </w:r>
      <w:r w:rsidR="00A108F5" w:rsidRPr="007F552D">
        <w:rPr>
          <w:rFonts w:ascii="Arial" w:hAnsi="Arial" w:cs="Arial"/>
          <w:noProof/>
          <w:color w:val="000000" w:themeColor="text1"/>
          <w:lang w:eastAsia="es-PE"/>
        </w:rPr>
        <w:t xml:space="preserve">por el </w:t>
      </w:r>
      <w:r w:rsidR="001B322F" w:rsidRPr="007F552D">
        <w:rPr>
          <w:rFonts w:ascii="Arial" w:hAnsi="Arial" w:cs="Arial"/>
          <w:noProof/>
          <w:color w:val="000000" w:themeColor="text1"/>
          <w:lang w:eastAsia="es-PE"/>
        </w:rPr>
        <w:t>Ministerio de Economía y Finanzas</w:t>
      </w:r>
      <w:r w:rsidR="00D76F4C" w:rsidRPr="007F552D">
        <w:rPr>
          <w:rFonts w:ascii="Arial" w:hAnsi="Arial" w:cs="Arial"/>
          <w:noProof/>
          <w:color w:val="000000" w:themeColor="text1"/>
          <w:lang w:eastAsia="es-PE"/>
        </w:rPr>
        <w:t>.</w:t>
      </w:r>
    </w:p>
    <w:p w14:paraId="49778B80" w14:textId="335D5A5E" w:rsidR="003C2188" w:rsidRPr="00C76091" w:rsidRDefault="003C2188" w:rsidP="00866A6F">
      <w:pPr>
        <w:spacing w:before="240" w:line="240" w:lineRule="auto"/>
        <w:jc w:val="both"/>
        <w:rPr>
          <w:rFonts w:ascii="Arial" w:hAnsi="Arial" w:cs="Arial"/>
          <w:noProof/>
          <w:lang w:eastAsia="es-PE"/>
        </w:rPr>
      </w:pPr>
      <w:r w:rsidRPr="007F552D">
        <w:rPr>
          <w:rFonts w:ascii="Arial" w:hAnsi="Arial" w:cs="Arial"/>
          <w:noProof/>
          <w:color w:val="000000" w:themeColor="text1"/>
          <w:lang w:eastAsia="es-PE"/>
        </w:rPr>
        <w:t xml:space="preserve">Asimismo, la recaudación </w:t>
      </w:r>
      <w:r w:rsidR="00866DAB">
        <w:rPr>
          <w:rFonts w:ascii="Arial" w:hAnsi="Arial" w:cs="Arial"/>
          <w:noProof/>
          <w:color w:val="000000" w:themeColor="text1"/>
          <w:lang w:eastAsia="es-PE"/>
        </w:rPr>
        <w:t>de</w:t>
      </w:r>
      <w:r w:rsidRPr="007F552D">
        <w:rPr>
          <w:rFonts w:ascii="Arial" w:hAnsi="Arial" w:cs="Arial"/>
          <w:noProof/>
          <w:color w:val="000000" w:themeColor="text1"/>
          <w:lang w:eastAsia="es-PE"/>
        </w:rPr>
        <w:t xml:space="preserve"> diciembre de </w:t>
      </w:r>
      <w:r w:rsidR="008A2097" w:rsidRPr="007F552D">
        <w:rPr>
          <w:rFonts w:ascii="Arial" w:hAnsi="Arial" w:cs="Arial"/>
          <w:noProof/>
          <w:color w:val="000000" w:themeColor="text1"/>
          <w:lang w:eastAsia="es-PE"/>
        </w:rPr>
        <w:t>2025</w:t>
      </w:r>
      <w:r w:rsidRPr="007F552D">
        <w:rPr>
          <w:rFonts w:ascii="Arial" w:hAnsi="Arial" w:cs="Arial"/>
          <w:noProof/>
          <w:color w:val="000000" w:themeColor="text1"/>
          <w:lang w:eastAsia="es-PE"/>
        </w:rPr>
        <w:t xml:space="preserve"> </w:t>
      </w:r>
      <w:r w:rsidR="00665BF8" w:rsidRPr="007F552D">
        <w:rPr>
          <w:rFonts w:ascii="Arial" w:hAnsi="Arial" w:cs="Arial"/>
          <w:noProof/>
          <w:color w:val="000000" w:themeColor="text1"/>
          <w:lang w:eastAsia="es-PE"/>
        </w:rPr>
        <w:t>fue de</w:t>
      </w:r>
      <w:r w:rsidRPr="007F552D">
        <w:rPr>
          <w:rFonts w:ascii="Arial" w:hAnsi="Arial" w:cs="Arial"/>
          <w:noProof/>
          <w:color w:val="000000" w:themeColor="text1"/>
          <w:lang w:eastAsia="es-PE"/>
        </w:rPr>
        <w:t xml:space="preserve"> S/ </w:t>
      </w:r>
      <w:r w:rsidR="00753296" w:rsidRPr="007F552D">
        <w:rPr>
          <w:rFonts w:ascii="Arial" w:hAnsi="Arial" w:cs="Arial"/>
          <w:noProof/>
          <w:color w:val="000000" w:themeColor="text1"/>
          <w:lang w:eastAsia="es-PE"/>
        </w:rPr>
        <w:t>1</w:t>
      </w:r>
      <w:r w:rsidR="00FF25B8" w:rsidRPr="007F552D">
        <w:rPr>
          <w:rFonts w:ascii="Arial" w:hAnsi="Arial" w:cs="Arial"/>
          <w:noProof/>
          <w:color w:val="000000" w:themeColor="text1"/>
          <w:lang w:eastAsia="es-PE"/>
        </w:rPr>
        <w:t>5</w:t>
      </w:r>
      <w:r w:rsidR="00753296" w:rsidRPr="007F552D">
        <w:rPr>
          <w:rFonts w:ascii="Arial" w:hAnsi="Arial" w:cs="Arial"/>
          <w:noProof/>
          <w:color w:val="000000" w:themeColor="text1"/>
          <w:lang w:eastAsia="es-PE"/>
        </w:rPr>
        <w:t xml:space="preserve"> </w:t>
      </w:r>
      <w:r w:rsidR="00FF25B8" w:rsidRPr="007F552D">
        <w:rPr>
          <w:rFonts w:ascii="Arial" w:hAnsi="Arial" w:cs="Arial"/>
          <w:noProof/>
          <w:color w:val="000000" w:themeColor="text1"/>
          <w:lang w:eastAsia="es-PE"/>
        </w:rPr>
        <w:t>66</w:t>
      </w:r>
      <w:r w:rsidR="00624044" w:rsidRPr="007F552D">
        <w:rPr>
          <w:rFonts w:ascii="Arial" w:hAnsi="Arial" w:cs="Arial"/>
          <w:noProof/>
          <w:color w:val="000000" w:themeColor="text1"/>
          <w:lang w:eastAsia="es-PE"/>
        </w:rPr>
        <w:t>0</w:t>
      </w:r>
      <w:r w:rsidR="00753296" w:rsidRPr="007F552D">
        <w:rPr>
          <w:rFonts w:ascii="Arial" w:hAnsi="Arial" w:cs="Arial"/>
          <w:noProof/>
          <w:color w:val="000000" w:themeColor="text1"/>
          <w:lang w:eastAsia="es-PE"/>
        </w:rPr>
        <w:t xml:space="preserve"> </w:t>
      </w:r>
      <w:r w:rsidRPr="007F552D">
        <w:rPr>
          <w:rFonts w:ascii="Arial" w:hAnsi="Arial" w:cs="Arial"/>
          <w:noProof/>
          <w:color w:val="000000" w:themeColor="text1"/>
          <w:lang w:eastAsia="es-PE"/>
        </w:rPr>
        <w:t xml:space="preserve">millones, importe que representó un crecimiento de </w:t>
      </w:r>
      <w:r w:rsidR="00FF25B8" w:rsidRPr="007F552D">
        <w:rPr>
          <w:rFonts w:ascii="Arial" w:hAnsi="Arial" w:cs="Arial"/>
          <w:noProof/>
          <w:color w:val="000000" w:themeColor="text1"/>
          <w:lang w:eastAsia="es-PE"/>
        </w:rPr>
        <w:t>3,</w:t>
      </w:r>
      <w:r w:rsidR="00624044" w:rsidRPr="007F552D">
        <w:rPr>
          <w:rFonts w:ascii="Arial" w:hAnsi="Arial" w:cs="Arial"/>
          <w:noProof/>
          <w:color w:val="000000" w:themeColor="text1"/>
          <w:lang w:eastAsia="es-PE"/>
        </w:rPr>
        <w:t>7</w:t>
      </w:r>
      <w:r w:rsidR="00753296" w:rsidRPr="007F552D">
        <w:rPr>
          <w:rFonts w:ascii="Arial" w:hAnsi="Arial" w:cs="Arial"/>
          <w:noProof/>
          <w:color w:val="000000" w:themeColor="text1"/>
          <w:lang w:eastAsia="es-PE"/>
        </w:rPr>
        <w:t>%</w:t>
      </w:r>
      <w:r w:rsidRPr="007F552D">
        <w:rPr>
          <w:rFonts w:ascii="Arial" w:hAnsi="Arial" w:cs="Arial"/>
          <w:noProof/>
          <w:color w:val="000000" w:themeColor="text1"/>
          <w:lang w:eastAsia="es-PE"/>
        </w:rPr>
        <w:t xml:space="preserve"> </w:t>
      </w:r>
      <w:r w:rsidR="007223BC" w:rsidRPr="007F552D">
        <w:rPr>
          <w:rFonts w:ascii="Arial" w:hAnsi="Arial" w:cs="Arial"/>
          <w:noProof/>
          <w:color w:val="000000" w:themeColor="text1"/>
          <w:lang w:eastAsia="es-PE"/>
        </w:rPr>
        <w:t>con respecto a</w:t>
      </w:r>
      <w:r w:rsidR="00866DAB">
        <w:rPr>
          <w:rFonts w:ascii="Arial" w:hAnsi="Arial" w:cs="Arial"/>
          <w:noProof/>
          <w:color w:val="000000" w:themeColor="text1"/>
          <w:lang w:eastAsia="es-PE"/>
        </w:rPr>
        <w:t xml:space="preserve"> similar </w:t>
      </w:r>
      <w:r w:rsidR="007223BC" w:rsidRPr="007F552D">
        <w:rPr>
          <w:rFonts w:ascii="Arial" w:hAnsi="Arial" w:cs="Arial"/>
          <w:noProof/>
          <w:color w:val="000000" w:themeColor="text1"/>
          <w:lang w:eastAsia="es-PE"/>
        </w:rPr>
        <w:t xml:space="preserve">mes de 2024, </w:t>
      </w:r>
      <w:r w:rsidR="00665BF8" w:rsidRPr="007F552D">
        <w:rPr>
          <w:rFonts w:ascii="Arial" w:hAnsi="Arial" w:cs="Arial"/>
          <w:noProof/>
          <w:color w:val="000000" w:themeColor="text1"/>
          <w:lang w:eastAsia="es-PE"/>
        </w:rPr>
        <w:t>acumul</w:t>
      </w:r>
      <w:r w:rsidR="00866DAB">
        <w:rPr>
          <w:rFonts w:ascii="Arial" w:hAnsi="Arial" w:cs="Arial"/>
          <w:noProof/>
          <w:color w:val="000000" w:themeColor="text1"/>
          <w:lang w:eastAsia="es-PE"/>
        </w:rPr>
        <w:t>a</w:t>
      </w:r>
      <w:r w:rsidR="00665BF8" w:rsidRPr="007F552D">
        <w:rPr>
          <w:rFonts w:ascii="Arial" w:hAnsi="Arial" w:cs="Arial"/>
          <w:noProof/>
          <w:color w:val="000000" w:themeColor="text1"/>
          <w:lang w:eastAsia="es-PE"/>
        </w:rPr>
        <w:t xml:space="preserve">ndo </w:t>
      </w:r>
      <w:bookmarkStart w:id="0" w:name="_Hlk187076604"/>
      <w:r w:rsidR="00FF25B8" w:rsidRPr="007F552D">
        <w:rPr>
          <w:rFonts w:ascii="Arial" w:hAnsi="Arial" w:cs="Arial"/>
          <w:noProof/>
          <w:color w:val="000000" w:themeColor="text1"/>
          <w:lang w:eastAsia="es-PE"/>
        </w:rPr>
        <w:t xml:space="preserve">19 </w:t>
      </w:r>
      <w:r w:rsidR="00665BF8" w:rsidRPr="007F552D">
        <w:rPr>
          <w:rFonts w:ascii="Arial" w:hAnsi="Arial" w:cs="Arial"/>
          <w:noProof/>
          <w:color w:val="000000" w:themeColor="text1"/>
          <w:lang w:eastAsia="es-PE"/>
        </w:rPr>
        <w:t xml:space="preserve">meses de </w:t>
      </w:r>
      <w:r w:rsidR="00FF25B8" w:rsidRPr="007F552D">
        <w:rPr>
          <w:rFonts w:ascii="Arial" w:hAnsi="Arial" w:cs="Arial"/>
          <w:noProof/>
          <w:color w:val="000000" w:themeColor="text1"/>
          <w:lang w:eastAsia="es-PE"/>
        </w:rPr>
        <w:t xml:space="preserve">crecimiento </w:t>
      </w:r>
      <w:r w:rsidR="00FF25B8" w:rsidRPr="00C76091">
        <w:rPr>
          <w:rFonts w:ascii="Arial" w:hAnsi="Arial" w:cs="Arial"/>
          <w:noProof/>
          <w:lang w:eastAsia="es-PE"/>
        </w:rPr>
        <w:t>continuo de la recaudación</w:t>
      </w:r>
      <w:bookmarkEnd w:id="0"/>
      <w:r w:rsidRPr="00C76091">
        <w:rPr>
          <w:rFonts w:ascii="Arial" w:hAnsi="Arial" w:cs="Arial"/>
          <w:noProof/>
          <w:lang w:eastAsia="es-PE"/>
        </w:rPr>
        <w:t>.</w:t>
      </w:r>
    </w:p>
    <w:p w14:paraId="3E89F022" w14:textId="4BE79A6E" w:rsidR="00932603" w:rsidRPr="00413973" w:rsidRDefault="00932603" w:rsidP="007A5B4B">
      <w:pPr>
        <w:spacing w:before="240" w:after="240" w:line="240" w:lineRule="auto"/>
        <w:ind w:left="284" w:hanging="284"/>
        <w:rPr>
          <w:rFonts w:ascii="Arial" w:hAnsi="Arial" w:cs="Arial"/>
          <w:b/>
        </w:rPr>
      </w:pPr>
      <w:r w:rsidRPr="00413973">
        <w:rPr>
          <w:rFonts w:ascii="Arial" w:hAnsi="Arial" w:cs="Arial"/>
          <w:b/>
        </w:rPr>
        <w:t xml:space="preserve">Resultados de la recaudación del </w:t>
      </w:r>
      <w:r w:rsidR="008A2097" w:rsidRPr="00413973">
        <w:rPr>
          <w:rFonts w:ascii="Arial" w:hAnsi="Arial" w:cs="Arial"/>
          <w:b/>
        </w:rPr>
        <w:t>2025</w:t>
      </w:r>
    </w:p>
    <w:p w14:paraId="1F603F97" w14:textId="081CFF5F" w:rsidR="001B3F28" w:rsidRPr="007F552D" w:rsidRDefault="008E4015" w:rsidP="006F0DC0">
      <w:pPr>
        <w:pStyle w:val="Prrafodelista"/>
        <w:numPr>
          <w:ilvl w:val="0"/>
          <w:numId w:val="11"/>
        </w:numPr>
        <w:spacing w:before="240" w:after="240"/>
        <w:ind w:left="284" w:hanging="218"/>
        <w:contextualSpacing w:val="0"/>
        <w:jc w:val="both"/>
        <w:rPr>
          <w:rFonts w:ascii="Arial" w:hAnsi="Arial" w:cs="Arial"/>
          <w:color w:val="000000" w:themeColor="text1"/>
          <w:sz w:val="22"/>
          <w:szCs w:val="22"/>
        </w:rPr>
      </w:pPr>
      <w:r w:rsidRPr="007F552D">
        <w:rPr>
          <w:rFonts w:ascii="Arial" w:hAnsi="Arial" w:cs="Arial"/>
          <w:color w:val="000000" w:themeColor="text1"/>
          <w:kern w:val="24"/>
          <w:sz w:val="22"/>
          <w:szCs w:val="22"/>
        </w:rPr>
        <w:t xml:space="preserve">En el </w:t>
      </w:r>
      <w:r w:rsidR="00665BF8" w:rsidRPr="007F552D">
        <w:rPr>
          <w:rFonts w:ascii="Arial" w:hAnsi="Arial" w:cs="Arial"/>
          <w:color w:val="000000" w:themeColor="text1"/>
          <w:kern w:val="24"/>
          <w:sz w:val="22"/>
          <w:szCs w:val="22"/>
        </w:rPr>
        <w:t xml:space="preserve">año </w:t>
      </w:r>
      <w:r w:rsidR="008A2097" w:rsidRPr="007F552D">
        <w:rPr>
          <w:rFonts w:ascii="Arial" w:hAnsi="Arial" w:cs="Arial"/>
          <w:color w:val="000000" w:themeColor="text1"/>
          <w:kern w:val="24"/>
          <w:sz w:val="22"/>
          <w:szCs w:val="22"/>
        </w:rPr>
        <w:t>2025</w:t>
      </w:r>
      <w:r w:rsidRPr="007F552D">
        <w:rPr>
          <w:rFonts w:ascii="Arial" w:hAnsi="Arial" w:cs="Arial"/>
          <w:color w:val="000000" w:themeColor="text1"/>
          <w:kern w:val="24"/>
          <w:sz w:val="22"/>
          <w:szCs w:val="22"/>
        </w:rPr>
        <w:t xml:space="preserve">, se recaudaron S/ </w:t>
      </w:r>
      <w:r w:rsidR="00510A5B" w:rsidRPr="007F552D">
        <w:rPr>
          <w:rFonts w:ascii="Arial" w:hAnsi="Arial" w:cs="Arial"/>
          <w:noProof/>
          <w:color w:val="000000" w:themeColor="text1"/>
          <w:sz w:val="22"/>
          <w:szCs w:val="22"/>
        </w:rPr>
        <w:t>1</w:t>
      </w:r>
      <w:r w:rsidR="00FF25B8" w:rsidRPr="007F552D">
        <w:rPr>
          <w:rFonts w:ascii="Arial" w:hAnsi="Arial" w:cs="Arial"/>
          <w:noProof/>
          <w:color w:val="000000" w:themeColor="text1"/>
          <w:sz w:val="22"/>
          <w:szCs w:val="22"/>
        </w:rPr>
        <w:t>7</w:t>
      </w:r>
      <w:r w:rsidR="00B86FC7" w:rsidRPr="007F552D">
        <w:rPr>
          <w:rFonts w:ascii="Arial" w:hAnsi="Arial" w:cs="Arial"/>
          <w:noProof/>
          <w:color w:val="000000" w:themeColor="text1"/>
          <w:sz w:val="22"/>
          <w:szCs w:val="22"/>
        </w:rPr>
        <w:t xml:space="preserve">5 </w:t>
      </w:r>
      <w:r w:rsidR="00FF25B8" w:rsidRPr="007F552D">
        <w:rPr>
          <w:rFonts w:ascii="Arial" w:hAnsi="Arial" w:cs="Arial"/>
          <w:noProof/>
          <w:color w:val="000000" w:themeColor="text1"/>
          <w:sz w:val="22"/>
          <w:szCs w:val="22"/>
        </w:rPr>
        <w:t>15</w:t>
      </w:r>
      <w:r w:rsidR="00624044" w:rsidRPr="007F552D">
        <w:rPr>
          <w:rFonts w:ascii="Arial" w:hAnsi="Arial" w:cs="Arial"/>
          <w:noProof/>
          <w:color w:val="000000" w:themeColor="text1"/>
          <w:sz w:val="22"/>
          <w:szCs w:val="22"/>
        </w:rPr>
        <w:t>6</w:t>
      </w:r>
      <w:r w:rsidR="00510A5B" w:rsidRPr="007F552D">
        <w:rPr>
          <w:rFonts w:ascii="Arial" w:hAnsi="Arial" w:cs="Arial"/>
          <w:noProof/>
          <w:color w:val="000000" w:themeColor="text1"/>
          <w:sz w:val="22"/>
          <w:szCs w:val="22"/>
        </w:rPr>
        <w:t xml:space="preserve"> </w:t>
      </w:r>
      <w:r w:rsidRPr="007F552D">
        <w:rPr>
          <w:rFonts w:ascii="Arial" w:hAnsi="Arial" w:cs="Arial"/>
          <w:color w:val="000000" w:themeColor="text1"/>
          <w:kern w:val="24"/>
          <w:sz w:val="22"/>
          <w:szCs w:val="22"/>
        </w:rPr>
        <w:t>millones de ingresos tributarios del Gobierno Central (descontando las devoluciones de impuestos)</w:t>
      </w:r>
      <w:r w:rsidR="001B3F28" w:rsidRPr="007F552D">
        <w:rPr>
          <w:rFonts w:ascii="Arial" w:hAnsi="Arial" w:cs="Arial"/>
          <w:color w:val="000000" w:themeColor="text1"/>
          <w:kern w:val="24"/>
          <w:sz w:val="22"/>
          <w:szCs w:val="22"/>
        </w:rPr>
        <w:t>.</w:t>
      </w:r>
    </w:p>
    <w:p w14:paraId="0A3E8933" w14:textId="15235258" w:rsidR="002252A3" w:rsidRPr="007F552D" w:rsidRDefault="00665BF8" w:rsidP="00B82330">
      <w:pPr>
        <w:spacing w:before="240" w:after="240"/>
        <w:ind w:left="284"/>
        <w:jc w:val="both"/>
        <w:rPr>
          <w:rFonts w:ascii="Arial" w:hAnsi="Arial" w:cs="Arial"/>
          <w:color w:val="000000" w:themeColor="text1"/>
        </w:rPr>
      </w:pPr>
      <w:r w:rsidRPr="007F552D">
        <w:rPr>
          <w:rFonts w:ascii="Arial" w:hAnsi="Arial" w:cs="Arial"/>
          <w:color w:val="000000" w:themeColor="text1"/>
          <w:kern w:val="24"/>
        </w:rPr>
        <w:t>El</w:t>
      </w:r>
      <w:r w:rsidR="001B3F28" w:rsidRPr="007F552D">
        <w:rPr>
          <w:rFonts w:ascii="Arial" w:hAnsi="Arial" w:cs="Arial"/>
          <w:color w:val="000000" w:themeColor="text1"/>
          <w:kern w:val="24"/>
        </w:rPr>
        <w:t xml:space="preserve"> </w:t>
      </w:r>
      <w:r w:rsidR="002479DD" w:rsidRPr="007F552D">
        <w:rPr>
          <w:rFonts w:ascii="Arial" w:hAnsi="Arial" w:cs="Arial"/>
          <w:color w:val="000000" w:themeColor="text1"/>
          <w:kern w:val="24"/>
        </w:rPr>
        <w:t>i</w:t>
      </w:r>
      <w:r w:rsidR="001F7095" w:rsidRPr="007F552D">
        <w:rPr>
          <w:rFonts w:ascii="Arial" w:hAnsi="Arial" w:cs="Arial"/>
          <w:color w:val="000000" w:themeColor="text1"/>
          <w:kern w:val="24"/>
        </w:rPr>
        <w:t xml:space="preserve">mporte </w:t>
      </w:r>
      <w:r w:rsidRPr="007F552D">
        <w:rPr>
          <w:rFonts w:ascii="Arial" w:hAnsi="Arial" w:cs="Arial"/>
          <w:color w:val="000000" w:themeColor="text1"/>
          <w:kern w:val="24"/>
        </w:rPr>
        <w:t xml:space="preserve">mencionado </w:t>
      </w:r>
      <w:r w:rsidR="001F7095" w:rsidRPr="007F552D">
        <w:rPr>
          <w:rFonts w:ascii="Arial" w:hAnsi="Arial" w:cs="Arial"/>
          <w:color w:val="000000" w:themeColor="text1"/>
          <w:kern w:val="24"/>
        </w:rPr>
        <w:t xml:space="preserve">representa </w:t>
      </w:r>
      <w:r w:rsidRPr="007F552D">
        <w:rPr>
          <w:rFonts w:ascii="Arial" w:hAnsi="Arial" w:cs="Arial"/>
          <w:color w:val="000000" w:themeColor="text1"/>
          <w:kern w:val="24"/>
        </w:rPr>
        <w:t xml:space="preserve">S/ 19 399 millones adicionales a los recaudados en el año 2024 y </w:t>
      </w:r>
      <w:r w:rsidR="001F7095" w:rsidRPr="007F552D">
        <w:rPr>
          <w:rFonts w:ascii="Arial" w:hAnsi="Arial" w:cs="Arial"/>
          <w:color w:val="000000" w:themeColor="text1"/>
          <w:kern w:val="24"/>
        </w:rPr>
        <w:t>un</w:t>
      </w:r>
      <w:r w:rsidR="00510A5B" w:rsidRPr="007F552D">
        <w:rPr>
          <w:rFonts w:ascii="Arial" w:hAnsi="Arial" w:cs="Arial"/>
          <w:color w:val="000000" w:themeColor="text1"/>
          <w:kern w:val="24"/>
        </w:rPr>
        <w:t xml:space="preserve"> crecimiento </w:t>
      </w:r>
      <w:r w:rsidR="001F7095" w:rsidRPr="007F552D">
        <w:rPr>
          <w:rFonts w:ascii="Arial" w:hAnsi="Arial" w:cs="Arial"/>
          <w:color w:val="000000" w:themeColor="text1"/>
          <w:kern w:val="24"/>
        </w:rPr>
        <w:t xml:space="preserve">de </w:t>
      </w:r>
      <w:r w:rsidR="00FF25B8" w:rsidRPr="007F552D">
        <w:rPr>
          <w:rFonts w:ascii="Arial" w:hAnsi="Arial" w:cs="Arial"/>
          <w:color w:val="000000" w:themeColor="text1"/>
          <w:kern w:val="24"/>
        </w:rPr>
        <w:t>10,8</w:t>
      </w:r>
      <w:r w:rsidR="001F7095" w:rsidRPr="007F552D">
        <w:rPr>
          <w:rFonts w:ascii="Arial" w:hAnsi="Arial" w:cs="Arial"/>
          <w:color w:val="000000" w:themeColor="text1"/>
          <w:kern w:val="24"/>
        </w:rPr>
        <w:t>%</w:t>
      </w:r>
      <w:r w:rsidR="008E4015" w:rsidRPr="007F552D">
        <w:rPr>
          <w:rFonts w:ascii="Arial" w:hAnsi="Arial" w:cs="Arial"/>
          <w:color w:val="000000" w:themeColor="text1"/>
          <w:kern w:val="24"/>
        </w:rPr>
        <w:t>.</w:t>
      </w:r>
    </w:p>
    <w:p w14:paraId="5A84D0A7" w14:textId="739DA0ED" w:rsidR="002738BD" w:rsidRPr="007F552D" w:rsidRDefault="002738BD" w:rsidP="002738BD">
      <w:pPr>
        <w:spacing w:after="0" w:line="240" w:lineRule="auto"/>
        <w:ind w:left="284"/>
        <w:rPr>
          <w:rFonts w:ascii="Arial" w:hAnsi="Arial" w:cs="Arial"/>
          <w:bCs/>
          <w:color w:val="000000" w:themeColor="text1"/>
        </w:rPr>
      </w:pPr>
      <w:r w:rsidRPr="007F552D">
        <w:rPr>
          <w:rFonts w:ascii="Arial" w:hAnsi="Arial" w:cs="Arial"/>
          <w:bCs/>
          <w:color w:val="000000" w:themeColor="text1"/>
        </w:rPr>
        <w:t xml:space="preserve">Dicha tasa de </w:t>
      </w:r>
      <w:r w:rsidR="00665BF8" w:rsidRPr="007F552D">
        <w:rPr>
          <w:rFonts w:ascii="Arial" w:hAnsi="Arial" w:cs="Arial"/>
          <w:bCs/>
          <w:color w:val="000000" w:themeColor="text1"/>
        </w:rPr>
        <w:t>crecimiento</w:t>
      </w:r>
      <w:r w:rsidRPr="007F552D">
        <w:rPr>
          <w:rFonts w:ascii="Arial" w:hAnsi="Arial" w:cs="Arial"/>
          <w:bCs/>
          <w:color w:val="000000" w:themeColor="text1"/>
        </w:rPr>
        <w:t xml:space="preserve"> anual en la recaudación supera a la</w:t>
      </w:r>
      <w:r w:rsidR="004D6293">
        <w:rPr>
          <w:rFonts w:ascii="Arial" w:hAnsi="Arial" w:cs="Arial"/>
          <w:bCs/>
          <w:color w:val="000000" w:themeColor="text1"/>
        </w:rPr>
        <w:t xml:space="preserve">s </w:t>
      </w:r>
      <w:r w:rsidR="00C71A14">
        <w:rPr>
          <w:rFonts w:ascii="Arial" w:hAnsi="Arial" w:cs="Arial"/>
          <w:bCs/>
          <w:color w:val="000000" w:themeColor="text1"/>
        </w:rPr>
        <w:t xml:space="preserve">cifras preliminares </w:t>
      </w:r>
      <w:r w:rsidRPr="007F552D">
        <w:rPr>
          <w:rFonts w:ascii="Arial" w:hAnsi="Arial" w:cs="Arial"/>
          <w:bCs/>
          <w:color w:val="000000" w:themeColor="text1"/>
        </w:rPr>
        <w:t xml:space="preserve">de </w:t>
      </w:r>
      <w:r w:rsidR="00665BF8" w:rsidRPr="007F552D">
        <w:rPr>
          <w:rFonts w:ascii="Arial" w:hAnsi="Arial" w:cs="Arial"/>
          <w:bCs/>
          <w:color w:val="000000" w:themeColor="text1"/>
        </w:rPr>
        <w:t xml:space="preserve">expansión </w:t>
      </w:r>
      <w:r w:rsidRPr="007F552D">
        <w:rPr>
          <w:rFonts w:ascii="Arial" w:hAnsi="Arial" w:cs="Arial"/>
          <w:bCs/>
          <w:color w:val="000000" w:themeColor="text1"/>
        </w:rPr>
        <w:t>del PBI</w:t>
      </w:r>
      <w:r w:rsidR="00C71A14">
        <w:rPr>
          <w:rFonts w:ascii="Arial" w:hAnsi="Arial" w:cs="Arial"/>
          <w:bCs/>
          <w:color w:val="000000" w:themeColor="text1"/>
        </w:rPr>
        <w:t xml:space="preserve"> (</w:t>
      </w:r>
      <w:r w:rsidR="00CE64E7">
        <w:rPr>
          <w:rFonts w:ascii="Arial" w:hAnsi="Arial" w:cs="Arial"/>
          <w:bCs/>
          <w:color w:val="000000" w:themeColor="text1"/>
        </w:rPr>
        <w:t>3,3</w:t>
      </w:r>
      <w:r w:rsidR="00C71A14">
        <w:rPr>
          <w:rFonts w:ascii="Arial" w:hAnsi="Arial" w:cs="Arial"/>
          <w:bCs/>
          <w:color w:val="000000" w:themeColor="text1"/>
        </w:rPr>
        <w:t>%)</w:t>
      </w:r>
      <w:r w:rsidRPr="007F552D">
        <w:rPr>
          <w:rFonts w:ascii="Arial" w:hAnsi="Arial" w:cs="Arial"/>
          <w:bCs/>
          <w:color w:val="000000" w:themeColor="text1"/>
        </w:rPr>
        <w:t>, demanda interna</w:t>
      </w:r>
      <w:r w:rsidR="00C71A14">
        <w:rPr>
          <w:rFonts w:ascii="Arial" w:hAnsi="Arial" w:cs="Arial"/>
          <w:bCs/>
          <w:color w:val="000000" w:themeColor="text1"/>
        </w:rPr>
        <w:t xml:space="preserve"> (</w:t>
      </w:r>
      <w:r w:rsidR="00CE64E7">
        <w:rPr>
          <w:rFonts w:ascii="Arial" w:hAnsi="Arial" w:cs="Arial"/>
          <w:bCs/>
          <w:color w:val="000000" w:themeColor="text1"/>
        </w:rPr>
        <w:t>5,1</w:t>
      </w:r>
      <w:r w:rsidR="00C71A14">
        <w:rPr>
          <w:rFonts w:ascii="Arial" w:hAnsi="Arial" w:cs="Arial"/>
          <w:bCs/>
          <w:color w:val="000000" w:themeColor="text1"/>
        </w:rPr>
        <w:t>%)</w:t>
      </w:r>
      <w:r w:rsidRPr="007F552D">
        <w:rPr>
          <w:rFonts w:ascii="Arial" w:hAnsi="Arial" w:cs="Arial"/>
          <w:bCs/>
          <w:color w:val="000000" w:themeColor="text1"/>
        </w:rPr>
        <w:t xml:space="preserve"> e importaciones</w:t>
      </w:r>
      <w:r w:rsidR="00C71A14">
        <w:rPr>
          <w:rFonts w:ascii="Arial" w:hAnsi="Arial" w:cs="Arial"/>
          <w:bCs/>
          <w:color w:val="000000" w:themeColor="text1"/>
        </w:rPr>
        <w:t xml:space="preserve"> (</w:t>
      </w:r>
      <w:r w:rsidR="00CE64E7">
        <w:rPr>
          <w:rFonts w:ascii="Arial" w:hAnsi="Arial" w:cs="Arial"/>
          <w:bCs/>
          <w:color w:val="000000" w:themeColor="text1"/>
        </w:rPr>
        <w:t>10,3</w:t>
      </w:r>
      <w:r w:rsidR="00C71A14">
        <w:rPr>
          <w:rFonts w:ascii="Arial" w:hAnsi="Arial" w:cs="Arial"/>
          <w:bCs/>
          <w:color w:val="000000" w:themeColor="text1"/>
        </w:rPr>
        <w:t>%)</w:t>
      </w:r>
      <w:r w:rsidRPr="007F552D">
        <w:rPr>
          <w:rFonts w:ascii="Arial" w:hAnsi="Arial" w:cs="Arial"/>
          <w:bCs/>
          <w:color w:val="000000" w:themeColor="text1"/>
        </w:rPr>
        <w:t xml:space="preserve"> en el mismo año</w:t>
      </w:r>
      <w:r w:rsidR="001B322F" w:rsidRPr="007F552D">
        <w:rPr>
          <w:rFonts w:ascii="Arial" w:hAnsi="Arial" w:cs="Arial"/>
          <w:bCs/>
          <w:color w:val="000000" w:themeColor="text1"/>
        </w:rPr>
        <w:t>.</w:t>
      </w:r>
    </w:p>
    <w:p w14:paraId="4199BB9F" w14:textId="77777777" w:rsidR="007A5B4B" w:rsidRDefault="007A5B4B" w:rsidP="007A5B4B">
      <w:pPr>
        <w:spacing w:after="0" w:line="240" w:lineRule="auto"/>
        <w:rPr>
          <w:rFonts w:ascii="Arial" w:hAnsi="Arial" w:cs="Arial"/>
          <w:b/>
          <w:color w:val="0070C0"/>
        </w:rPr>
      </w:pPr>
    </w:p>
    <w:p w14:paraId="564ED913" w14:textId="7CF1A91B" w:rsidR="00302542" w:rsidRPr="00413973" w:rsidRDefault="00302542" w:rsidP="007A5B4B">
      <w:pPr>
        <w:spacing w:after="0" w:line="240" w:lineRule="auto"/>
        <w:rPr>
          <w:rFonts w:ascii="Arial" w:hAnsi="Arial" w:cs="Arial"/>
          <w:b/>
        </w:rPr>
      </w:pPr>
      <w:r w:rsidRPr="00413973">
        <w:rPr>
          <w:rFonts w:ascii="Arial" w:hAnsi="Arial" w:cs="Arial"/>
          <w:b/>
        </w:rPr>
        <w:t xml:space="preserve">Factores determinantes del resultado de la recaudación del </w:t>
      </w:r>
      <w:r w:rsidR="00682E5D" w:rsidRPr="00413973">
        <w:rPr>
          <w:rFonts w:ascii="Arial" w:hAnsi="Arial" w:cs="Arial"/>
          <w:b/>
        </w:rPr>
        <w:t xml:space="preserve">año </w:t>
      </w:r>
      <w:r w:rsidR="008A2097" w:rsidRPr="00413973">
        <w:rPr>
          <w:rFonts w:ascii="Arial" w:hAnsi="Arial" w:cs="Arial"/>
          <w:b/>
        </w:rPr>
        <w:t>2025</w:t>
      </w:r>
      <w:r w:rsidRPr="00413973">
        <w:rPr>
          <w:rFonts w:ascii="Arial" w:hAnsi="Arial" w:cs="Arial"/>
          <w:b/>
        </w:rPr>
        <w:t>:</w:t>
      </w:r>
    </w:p>
    <w:p w14:paraId="5DF1743B" w14:textId="77777777" w:rsidR="00413973" w:rsidRPr="00C76091" w:rsidRDefault="00413973" w:rsidP="007A5B4B">
      <w:pPr>
        <w:spacing w:after="0" w:line="240" w:lineRule="auto"/>
        <w:rPr>
          <w:rFonts w:ascii="Arial" w:hAnsi="Arial" w:cs="Arial"/>
          <w:b/>
          <w:color w:val="0070C0"/>
        </w:rPr>
      </w:pPr>
    </w:p>
    <w:p w14:paraId="085BE11C" w14:textId="52DF20F3" w:rsidR="00B273D3" w:rsidRPr="007F552D" w:rsidRDefault="00A37776" w:rsidP="004C2D9E">
      <w:pPr>
        <w:pStyle w:val="Prrafodelista"/>
        <w:numPr>
          <w:ilvl w:val="0"/>
          <w:numId w:val="13"/>
        </w:numPr>
        <w:ind w:left="283" w:hanging="215"/>
        <w:contextualSpacing w:val="0"/>
        <w:jc w:val="both"/>
        <w:rPr>
          <w:rFonts w:ascii="Arial" w:hAnsi="Arial" w:cs="Arial"/>
          <w:kern w:val="24"/>
        </w:rPr>
      </w:pPr>
      <w:r w:rsidRPr="007F552D">
        <w:rPr>
          <w:rFonts w:ascii="Arial" w:hAnsi="Arial" w:cs="Arial"/>
          <w:kern w:val="24"/>
          <w:sz w:val="22"/>
          <w:szCs w:val="22"/>
        </w:rPr>
        <w:t>L</w:t>
      </w:r>
      <w:r w:rsidR="00E84ACB" w:rsidRPr="007F552D">
        <w:rPr>
          <w:rFonts w:ascii="Arial" w:hAnsi="Arial" w:cs="Arial"/>
          <w:kern w:val="24"/>
          <w:sz w:val="22"/>
          <w:szCs w:val="22"/>
        </w:rPr>
        <w:t xml:space="preserve">a </w:t>
      </w:r>
      <w:r w:rsidR="00682E5D" w:rsidRPr="007F552D">
        <w:rPr>
          <w:rFonts w:ascii="Arial" w:hAnsi="Arial" w:cs="Arial"/>
          <w:kern w:val="24"/>
          <w:sz w:val="22"/>
          <w:szCs w:val="22"/>
        </w:rPr>
        <w:t xml:space="preserve">recaudación </w:t>
      </w:r>
      <w:r w:rsidRPr="007F552D">
        <w:rPr>
          <w:rFonts w:ascii="Arial" w:hAnsi="Arial" w:cs="Arial"/>
          <w:kern w:val="24"/>
          <w:sz w:val="22"/>
          <w:szCs w:val="22"/>
        </w:rPr>
        <w:t>d</w:t>
      </w:r>
      <w:r w:rsidR="00682E5D" w:rsidRPr="007F552D">
        <w:rPr>
          <w:rFonts w:ascii="Arial" w:hAnsi="Arial" w:cs="Arial"/>
          <w:kern w:val="24"/>
          <w:sz w:val="22"/>
          <w:szCs w:val="22"/>
        </w:rPr>
        <w:t xml:space="preserve">el año </w:t>
      </w:r>
      <w:r w:rsidR="008A2097" w:rsidRPr="007F552D">
        <w:rPr>
          <w:rFonts w:ascii="Arial" w:hAnsi="Arial" w:cs="Arial"/>
          <w:kern w:val="24"/>
          <w:sz w:val="22"/>
          <w:szCs w:val="22"/>
        </w:rPr>
        <w:t>2025</w:t>
      </w:r>
      <w:r w:rsidR="00682E5D" w:rsidRPr="007F552D">
        <w:rPr>
          <w:rFonts w:ascii="Arial" w:hAnsi="Arial" w:cs="Arial"/>
          <w:kern w:val="24"/>
          <w:sz w:val="22"/>
          <w:szCs w:val="22"/>
        </w:rPr>
        <w:t xml:space="preserve"> es fruto de diversos factores</w:t>
      </w:r>
      <w:r w:rsidR="00FD58FF" w:rsidRPr="007F552D">
        <w:rPr>
          <w:rFonts w:ascii="Arial" w:hAnsi="Arial" w:cs="Arial"/>
          <w:kern w:val="24"/>
          <w:sz w:val="22"/>
          <w:szCs w:val="22"/>
        </w:rPr>
        <w:t>,</w:t>
      </w:r>
      <w:r w:rsidR="003C2188" w:rsidRPr="007F552D">
        <w:rPr>
          <w:rFonts w:ascii="Arial" w:hAnsi="Arial" w:cs="Arial"/>
          <w:kern w:val="24"/>
          <w:sz w:val="22"/>
          <w:szCs w:val="22"/>
        </w:rPr>
        <w:t xml:space="preserve"> </w:t>
      </w:r>
      <w:r w:rsidRPr="007F552D">
        <w:rPr>
          <w:rFonts w:ascii="Arial" w:hAnsi="Arial" w:cs="Arial"/>
          <w:kern w:val="24"/>
          <w:sz w:val="22"/>
          <w:szCs w:val="22"/>
        </w:rPr>
        <w:t xml:space="preserve">que la </w:t>
      </w:r>
      <w:r w:rsidR="00665BF8" w:rsidRPr="007F552D">
        <w:rPr>
          <w:rFonts w:ascii="Arial" w:hAnsi="Arial" w:cs="Arial"/>
          <w:kern w:val="24"/>
          <w:sz w:val="22"/>
          <w:szCs w:val="22"/>
        </w:rPr>
        <w:t>influenciaron</w:t>
      </w:r>
      <w:r w:rsidRPr="007F552D">
        <w:rPr>
          <w:rFonts w:ascii="Arial" w:hAnsi="Arial" w:cs="Arial"/>
          <w:kern w:val="24"/>
          <w:sz w:val="22"/>
          <w:szCs w:val="22"/>
        </w:rPr>
        <w:t xml:space="preserve"> </w:t>
      </w:r>
      <w:r w:rsidR="003C2188" w:rsidRPr="007F552D">
        <w:rPr>
          <w:rFonts w:ascii="Arial" w:hAnsi="Arial" w:cs="Arial"/>
          <w:kern w:val="24"/>
          <w:sz w:val="22"/>
          <w:szCs w:val="22"/>
        </w:rPr>
        <w:t>tanto positiv</w:t>
      </w:r>
      <w:r w:rsidRPr="007F552D">
        <w:rPr>
          <w:rFonts w:ascii="Arial" w:hAnsi="Arial" w:cs="Arial"/>
          <w:kern w:val="24"/>
          <w:sz w:val="22"/>
          <w:szCs w:val="22"/>
        </w:rPr>
        <w:t>a</w:t>
      </w:r>
      <w:r w:rsidR="003C2188" w:rsidRPr="007F552D">
        <w:rPr>
          <w:rFonts w:ascii="Arial" w:hAnsi="Arial" w:cs="Arial"/>
          <w:kern w:val="24"/>
          <w:sz w:val="22"/>
          <w:szCs w:val="22"/>
        </w:rPr>
        <w:t xml:space="preserve"> como </w:t>
      </w:r>
      <w:r w:rsidRPr="007F552D">
        <w:rPr>
          <w:rFonts w:ascii="Arial" w:hAnsi="Arial" w:cs="Arial"/>
          <w:kern w:val="24"/>
          <w:sz w:val="22"/>
          <w:szCs w:val="22"/>
        </w:rPr>
        <w:t>negativamente</w:t>
      </w:r>
      <w:r w:rsidR="003C2188" w:rsidRPr="007F552D">
        <w:rPr>
          <w:rFonts w:ascii="Arial" w:hAnsi="Arial" w:cs="Arial"/>
          <w:kern w:val="24"/>
          <w:sz w:val="22"/>
          <w:szCs w:val="22"/>
        </w:rPr>
        <w:t xml:space="preserve">. </w:t>
      </w:r>
      <w:r w:rsidR="00665BF8" w:rsidRPr="004C2D9E">
        <w:rPr>
          <w:rFonts w:ascii="Arial" w:hAnsi="Arial" w:cs="Arial"/>
          <w:kern w:val="24"/>
          <w:sz w:val="22"/>
          <w:szCs w:val="22"/>
        </w:rPr>
        <w:t>E</w:t>
      </w:r>
      <w:r w:rsidR="003C2188" w:rsidRPr="004C2D9E">
        <w:rPr>
          <w:rFonts w:ascii="Arial" w:hAnsi="Arial" w:cs="Arial"/>
          <w:kern w:val="24"/>
          <w:sz w:val="22"/>
          <w:szCs w:val="22"/>
        </w:rPr>
        <w:t xml:space="preserve">ntre </w:t>
      </w:r>
      <w:r w:rsidR="00694895" w:rsidRPr="004C2D9E">
        <w:rPr>
          <w:rFonts w:ascii="Arial" w:hAnsi="Arial" w:cs="Arial"/>
          <w:kern w:val="24"/>
          <w:sz w:val="22"/>
          <w:szCs w:val="22"/>
        </w:rPr>
        <w:t xml:space="preserve">los principales </w:t>
      </w:r>
      <w:r w:rsidR="00BF3BEB" w:rsidRPr="004C2D9E">
        <w:rPr>
          <w:rFonts w:ascii="Arial" w:hAnsi="Arial" w:cs="Arial"/>
          <w:kern w:val="24"/>
          <w:sz w:val="22"/>
          <w:szCs w:val="22"/>
        </w:rPr>
        <w:t xml:space="preserve">factores </w:t>
      </w:r>
      <w:r w:rsidR="003C2188" w:rsidRPr="004C2D9E">
        <w:rPr>
          <w:rFonts w:ascii="Arial" w:hAnsi="Arial" w:cs="Arial"/>
          <w:kern w:val="24"/>
          <w:sz w:val="22"/>
          <w:szCs w:val="22"/>
        </w:rPr>
        <w:t xml:space="preserve">que favorecieron el incremento de la recaudación </w:t>
      </w:r>
      <w:r w:rsidR="00694895" w:rsidRPr="004C2D9E">
        <w:rPr>
          <w:rFonts w:ascii="Arial" w:hAnsi="Arial" w:cs="Arial"/>
          <w:kern w:val="24"/>
          <w:sz w:val="22"/>
          <w:szCs w:val="22"/>
        </w:rPr>
        <w:t xml:space="preserve">se </w:t>
      </w:r>
      <w:r w:rsidR="00FD58FF" w:rsidRPr="004C2D9E">
        <w:rPr>
          <w:rFonts w:ascii="Arial" w:hAnsi="Arial" w:cs="Arial"/>
          <w:kern w:val="24"/>
          <w:sz w:val="22"/>
          <w:szCs w:val="22"/>
        </w:rPr>
        <w:t>menciona</w:t>
      </w:r>
      <w:r w:rsidR="00191991" w:rsidRPr="004C2D9E">
        <w:rPr>
          <w:rFonts w:ascii="Arial" w:hAnsi="Arial" w:cs="Arial"/>
          <w:kern w:val="24"/>
          <w:sz w:val="22"/>
          <w:szCs w:val="22"/>
        </w:rPr>
        <w:t>n</w:t>
      </w:r>
      <w:r w:rsidR="00FD58FF" w:rsidRPr="004C2D9E">
        <w:rPr>
          <w:rFonts w:ascii="Arial" w:hAnsi="Arial" w:cs="Arial"/>
          <w:kern w:val="24"/>
          <w:sz w:val="22"/>
          <w:szCs w:val="22"/>
        </w:rPr>
        <w:t xml:space="preserve"> los siguientes</w:t>
      </w:r>
      <w:r w:rsidR="00FD58FF" w:rsidRPr="007F552D">
        <w:rPr>
          <w:rFonts w:ascii="Arial" w:hAnsi="Arial" w:cs="Arial"/>
          <w:kern w:val="24"/>
        </w:rPr>
        <w:t>:</w:t>
      </w:r>
    </w:p>
    <w:p w14:paraId="50600D81" w14:textId="3DB19DA7" w:rsidR="00A40CB5" w:rsidRPr="007F552D" w:rsidRDefault="00A40CB5" w:rsidP="00A40CB5">
      <w:pPr>
        <w:pStyle w:val="Prrafodelista"/>
        <w:numPr>
          <w:ilvl w:val="1"/>
          <w:numId w:val="13"/>
        </w:numPr>
        <w:spacing w:before="240" w:after="240"/>
        <w:ind w:left="709"/>
        <w:contextualSpacing w:val="0"/>
        <w:jc w:val="both"/>
        <w:rPr>
          <w:rFonts w:ascii="Arial" w:hAnsi="Arial" w:cs="Arial"/>
          <w:kern w:val="24"/>
          <w:sz w:val="22"/>
          <w:szCs w:val="22"/>
        </w:rPr>
      </w:pPr>
      <w:r w:rsidRPr="007F552D">
        <w:rPr>
          <w:rFonts w:ascii="Arial" w:hAnsi="Arial" w:cs="Arial"/>
          <w:kern w:val="24"/>
          <w:sz w:val="22"/>
          <w:szCs w:val="22"/>
        </w:rPr>
        <w:t>L</w:t>
      </w:r>
      <w:r w:rsidR="00FD58FF" w:rsidRPr="007F552D">
        <w:rPr>
          <w:rFonts w:ascii="Arial" w:hAnsi="Arial" w:cs="Arial"/>
          <w:kern w:val="24"/>
          <w:sz w:val="22"/>
          <w:szCs w:val="22"/>
        </w:rPr>
        <w:t>a</w:t>
      </w:r>
      <w:r w:rsidR="003C2188" w:rsidRPr="007F552D">
        <w:rPr>
          <w:rFonts w:ascii="Arial" w:hAnsi="Arial" w:cs="Arial"/>
          <w:kern w:val="24"/>
          <w:sz w:val="22"/>
          <w:szCs w:val="22"/>
        </w:rPr>
        <w:t xml:space="preserve"> </w:t>
      </w:r>
      <w:r w:rsidR="00FD58FF" w:rsidRPr="007F552D">
        <w:rPr>
          <w:rFonts w:ascii="Arial" w:hAnsi="Arial" w:cs="Arial"/>
          <w:kern w:val="24"/>
          <w:sz w:val="22"/>
          <w:szCs w:val="22"/>
        </w:rPr>
        <w:t xml:space="preserve">evolución </w:t>
      </w:r>
      <w:r w:rsidR="00624044" w:rsidRPr="007F552D">
        <w:rPr>
          <w:rFonts w:ascii="Arial" w:hAnsi="Arial" w:cs="Arial"/>
          <w:kern w:val="24"/>
          <w:sz w:val="22"/>
          <w:szCs w:val="22"/>
        </w:rPr>
        <w:t xml:space="preserve">positiva </w:t>
      </w:r>
      <w:r w:rsidRPr="007F552D">
        <w:rPr>
          <w:rFonts w:ascii="Arial" w:hAnsi="Arial" w:cs="Arial"/>
          <w:kern w:val="24"/>
          <w:sz w:val="22"/>
          <w:szCs w:val="22"/>
        </w:rPr>
        <w:t xml:space="preserve">de la actividad económica </w:t>
      </w:r>
      <w:r w:rsidR="00FD58FF" w:rsidRPr="007F552D">
        <w:rPr>
          <w:rFonts w:ascii="Arial" w:hAnsi="Arial" w:cs="Arial"/>
          <w:kern w:val="24"/>
          <w:sz w:val="22"/>
          <w:szCs w:val="22"/>
        </w:rPr>
        <w:t xml:space="preserve">durante el año </w:t>
      </w:r>
      <w:r w:rsidR="00866A6F" w:rsidRPr="007F552D">
        <w:rPr>
          <w:rFonts w:ascii="Arial" w:hAnsi="Arial" w:cs="Arial"/>
          <w:kern w:val="24"/>
          <w:sz w:val="22"/>
          <w:szCs w:val="22"/>
        </w:rPr>
        <w:t>202</w:t>
      </w:r>
      <w:r w:rsidR="008A2097" w:rsidRPr="007F552D">
        <w:rPr>
          <w:rFonts w:ascii="Arial" w:hAnsi="Arial" w:cs="Arial"/>
          <w:kern w:val="24"/>
          <w:sz w:val="22"/>
          <w:szCs w:val="22"/>
        </w:rPr>
        <w:t>5</w:t>
      </w:r>
      <w:r w:rsidR="00FD58FF" w:rsidRPr="007F552D">
        <w:rPr>
          <w:rFonts w:ascii="Arial" w:hAnsi="Arial" w:cs="Arial"/>
          <w:kern w:val="24"/>
          <w:sz w:val="22"/>
          <w:szCs w:val="22"/>
        </w:rPr>
        <w:t xml:space="preserve">, </w:t>
      </w:r>
      <w:r w:rsidRPr="007F552D">
        <w:rPr>
          <w:rFonts w:ascii="Arial" w:hAnsi="Arial" w:cs="Arial"/>
          <w:kern w:val="24"/>
          <w:sz w:val="22"/>
          <w:szCs w:val="22"/>
        </w:rPr>
        <w:t xml:space="preserve">con un </w:t>
      </w:r>
      <w:r w:rsidR="000E614F" w:rsidRPr="007F552D">
        <w:rPr>
          <w:rFonts w:ascii="Arial" w:hAnsi="Arial" w:cs="Arial"/>
          <w:kern w:val="24"/>
          <w:sz w:val="22"/>
          <w:szCs w:val="22"/>
        </w:rPr>
        <w:t>crecimiento</w:t>
      </w:r>
      <w:r w:rsidRPr="007F552D">
        <w:rPr>
          <w:rFonts w:ascii="Arial" w:hAnsi="Arial" w:cs="Arial"/>
          <w:kern w:val="24"/>
          <w:sz w:val="22"/>
          <w:szCs w:val="22"/>
        </w:rPr>
        <w:t xml:space="preserve"> del </w:t>
      </w:r>
      <w:r w:rsidR="00694895" w:rsidRPr="007F552D">
        <w:rPr>
          <w:rFonts w:ascii="Arial" w:hAnsi="Arial" w:cs="Arial"/>
          <w:kern w:val="24"/>
          <w:sz w:val="22"/>
          <w:szCs w:val="22"/>
        </w:rPr>
        <w:t>Producto Bruto Interno (</w:t>
      </w:r>
      <w:r w:rsidRPr="007F552D">
        <w:rPr>
          <w:rFonts w:ascii="Arial" w:hAnsi="Arial" w:cs="Arial"/>
          <w:kern w:val="24"/>
          <w:sz w:val="22"/>
          <w:szCs w:val="22"/>
        </w:rPr>
        <w:t>PBI</w:t>
      </w:r>
      <w:r w:rsidR="00694895" w:rsidRPr="007F552D">
        <w:rPr>
          <w:rFonts w:ascii="Arial" w:hAnsi="Arial" w:cs="Arial"/>
          <w:kern w:val="24"/>
          <w:sz w:val="22"/>
          <w:szCs w:val="22"/>
        </w:rPr>
        <w:t>)</w:t>
      </w:r>
      <w:r w:rsidRPr="007F552D">
        <w:rPr>
          <w:rFonts w:ascii="Arial" w:hAnsi="Arial" w:cs="Arial"/>
          <w:kern w:val="24"/>
          <w:sz w:val="22"/>
          <w:szCs w:val="22"/>
        </w:rPr>
        <w:t xml:space="preserve"> y la </w:t>
      </w:r>
      <w:r w:rsidR="00866DAB">
        <w:rPr>
          <w:rFonts w:ascii="Arial" w:hAnsi="Arial" w:cs="Arial"/>
          <w:kern w:val="24"/>
          <w:sz w:val="22"/>
          <w:szCs w:val="22"/>
        </w:rPr>
        <w:t>d</w:t>
      </w:r>
      <w:r w:rsidRPr="007F552D">
        <w:rPr>
          <w:rFonts w:ascii="Arial" w:hAnsi="Arial" w:cs="Arial"/>
          <w:kern w:val="24"/>
          <w:sz w:val="22"/>
          <w:szCs w:val="22"/>
        </w:rPr>
        <w:t xml:space="preserve">emanda </w:t>
      </w:r>
      <w:r w:rsidR="00866DAB">
        <w:rPr>
          <w:rFonts w:ascii="Arial" w:hAnsi="Arial" w:cs="Arial"/>
          <w:kern w:val="24"/>
          <w:sz w:val="22"/>
          <w:szCs w:val="22"/>
        </w:rPr>
        <w:t>i</w:t>
      </w:r>
      <w:r w:rsidRPr="007F552D">
        <w:rPr>
          <w:rFonts w:ascii="Arial" w:hAnsi="Arial" w:cs="Arial"/>
          <w:kern w:val="24"/>
          <w:sz w:val="22"/>
          <w:szCs w:val="22"/>
        </w:rPr>
        <w:t>nterna</w:t>
      </w:r>
      <w:r w:rsidR="00694895" w:rsidRPr="007F552D">
        <w:rPr>
          <w:rFonts w:ascii="Arial" w:hAnsi="Arial" w:cs="Arial"/>
          <w:kern w:val="24"/>
          <w:sz w:val="22"/>
          <w:szCs w:val="22"/>
        </w:rPr>
        <w:t xml:space="preserve"> (DI)</w:t>
      </w:r>
      <w:r w:rsidRPr="007F552D">
        <w:rPr>
          <w:rFonts w:ascii="Arial" w:hAnsi="Arial" w:cs="Arial"/>
          <w:kern w:val="24"/>
          <w:sz w:val="22"/>
          <w:szCs w:val="22"/>
        </w:rPr>
        <w:t xml:space="preserve"> </w:t>
      </w:r>
      <w:r w:rsidR="002738BD" w:rsidRPr="007F552D">
        <w:rPr>
          <w:rFonts w:ascii="Arial" w:hAnsi="Arial" w:cs="Arial"/>
          <w:kern w:val="24"/>
          <w:sz w:val="22"/>
          <w:szCs w:val="22"/>
        </w:rPr>
        <w:t>estimados en</w:t>
      </w:r>
      <w:r w:rsidRPr="007F552D">
        <w:rPr>
          <w:rFonts w:ascii="Arial" w:hAnsi="Arial" w:cs="Arial"/>
          <w:kern w:val="24"/>
          <w:sz w:val="22"/>
          <w:szCs w:val="22"/>
        </w:rPr>
        <w:t xml:space="preserve"> alrededor de </w:t>
      </w:r>
      <w:r w:rsidR="003F640C" w:rsidRPr="007F552D">
        <w:rPr>
          <w:rFonts w:ascii="Arial" w:hAnsi="Arial" w:cs="Arial"/>
          <w:kern w:val="24"/>
          <w:sz w:val="22"/>
          <w:szCs w:val="22"/>
        </w:rPr>
        <w:t>3,</w:t>
      </w:r>
      <w:r w:rsidR="008A2097" w:rsidRPr="007F552D">
        <w:rPr>
          <w:rFonts w:ascii="Arial" w:hAnsi="Arial" w:cs="Arial"/>
          <w:kern w:val="24"/>
          <w:sz w:val="22"/>
          <w:szCs w:val="22"/>
        </w:rPr>
        <w:t>3</w:t>
      </w:r>
      <w:r w:rsidRPr="007F552D">
        <w:rPr>
          <w:rFonts w:ascii="Arial" w:hAnsi="Arial" w:cs="Arial"/>
          <w:kern w:val="24"/>
          <w:sz w:val="22"/>
          <w:szCs w:val="22"/>
        </w:rPr>
        <w:t xml:space="preserve">% y </w:t>
      </w:r>
      <w:r w:rsidR="008A2097" w:rsidRPr="007F552D">
        <w:rPr>
          <w:rFonts w:ascii="Arial" w:hAnsi="Arial" w:cs="Arial"/>
          <w:kern w:val="24"/>
          <w:sz w:val="22"/>
          <w:szCs w:val="22"/>
        </w:rPr>
        <w:t>5,1</w:t>
      </w:r>
      <w:r w:rsidRPr="007F552D">
        <w:rPr>
          <w:rFonts w:ascii="Arial" w:hAnsi="Arial" w:cs="Arial"/>
          <w:kern w:val="24"/>
          <w:sz w:val="22"/>
          <w:szCs w:val="22"/>
        </w:rPr>
        <w:t xml:space="preserve">% respectivamente. Asimismo, </w:t>
      </w:r>
      <w:r w:rsidR="003C2188" w:rsidRPr="007F552D">
        <w:rPr>
          <w:rFonts w:ascii="Arial" w:hAnsi="Arial" w:cs="Arial"/>
          <w:kern w:val="24"/>
          <w:sz w:val="22"/>
          <w:szCs w:val="22"/>
        </w:rPr>
        <w:t xml:space="preserve">la expansión </w:t>
      </w:r>
      <w:r w:rsidRPr="007F552D">
        <w:rPr>
          <w:rFonts w:ascii="Arial" w:hAnsi="Arial" w:cs="Arial"/>
          <w:kern w:val="24"/>
          <w:sz w:val="22"/>
          <w:szCs w:val="22"/>
        </w:rPr>
        <w:t xml:space="preserve">de las importaciones </w:t>
      </w:r>
      <w:r w:rsidR="00A37776" w:rsidRPr="007F552D">
        <w:rPr>
          <w:rFonts w:ascii="Arial" w:hAnsi="Arial" w:cs="Arial"/>
          <w:kern w:val="24"/>
          <w:sz w:val="22"/>
          <w:szCs w:val="22"/>
        </w:rPr>
        <w:t xml:space="preserve">US$ </w:t>
      </w:r>
      <w:r w:rsidR="00A90DDD" w:rsidRPr="007F552D">
        <w:rPr>
          <w:rFonts w:ascii="Arial" w:hAnsi="Arial" w:cs="Arial"/>
          <w:kern w:val="24"/>
          <w:sz w:val="22"/>
          <w:szCs w:val="22"/>
        </w:rPr>
        <w:t xml:space="preserve">CIF </w:t>
      </w:r>
      <w:r w:rsidR="009B7164" w:rsidRPr="007F552D">
        <w:rPr>
          <w:rFonts w:ascii="Arial" w:hAnsi="Arial" w:cs="Arial"/>
          <w:kern w:val="24"/>
          <w:sz w:val="22"/>
          <w:szCs w:val="22"/>
        </w:rPr>
        <w:t>en</w:t>
      </w:r>
      <w:r w:rsidRPr="007F552D">
        <w:rPr>
          <w:rFonts w:ascii="Arial" w:hAnsi="Arial" w:cs="Arial"/>
          <w:kern w:val="24"/>
          <w:sz w:val="22"/>
          <w:szCs w:val="22"/>
        </w:rPr>
        <w:t xml:space="preserve"> </w:t>
      </w:r>
      <w:r w:rsidR="008A2097" w:rsidRPr="007F552D">
        <w:rPr>
          <w:rFonts w:ascii="Arial" w:hAnsi="Arial" w:cs="Arial"/>
          <w:kern w:val="24"/>
          <w:sz w:val="22"/>
          <w:szCs w:val="22"/>
        </w:rPr>
        <w:t>10,3</w:t>
      </w:r>
      <w:r w:rsidRPr="007F552D">
        <w:rPr>
          <w:rFonts w:ascii="Arial" w:hAnsi="Arial" w:cs="Arial"/>
          <w:kern w:val="24"/>
          <w:sz w:val="22"/>
          <w:szCs w:val="22"/>
        </w:rPr>
        <w:t>%</w:t>
      </w:r>
      <w:r w:rsidR="00FF25B8" w:rsidRPr="007F552D">
        <w:rPr>
          <w:rFonts w:ascii="Arial" w:hAnsi="Arial" w:cs="Arial"/>
          <w:kern w:val="24"/>
          <w:sz w:val="22"/>
          <w:szCs w:val="22"/>
        </w:rPr>
        <w:t>.</w:t>
      </w:r>
    </w:p>
    <w:p w14:paraId="0FF2E6CE" w14:textId="44204863" w:rsidR="00A40CB5" w:rsidRPr="00C76091" w:rsidRDefault="00FD58FF" w:rsidP="00A40CB5">
      <w:pPr>
        <w:pStyle w:val="Prrafodelista"/>
        <w:numPr>
          <w:ilvl w:val="1"/>
          <w:numId w:val="13"/>
        </w:numPr>
        <w:spacing w:before="240" w:after="240"/>
        <w:ind w:left="709"/>
        <w:contextualSpacing w:val="0"/>
        <w:jc w:val="both"/>
        <w:rPr>
          <w:rFonts w:ascii="Arial" w:hAnsi="Arial" w:cs="Arial"/>
          <w:kern w:val="24"/>
          <w:sz w:val="22"/>
          <w:szCs w:val="22"/>
        </w:rPr>
      </w:pPr>
      <w:r w:rsidRPr="007F552D">
        <w:rPr>
          <w:rFonts w:ascii="Arial" w:hAnsi="Arial" w:cs="Arial"/>
          <w:kern w:val="24"/>
          <w:sz w:val="22"/>
          <w:szCs w:val="22"/>
        </w:rPr>
        <w:t>La</w:t>
      </w:r>
      <w:r w:rsidR="009A7230" w:rsidRPr="007F552D">
        <w:rPr>
          <w:rFonts w:ascii="Arial" w:hAnsi="Arial" w:cs="Arial"/>
          <w:kern w:val="24"/>
          <w:sz w:val="22"/>
          <w:szCs w:val="22"/>
        </w:rPr>
        <w:t>s m</w:t>
      </w:r>
      <w:r w:rsidR="003F640C" w:rsidRPr="007F552D">
        <w:rPr>
          <w:rFonts w:ascii="Arial" w:hAnsi="Arial" w:cs="Arial"/>
          <w:kern w:val="24"/>
          <w:sz w:val="22"/>
          <w:szCs w:val="22"/>
        </w:rPr>
        <w:t>ayore</w:t>
      </w:r>
      <w:r w:rsidR="009A7230" w:rsidRPr="007F552D">
        <w:rPr>
          <w:rFonts w:ascii="Arial" w:hAnsi="Arial" w:cs="Arial"/>
          <w:kern w:val="24"/>
          <w:sz w:val="22"/>
          <w:szCs w:val="22"/>
        </w:rPr>
        <w:t>s</w:t>
      </w:r>
      <w:r w:rsidR="00A40CB5" w:rsidRPr="007F552D">
        <w:rPr>
          <w:rFonts w:ascii="Arial" w:hAnsi="Arial" w:cs="Arial"/>
          <w:kern w:val="24"/>
          <w:sz w:val="22"/>
          <w:szCs w:val="22"/>
        </w:rPr>
        <w:t xml:space="preserve"> cotizaciones de los principales productos exportados por la economía nacional, en especial</w:t>
      </w:r>
      <w:r w:rsidR="00EE13E8" w:rsidRPr="007F552D">
        <w:rPr>
          <w:rFonts w:ascii="Arial" w:hAnsi="Arial" w:cs="Arial"/>
          <w:kern w:val="24"/>
          <w:sz w:val="22"/>
          <w:szCs w:val="22"/>
        </w:rPr>
        <w:t xml:space="preserve"> los</w:t>
      </w:r>
      <w:r w:rsidR="00A40CB5" w:rsidRPr="007F552D">
        <w:rPr>
          <w:rFonts w:ascii="Arial" w:hAnsi="Arial" w:cs="Arial"/>
          <w:kern w:val="24"/>
          <w:sz w:val="22"/>
          <w:szCs w:val="22"/>
        </w:rPr>
        <w:t xml:space="preserve"> </w:t>
      </w:r>
      <w:r w:rsidR="003C2188" w:rsidRPr="007F552D">
        <w:rPr>
          <w:rFonts w:ascii="Arial" w:hAnsi="Arial" w:cs="Arial"/>
          <w:kern w:val="24"/>
          <w:sz w:val="22"/>
          <w:szCs w:val="22"/>
        </w:rPr>
        <w:t>minerales</w:t>
      </w:r>
      <w:r w:rsidR="00191991" w:rsidRPr="007F552D">
        <w:rPr>
          <w:rFonts w:ascii="Arial" w:hAnsi="Arial" w:cs="Arial"/>
          <w:kern w:val="24"/>
          <w:sz w:val="22"/>
          <w:szCs w:val="22"/>
        </w:rPr>
        <w:t xml:space="preserve"> como el cobre y el oro</w:t>
      </w:r>
      <w:r w:rsidRPr="007F552D">
        <w:rPr>
          <w:rFonts w:ascii="Arial" w:hAnsi="Arial" w:cs="Arial"/>
          <w:kern w:val="24"/>
          <w:sz w:val="22"/>
          <w:szCs w:val="22"/>
        </w:rPr>
        <w:t xml:space="preserve">, </w:t>
      </w:r>
      <w:r w:rsidR="00EE13E8" w:rsidRPr="007F552D">
        <w:rPr>
          <w:rFonts w:ascii="Arial" w:hAnsi="Arial" w:cs="Arial"/>
          <w:kern w:val="24"/>
          <w:sz w:val="22"/>
          <w:szCs w:val="22"/>
        </w:rPr>
        <w:t xml:space="preserve">situación </w:t>
      </w:r>
      <w:r w:rsidR="00EE13E8" w:rsidRPr="00C76091">
        <w:rPr>
          <w:rFonts w:ascii="Arial" w:hAnsi="Arial" w:cs="Arial"/>
          <w:kern w:val="24"/>
          <w:sz w:val="22"/>
          <w:szCs w:val="22"/>
        </w:rPr>
        <w:t>que incrementa</w:t>
      </w:r>
      <w:r w:rsidRPr="00C76091">
        <w:rPr>
          <w:rFonts w:ascii="Arial" w:hAnsi="Arial" w:cs="Arial"/>
          <w:kern w:val="24"/>
          <w:sz w:val="22"/>
          <w:szCs w:val="22"/>
        </w:rPr>
        <w:t xml:space="preserve"> los ingresos y bases imponibles </w:t>
      </w:r>
      <w:r w:rsidR="00EE13E8" w:rsidRPr="00C76091">
        <w:rPr>
          <w:rFonts w:ascii="Arial" w:hAnsi="Arial" w:cs="Arial"/>
          <w:kern w:val="24"/>
          <w:sz w:val="22"/>
          <w:szCs w:val="22"/>
        </w:rPr>
        <w:t xml:space="preserve">mensuales </w:t>
      </w:r>
      <w:r w:rsidRPr="00C76091">
        <w:rPr>
          <w:rFonts w:ascii="Arial" w:hAnsi="Arial" w:cs="Arial"/>
          <w:kern w:val="24"/>
          <w:sz w:val="22"/>
          <w:szCs w:val="22"/>
        </w:rPr>
        <w:t>de las empresas vinculadas a la producción y/o comercio de dichos bienes</w:t>
      </w:r>
      <w:r w:rsidR="004C2526" w:rsidRPr="00C76091">
        <w:rPr>
          <w:rFonts w:ascii="Arial" w:hAnsi="Arial" w:cs="Arial"/>
          <w:kern w:val="24"/>
          <w:sz w:val="22"/>
          <w:szCs w:val="22"/>
        </w:rPr>
        <w:t>.</w:t>
      </w:r>
      <w:r w:rsidR="00A40CB5" w:rsidRPr="00C76091">
        <w:rPr>
          <w:rFonts w:ascii="Arial" w:hAnsi="Arial" w:cs="Arial"/>
          <w:kern w:val="24"/>
          <w:sz w:val="22"/>
          <w:szCs w:val="22"/>
        </w:rPr>
        <w:t xml:space="preserve"> </w:t>
      </w:r>
    </w:p>
    <w:p w14:paraId="4825F4C9" w14:textId="77777777" w:rsidR="00665BF8" w:rsidRDefault="00624044" w:rsidP="00624044">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lastRenderedPageBreak/>
        <w:t xml:space="preserve">Los mayores ingresos provenientes de la recaudación correspondiente a la campaña de regularización del ejercicio 2024, que se pagó </w:t>
      </w:r>
      <w:r w:rsidR="00665BF8">
        <w:rPr>
          <w:rFonts w:ascii="Arial" w:hAnsi="Arial" w:cs="Arial"/>
          <w:kern w:val="24"/>
          <w:sz w:val="22"/>
          <w:szCs w:val="22"/>
        </w:rPr>
        <w:t>durante</w:t>
      </w:r>
      <w:r w:rsidRPr="00C76091">
        <w:rPr>
          <w:rFonts w:ascii="Arial" w:hAnsi="Arial" w:cs="Arial"/>
          <w:kern w:val="24"/>
          <w:sz w:val="22"/>
          <w:szCs w:val="22"/>
        </w:rPr>
        <w:t xml:space="preserve"> el año 2025.</w:t>
      </w:r>
    </w:p>
    <w:p w14:paraId="6C60BD46" w14:textId="2D408CFD" w:rsidR="00624044" w:rsidRPr="00665BF8" w:rsidRDefault="00624044" w:rsidP="00665BF8">
      <w:pPr>
        <w:spacing w:before="240" w:after="240"/>
        <w:ind w:left="709"/>
        <w:jc w:val="both"/>
        <w:rPr>
          <w:rFonts w:ascii="Arial" w:hAnsi="Arial" w:cs="Arial"/>
          <w:kern w:val="24"/>
        </w:rPr>
      </w:pPr>
      <w:r w:rsidRPr="00665BF8">
        <w:rPr>
          <w:rFonts w:ascii="Arial" w:hAnsi="Arial" w:cs="Arial"/>
          <w:kern w:val="24"/>
        </w:rPr>
        <w:t xml:space="preserve">Los resultados del ejercicio 2024 tuvieron múltiples efectos positivos en la recaudación pues no solo se recibieron importantes montos por concepto de regularización, sino que, a partir de abril, se emplearon mayores coeficientes para la determinación de los pagos a cuenta mensuales durante el año 2025 y adicionalmente se contó con una menor generación de saldos a favor de los contribuyentes a compensar contra los pagos </w:t>
      </w:r>
      <w:r w:rsidR="00A37776" w:rsidRPr="00665BF8">
        <w:rPr>
          <w:rFonts w:ascii="Arial" w:hAnsi="Arial" w:cs="Arial"/>
          <w:kern w:val="24"/>
        </w:rPr>
        <w:t xml:space="preserve">a cuenta </w:t>
      </w:r>
      <w:r w:rsidRPr="00665BF8">
        <w:rPr>
          <w:rFonts w:ascii="Arial" w:hAnsi="Arial" w:cs="Arial"/>
          <w:kern w:val="24"/>
        </w:rPr>
        <w:t>del año.</w:t>
      </w:r>
    </w:p>
    <w:p w14:paraId="2D22BA38" w14:textId="543C1CD6" w:rsidR="00624044" w:rsidRPr="007F552D" w:rsidRDefault="00624044" w:rsidP="00624044">
      <w:pPr>
        <w:pStyle w:val="Prrafodelista"/>
        <w:numPr>
          <w:ilvl w:val="1"/>
          <w:numId w:val="13"/>
        </w:numPr>
        <w:spacing w:before="240" w:after="240"/>
        <w:ind w:left="709"/>
        <w:contextualSpacing w:val="0"/>
        <w:jc w:val="both"/>
        <w:rPr>
          <w:rFonts w:ascii="Arial" w:hAnsi="Arial" w:cs="Arial"/>
          <w:kern w:val="24"/>
          <w:sz w:val="22"/>
          <w:szCs w:val="22"/>
        </w:rPr>
      </w:pPr>
      <w:r w:rsidRPr="007F552D">
        <w:rPr>
          <w:rFonts w:ascii="Arial" w:hAnsi="Arial" w:cs="Arial"/>
          <w:kern w:val="24"/>
          <w:sz w:val="22"/>
          <w:szCs w:val="22"/>
        </w:rPr>
        <w:t xml:space="preserve">Los ingresos </w:t>
      </w:r>
      <w:r w:rsidR="00665BF8" w:rsidRPr="007F552D">
        <w:rPr>
          <w:rFonts w:ascii="Arial" w:hAnsi="Arial" w:cs="Arial"/>
          <w:kern w:val="24"/>
          <w:sz w:val="22"/>
          <w:szCs w:val="22"/>
        </w:rPr>
        <w:t>obtenidos como resultado de</w:t>
      </w:r>
      <w:r w:rsidRPr="007F552D">
        <w:rPr>
          <w:rFonts w:ascii="Arial" w:hAnsi="Arial" w:cs="Arial"/>
          <w:kern w:val="24"/>
          <w:sz w:val="22"/>
          <w:szCs w:val="22"/>
        </w:rPr>
        <w:t xml:space="preserve"> las acciones de cierre de brechas tributarias </w:t>
      </w:r>
      <w:r w:rsidR="00E57CFB">
        <w:rPr>
          <w:rFonts w:ascii="Arial" w:hAnsi="Arial" w:cs="Arial"/>
          <w:kern w:val="24"/>
          <w:sz w:val="22"/>
          <w:szCs w:val="22"/>
        </w:rPr>
        <w:t xml:space="preserve">y recuperación de obligaciones </w:t>
      </w:r>
      <w:r w:rsidRPr="007F552D">
        <w:rPr>
          <w:rFonts w:ascii="Arial" w:hAnsi="Arial" w:cs="Arial"/>
          <w:kern w:val="24"/>
          <w:sz w:val="22"/>
          <w:szCs w:val="22"/>
        </w:rPr>
        <w:t xml:space="preserve">emprendidas por la SUNAT, las que, unidas a la labor cotidiana </w:t>
      </w:r>
      <w:r w:rsidR="006D6D0B">
        <w:rPr>
          <w:rFonts w:ascii="Arial" w:hAnsi="Arial" w:cs="Arial"/>
          <w:kern w:val="24"/>
          <w:sz w:val="22"/>
          <w:szCs w:val="22"/>
        </w:rPr>
        <w:t xml:space="preserve">de control, cobranza y facilitación </w:t>
      </w:r>
      <w:r w:rsidRPr="007F552D">
        <w:rPr>
          <w:rFonts w:ascii="Arial" w:hAnsi="Arial" w:cs="Arial"/>
          <w:kern w:val="24"/>
          <w:sz w:val="22"/>
          <w:szCs w:val="22"/>
        </w:rPr>
        <w:t>de la Administración Tributaria</w:t>
      </w:r>
      <w:r w:rsidR="006D6D0B">
        <w:rPr>
          <w:rFonts w:ascii="Arial" w:hAnsi="Arial" w:cs="Arial"/>
          <w:kern w:val="24"/>
          <w:sz w:val="22"/>
          <w:szCs w:val="22"/>
        </w:rPr>
        <w:t>;</w:t>
      </w:r>
      <w:r w:rsidRPr="007F552D">
        <w:rPr>
          <w:rFonts w:ascii="Arial" w:hAnsi="Arial" w:cs="Arial"/>
          <w:kern w:val="24"/>
          <w:sz w:val="22"/>
          <w:szCs w:val="22"/>
        </w:rPr>
        <w:t xml:space="preserve"> y al mayor flujo de resoluciones emitidas por parte del Tribunal Fiscal</w:t>
      </w:r>
      <w:r w:rsidR="00866DAB">
        <w:rPr>
          <w:rFonts w:ascii="Arial" w:hAnsi="Arial" w:cs="Arial"/>
          <w:kern w:val="24"/>
          <w:sz w:val="22"/>
          <w:szCs w:val="22"/>
        </w:rPr>
        <w:t>,</w:t>
      </w:r>
      <w:r w:rsidRPr="007F552D">
        <w:rPr>
          <w:rFonts w:ascii="Arial" w:hAnsi="Arial" w:cs="Arial"/>
          <w:kern w:val="24"/>
          <w:sz w:val="22"/>
          <w:szCs w:val="22"/>
        </w:rPr>
        <w:t xml:space="preserve"> permitieron una significativa recuperación de obligaciones tributarias. </w:t>
      </w:r>
    </w:p>
    <w:p w14:paraId="6F28D8D9" w14:textId="45130A26" w:rsidR="002738BD" w:rsidRPr="00413973" w:rsidRDefault="002738BD" w:rsidP="002738BD">
      <w:pPr>
        <w:spacing w:before="240" w:after="240"/>
        <w:ind w:left="708"/>
        <w:jc w:val="both"/>
        <w:rPr>
          <w:rFonts w:ascii="Arial" w:hAnsi="Arial" w:cs="Arial"/>
          <w:kern w:val="24"/>
          <w:lang w:eastAsia="es-PE"/>
        </w:rPr>
      </w:pPr>
      <w:r w:rsidRPr="00413973">
        <w:rPr>
          <w:rFonts w:ascii="Arial" w:hAnsi="Arial" w:cs="Arial"/>
          <w:kern w:val="24"/>
        </w:rPr>
        <w:t>En particular</w:t>
      </w:r>
      <w:r w:rsidR="00665BF8" w:rsidRPr="00413973">
        <w:rPr>
          <w:rFonts w:ascii="Arial" w:hAnsi="Arial" w:cs="Arial"/>
          <w:kern w:val="24"/>
        </w:rPr>
        <w:t>,</w:t>
      </w:r>
      <w:r w:rsidRPr="00413973">
        <w:rPr>
          <w:rFonts w:ascii="Arial" w:hAnsi="Arial" w:cs="Arial"/>
          <w:kern w:val="24"/>
        </w:rPr>
        <w:t xml:space="preserve"> </w:t>
      </w:r>
      <w:r w:rsidR="00665BF8" w:rsidRPr="00413973">
        <w:rPr>
          <w:rFonts w:ascii="Arial" w:hAnsi="Arial" w:cs="Arial"/>
          <w:kern w:val="24"/>
        </w:rPr>
        <w:t>en</w:t>
      </w:r>
      <w:r w:rsidRPr="00413973">
        <w:rPr>
          <w:rFonts w:ascii="Arial" w:hAnsi="Arial" w:cs="Arial"/>
          <w:kern w:val="24"/>
        </w:rPr>
        <w:t xml:space="preserve"> 2025 destacaron las acciones de gestión directa emprendidas por la SUNAT en el segmento de la minería artesanal y de pequeña escala (MAPE), las que han aportado una recaudación de S/ 2</w:t>
      </w:r>
      <w:r w:rsidR="001B322F" w:rsidRPr="00413973">
        <w:rPr>
          <w:rFonts w:ascii="Arial" w:hAnsi="Arial" w:cs="Arial"/>
          <w:kern w:val="24"/>
        </w:rPr>
        <w:t xml:space="preserve"> </w:t>
      </w:r>
      <w:r w:rsidRPr="00413973">
        <w:rPr>
          <w:rFonts w:ascii="Arial" w:hAnsi="Arial" w:cs="Arial"/>
          <w:kern w:val="24"/>
        </w:rPr>
        <w:t>327 millones</w:t>
      </w:r>
      <w:r w:rsidR="00866DAB" w:rsidRPr="00413973">
        <w:rPr>
          <w:rFonts w:ascii="Arial" w:hAnsi="Arial" w:cs="Arial"/>
          <w:kern w:val="24"/>
        </w:rPr>
        <w:t>,</w:t>
      </w:r>
      <w:r w:rsidRPr="00413973">
        <w:rPr>
          <w:rFonts w:ascii="Arial" w:hAnsi="Arial" w:cs="Arial"/>
          <w:kern w:val="24"/>
        </w:rPr>
        <w:t xml:space="preserve"> monto que excede en S/ 746 millones a los S/ 1</w:t>
      </w:r>
      <w:r w:rsidR="001B322F" w:rsidRPr="00413973">
        <w:rPr>
          <w:rFonts w:ascii="Arial" w:hAnsi="Arial" w:cs="Arial"/>
          <w:kern w:val="24"/>
        </w:rPr>
        <w:t xml:space="preserve"> </w:t>
      </w:r>
      <w:r w:rsidRPr="00413973">
        <w:rPr>
          <w:rFonts w:ascii="Arial" w:hAnsi="Arial" w:cs="Arial"/>
          <w:kern w:val="24"/>
        </w:rPr>
        <w:t xml:space="preserve">581 millones obtenidos en el año 2024.  </w:t>
      </w:r>
    </w:p>
    <w:p w14:paraId="2A8F4516" w14:textId="3BB8D634" w:rsidR="00624044" w:rsidRPr="00C76091" w:rsidRDefault="00624044" w:rsidP="00624044">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t>Los mayores pagos extraordinarios obtenidos tanto como resultado de las acciones de control llevadas a cabo por la SUNAT como por operaciones empresariales (ventas de empresas y pago</w:t>
      </w:r>
      <w:r w:rsidR="00665BF8">
        <w:rPr>
          <w:rFonts w:ascii="Arial" w:hAnsi="Arial" w:cs="Arial"/>
          <w:kern w:val="24"/>
          <w:sz w:val="22"/>
          <w:szCs w:val="22"/>
        </w:rPr>
        <w:t>s</w:t>
      </w:r>
      <w:r w:rsidRPr="00C76091">
        <w:rPr>
          <w:rFonts w:ascii="Arial" w:hAnsi="Arial" w:cs="Arial"/>
          <w:kern w:val="24"/>
          <w:sz w:val="22"/>
          <w:szCs w:val="22"/>
        </w:rPr>
        <w:t xml:space="preserve"> de dividendos, entre otros)</w:t>
      </w:r>
      <w:r w:rsidR="00FC2DDC" w:rsidRPr="00C76091">
        <w:rPr>
          <w:rFonts w:ascii="Arial" w:hAnsi="Arial" w:cs="Arial"/>
          <w:kern w:val="24"/>
          <w:sz w:val="22"/>
          <w:szCs w:val="22"/>
        </w:rPr>
        <w:t>.</w:t>
      </w:r>
    </w:p>
    <w:p w14:paraId="3E8D8C61" w14:textId="331BAFDB" w:rsidR="004E16D2" w:rsidRPr="00C76091" w:rsidRDefault="00A37776" w:rsidP="004E16D2">
      <w:pPr>
        <w:pStyle w:val="Prrafodelista"/>
        <w:numPr>
          <w:ilvl w:val="1"/>
          <w:numId w:val="13"/>
        </w:numPr>
        <w:spacing w:before="240" w:after="240"/>
        <w:ind w:left="709"/>
        <w:contextualSpacing w:val="0"/>
        <w:jc w:val="both"/>
        <w:rPr>
          <w:rFonts w:ascii="Arial" w:hAnsi="Arial" w:cs="Arial"/>
          <w:kern w:val="24"/>
          <w:sz w:val="22"/>
          <w:szCs w:val="22"/>
        </w:rPr>
      </w:pPr>
      <w:r>
        <w:rPr>
          <w:rFonts w:ascii="Arial" w:hAnsi="Arial" w:cs="Arial"/>
          <w:kern w:val="24"/>
          <w:sz w:val="22"/>
          <w:szCs w:val="22"/>
        </w:rPr>
        <w:t xml:space="preserve">La mayor recaudación </w:t>
      </w:r>
      <w:r w:rsidR="004E16D2" w:rsidRPr="00C76091">
        <w:rPr>
          <w:rFonts w:ascii="Arial" w:hAnsi="Arial" w:cs="Arial"/>
          <w:kern w:val="24"/>
          <w:sz w:val="22"/>
          <w:szCs w:val="22"/>
        </w:rPr>
        <w:t>generad</w:t>
      </w:r>
      <w:r>
        <w:rPr>
          <w:rFonts w:ascii="Arial" w:hAnsi="Arial" w:cs="Arial"/>
          <w:kern w:val="24"/>
          <w:sz w:val="22"/>
          <w:szCs w:val="22"/>
        </w:rPr>
        <w:t>a</w:t>
      </w:r>
      <w:r w:rsidR="004E16D2" w:rsidRPr="00C76091">
        <w:rPr>
          <w:rFonts w:ascii="Arial" w:hAnsi="Arial" w:cs="Arial"/>
          <w:kern w:val="24"/>
          <w:sz w:val="22"/>
          <w:szCs w:val="22"/>
        </w:rPr>
        <w:t xml:space="preserve"> por la aplicación de las siguientes normas:</w:t>
      </w:r>
    </w:p>
    <w:p w14:paraId="574F27D9" w14:textId="3735DA06" w:rsidR="004E16D2" w:rsidRPr="00C76091" w:rsidRDefault="004E16D2"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hAnsi="Arial" w:cs="Arial"/>
          <w:kern w:val="24"/>
          <w:sz w:val="22"/>
          <w:szCs w:val="22"/>
        </w:rPr>
        <w:t xml:space="preserve">El Decreto Legislativo N.º 1634 que aprobó un fraccionamiento especial para las deudas tributarias administradas por la SUNAT, el mismo que fue reglamentado por el D.S. N.º 184-2024-EF, </w:t>
      </w:r>
      <w:r w:rsidR="00BC25D4" w:rsidRPr="00C76091">
        <w:rPr>
          <w:rFonts w:ascii="Arial" w:hAnsi="Arial" w:cs="Arial"/>
          <w:kern w:val="24"/>
          <w:sz w:val="22"/>
          <w:szCs w:val="22"/>
        </w:rPr>
        <w:t>con una recaudación de</w:t>
      </w:r>
      <w:r w:rsidRPr="00C76091">
        <w:rPr>
          <w:rFonts w:ascii="Arial" w:hAnsi="Arial" w:cs="Arial"/>
          <w:kern w:val="24"/>
          <w:sz w:val="22"/>
          <w:szCs w:val="22"/>
        </w:rPr>
        <w:t xml:space="preserve"> S/ </w:t>
      </w:r>
      <w:r w:rsidR="00202198" w:rsidRPr="00C76091">
        <w:rPr>
          <w:rFonts w:ascii="Arial" w:hAnsi="Arial" w:cs="Arial"/>
          <w:kern w:val="24"/>
          <w:sz w:val="22"/>
          <w:szCs w:val="22"/>
        </w:rPr>
        <w:t>73</w:t>
      </w:r>
      <w:r w:rsidR="00D46C87">
        <w:rPr>
          <w:rFonts w:ascii="Arial" w:hAnsi="Arial" w:cs="Arial"/>
          <w:kern w:val="24"/>
          <w:sz w:val="22"/>
          <w:szCs w:val="22"/>
        </w:rPr>
        <w:t>5</w:t>
      </w:r>
      <w:r w:rsidRPr="00C76091">
        <w:rPr>
          <w:rFonts w:ascii="Arial" w:hAnsi="Arial" w:cs="Arial"/>
          <w:kern w:val="24"/>
          <w:sz w:val="22"/>
          <w:szCs w:val="22"/>
        </w:rPr>
        <w:t xml:space="preserve"> millones en el año 2025.</w:t>
      </w:r>
    </w:p>
    <w:p w14:paraId="12B89C08" w14:textId="1AC65D4B" w:rsidR="004E16D2" w:rsidRPr="00C76091" w:rsidRDefault="004E16D2"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hAnsi="Arial" w:cs="Arial"/>
          <w:kern w:val="24"/>
          <w:sz w:val="22"/>
          <w:szCs w:val="22"/>
        </w:rPr>
        <w:t>El Decreto Legislativo N.º 1623 referido a la aplicación del IGV a los Servicios Digitales, con una recaudación de S/ 624 millones en el año 2025.</w:t>
      </w:r>
    </w:p>
    <w:p w14:paraId="7E7DE37F" w14:textId="27F9F28C" w:rsidR="004E16D2" w:rsidRPr="00C76091" w:rsidRDefault="004E16D2"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hAnsi="Arial" w:cs="Arial"/>
          <w:kern w:val="24"/>
          <w:sz w:val="22"/>
          <w:szCs w:val="22"/>
        </w:rPr>
        <w:t>La Ley N.º 31557 y el Decreto Legislativo N.º 1644 referidos al Impuesto a los juegos y apuestas deportivas a distancia y a la aplicación del ISC a dichas actividades, que en conjunto recaudaron S/ 39</w:t>
      </w:r>
      <w:r w:rsidR="00D46C87">
        <w:rPr>
          <w:rFonts w:ascii="Arial" w:hAnsi="Arial" w:cs="Arial"/>
          <w:kern w:val="24"/>
          <w:sz w:val="22"/>
          <w:szCs w:val="22"/>
        </w:rPr>
        <w:t>7</w:t>
      </w:r>
      <w:r w:rsidRPr="00C76091">
        <w:rPr>
          <w:rFonts w:ascii="Arial" w:hAnsi="Arial" w:cs="Arial"/>
          <w:kern w:val="24"/>
          <w:sz w:val="22"/>
          <w:szCs w:val="22"/>
        </w:rPr>
        <w:t xml:space="preserve"> millones en el año 2025.</w:t>
      </w:r>
    </w:p>
    <w:p w14:paraId="2D050203" w14:textId="4836454A" w:rsidR="00624044" w:rsidRPr="00C76091" w:rsidRDefault="00624044"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hAnsi="Arial" w:cs="Arial"/>
          <w:kern w:val="24"/>
          <w:sz w:val="22"/>
          <w:szCs w:val="22"/>
        </w:rPr>
        <w:t xml:space="preserve">El Decreto Supremo </w:t>
      </w:r>
      <w:proofErr w:type="spellStart"/>
      <w:r w:rsidRPr="00C76091">
        <w:rPr>
          <w:rFonts w:ascii="Arial" w:hAnsi="Arial" w:cs="Arial"/>
          <w:kern w:val="24"/>
          <w:sz w:val="22"/>
          <w:szCs w:val="22"/>
        </w:rPr>
        <w:t>N.°</w:t>
      </w:r>
      <w:proofErr w:type="spellEnd"/>
      <w:r w:rsidRPr="00C76091">
        <w:rPr>
          <w:rFonts w:ascii="Arial" w:hAnsi="Arial" w:cs="Arial"/>
          <w:kern w:val="24"/>
          <w:sz w:val="22"/>
          <w:szCs w:val="22"/>
        </w:rPr>
        <w:t xml:space="preserve"> 115-2024-EF que estableció la tasa de</w:t>
      </w:r>
      <w:r w:rsidR="00A37776">
        <w:rPr>
          <w:rFonts w:ascii="Arial" w:hAnsi="Arial" w:cs="Arial"/>
          <w:kern w:val="24"/>
          <w:sz w:val="22"/>
          <w:szCs w:val="22"/>
        </w:rPr>
        <w:t>l</w:t>
      </w:r>
      <w:r w:rsidRPr="00C76091">
        <w:rPr>
          <w:rFonts w:ascii="Arial" w:hAnsi="Arial" w:cs="Arial"/>
          <w:kern w:val="24"/>
          <w:sz w:val="22"/>
          <w:szCs w:val="22"/>
        </w:rPr>
        <w:t xml:space="preserve"> ISC a la cerveza en 0</w:t>
      </w:r>
      <w:r w:rsidR="00A37776">
        <w:rPr>
          <w:rFonts w:ascii="Arial" w:hAnsi="Arial" w:cs="Arial"/>
          <w:kern w:val="24"/>
          <w:sz w:val="22"/>
          <w:szCs w:val="22"/>
        </w:rPr>
        <w:t>,</w:t>
      </w:r>
      <w:r w:rsidRPr="00C76091">
        <w:rPr>
          <w:rFonts w:ascii="Arial" w:hAnsi="Arial" w:cs="Arial"/>
          <w:kern w:val="24"/>
          <w:sz w:val="22"/>
          <w:szCs w:val="22"/>
        </w:rPr>
        <w:t>047% de la UIT.</w:t>
      </w:r>
    </w:p>
    <w:p w14:paraId="7CE15326" w14:textId="2EA61142" w:rsidR="004C2526" w:rsidRPr="00C76091" w:rsidRDefault="004F36FB" w:rsidP="007223BC">
      <w:pPr>
        <w:spacing w:before="240" w:after="240"/>
        <w:ind w:left="283"/>
        <w:jc w:val="both"/>
        <w:rPr>
          <w:rFonts w:ascii="Arial" w:hAnsi="Arial" w:cs="Arial"/>
          <w:kern w:val="24"/>
        </w:rPr>
      </w:pPr>
      <w:r w:rsidRPr="00C76091">
        <w:rPr>
          <w:rFonts w:ascii="Arial" w:hAnsi="Arial" w:cs="Arial"/>
          <w:kern w:val="24"/>
        </w:rPr>
        <w:t>Como contraparte, los principales factores que influenciaron negativamente a la</w:t>
      </w:r>
      <w:r w:rsidR="007A5B4B" w:rsidRPr="00C76091">
        <w:rPr>
          <w:rFonts w:ascii="Arial" w:hAnsi="Arial" w:cs="Arial"/>
          <w:kern w:val="24"/>
        </w:rPr>
        <w:t xml:space="preserve"> </w:t>
      </w:r>
      <w:r w:rsidRPr="00C76091">
        <w:rPr>
          <w:rFonts w:ascii="Arial" w:hAnsi="Arial" w:cs="Arial"/>
          <w:kern w:val="24"/>
        </w:rPr>
        <w:t>recaudación durante el año 202</w:t>
      </w:r>
      <w:r w:rsidR="008A2097" w:rsidRPr="00C76091">
        <w:rPr>
          <w:rFonts w:ascii="Arial" w:hAnsi="Arial" w:cs="Arial"/>
          <w:kern w:val="24"/>
        </w:rPr>
        <w:t>5</w:t>
      </w:r>
      <w:r w:rsidRPr="00C76091">
        <w:rPr>
          <w:rFonts w:ascii="Arial" w:hAnsi="Arial" w:cs="Arial"/>
          <w:kern w:val="24"/>
        </w:rPr>
        <w:t xml:space="preserve"> fueron los siguientes:</w:t>
      </w:r>
      <w:r w:rsidR="004C2526" w:rsidRPr="00C76091">
        <w:rPr>
          <w:rFonts w:ascii="Arial" w:hAnsi="Arial" w:cs="Arial"/>
          <w:kern w:val="24"/>
        </w:rPr>
        <w:t xml:space="preserve"> </w:t>
      </w:r>
    </w:p>
    <w:p w14:paraId="1C358C57" w14:textId="3A005CA1" w:rsidR="00624044" w:rsidRPr="00C76091" w:rsidRDefault="00624044" w:rsidP="004C2526">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t>Las mayores devoluciones de impuestos realizadas, las mismas que fueron superiores en S/ 5 39</w:t>
      </w:r>
      <w:r w:rsidR="00D46C87">
        <w:rPr>
          <w:rFonts w:ascii="Arial" w:hAnsi="Arial" w:cs="Arial"/>
          <w:kern w:val="24"/>
          <w:sz w:val="22"/>
          <w:szCs w:val="22"/>
        </w:rPr>
        <w:t>1</w:t>
      </w:r>
      <w:r w:rsidRPr="00C76091">
        <w:rPr>
          <w:rFonts w:ascii="Arial" w:hAnsi="Arial" w:cs="Arial"/>
          <w:kern w:val="24"/>
          <w:sz w:val="22"/>
          <w:szCs w:val="22"/>
        </w:rPr>
        <w:t xml:space="preserve"> millones a las del año 2024.</w:t>
      </w:r>
    </w:p>
    <w:p w14:paraId="1D15088D" w14:textId="3A34F5A8" w:rsidR="004C2526" w:rsidRPr="00C76091" w:rsidRDefault="004C2526" w:rsidP="004C2526">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t xml:space="preserve">La caída del tipo de cambio en 5,0%, considerando un promedio anual </w:t>
      </w:r>
      <w:r w:rsidR="00B44460">
        <w:rPr>
          <w:rFonts w:ascii="Arial" w:hAnsi="Arial" w:cs="Arial"/>
          <w:kern w:val="24"/>
          <w:sz w:val="22"/>
          <w:szCs w:val="22"/>
        </w:rPr>
        <w:t>de</w:t>
      </w:r>
      <w:r w:rsidRPr="00C76091">
        <w:rPr>
          <w:rFonts w:ascii="Arial" w:hAnsi="Arial" w:cs="Arial"/>
          <w:kern w:val="24"/>
          <w:sz w:val="22"/>
          <w:szCs w:val="22"/>
        </w:rPr>
        <w:t xml:space="preserve"> S/ 3,57 x US$.</w:t>
      </w:r>
    </w:p>
    <w:p w14:paraId="401D3E78" w14:textId="3A1A4E7B" w:rsidR="008665D3" w:rsidRPr="00C76091" w:rsidRDefault="004C2526" w:rsidP="004C2526">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lastRenderedPageBreak/>
        <w:t>El efecto desfavorable por la aplicación de las siguientes normas:</w:t>
      </w:r>
    </w:p>
    <w:p w14:paraId="3DB7B5B9" w14:textId="650D14D4" w:rsidR="007223BC" w:rsidRPr="00C76091" w:rsidRDefault="007223BC"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hAnsi="Arial" w:cs="Arial"/>
          <w:kern w:val="24"/>
          <w:sz w:val="22"/>
          <w:szCs w:val="22"/>
        </w:rPr>
        <w:t>La Ley N.º 31903 que dispone la libre disposición de fondos de las cuentas de detracciones de las empresas MYPE, lo cual viene afectando los flujos de recaudación por cobranza de la deuda tributaria y los denominados Ingresos Como Recaudación - ICR.</w:t>
      </w:r>
    </w:p>
    <w:p w14:paraId="4BC33E04" w14:textId="77777777" w:rsidR="007223BC" w:rsidRPr="00C76091" w:rsidRDefault="007223BC"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hAnsi="Arial" w:cs="Arial"/>
          <w:kern w:val="24"/>
          <w:sz w:val="22"/>
          <w:szCs w:val="22"/>
        </w:rPr>
        <w:t xml:space="preserve">La Ley N.º 32219 que modificó a la Ley N.º 31556, ampliando la vigencia de la tasa reducida del 8% del Impuesto General a las Ventas (IGV) para las micro y pequeñas empresas dedicadas a las actividades de restaurantes, hoteles, alojamientos turísticos, servicios de catering y concesionarios. </w:t>
      </w:r>
    </w:p>
    <w:p w14:paraId="1C2F080E" w14:textId="77777777" w:rsidR="007223BC" w:rsidRPr="00C76091" w:rsidRDefault="007223BC" w:rsidP="007223BC">
      <w:pPr>
        <w:pStyle w:val="Prrafodelista"/>
        <w:numPr>
          <w:ilvl w:val="1"/>
          <w:numId w:val="21"/>
        </w:numPr>
        <w:spacing w:before="240" w:after="160"/>
        <w:ind w:left="1134"/>
        <w:contextualSpacing w:val="0"/>
        <w:jc w:val="both"/>
        <w:rPr>
          <w:rFonts w:ascii="Arial" w:hAnsi="Arial" w:cs="Arial"/>
          <w:kern w:val="24"/>
          <w:sz w:val="22"/>
          <w:szCs w:val="22"/>
        </w:rPr>
      </w:pPr>
      <w:r w:rsidRPr="00C76091">
        <w:rPr>
          <w:rFonts w:ascii="Arial" w:eastAsia="Arial" w:hAnsi="Arial" w:cs="Arial"/>
          <w:sz w:val="22"/>
          <w:szCs w:val="22"/>
        </w:rPr>
        <w:t>La Ley N.º 31962, que modificó la aplicación de los intereses tanto en las devoluciones como en la actualización de las multas.</w:t>
      </w:r>
      <w:r w:rsidRPr="00C76091">
        <w:rPr>
          <w:rFonts w:ascii="Arial" w:hAnsi="Arial" w:cs="Arial"/>
          <w:kern w:val="24"/>
          <w:sz w:val="22"/>
          <w:szCs w:val="22"/>
        </w:rPr>
        <w:t xml:space="preserve"> </w:t>
      </w:r>
    </w:p>
    <w:p w14:paraId="482D63F2" w14:textId="77777777" w:rsidR="007223BC" w:rsidRPr="00413973" w:rsidRDefault="002F0C2F" w:rsidP="00D17C32">
      <w:pPr>
        <w:spacing w:before="240" w:after="240"/>
        <w:ind w:left="350" w:hanging="284"/>
        <w:rPr>
          <w:rFonts w:ascii="Arial" w:hAnsi="Arial" w:cs="Arial"/>
          <w:b/>
        </w:rPr>
      </w:pPr>
      <w:r w:rsidRPr="00413973">
        <w:rPr>
          <w:rFonts w:ascii="Arial" w:hAnsi="Arial" w:cs="Arial"/>
          <w:b/>
        </w:rPr>
        <w:t>Principales resultados por tributos</w:t>
      </w:r>
      <w:r w:rsidR="00D17C32" w:rsidRPr="00413973">
        <w:rPr>
          <w:rFonts w:ascii="Arial" w:hAnsi="Arial" w:cs="Arial"/>
          <w:b/>
        </w:rPr>
        <w:t xml:space="preserve"> </w:t>
      </w:r>
    </w:p>
    <w:p w14:paraId="1D737955" w14:textId="69A6A7F9" w:rsidR="003531BB" w:rsidRPr="00413973" w:rsidRDefault="00D17C32" w:rsidP="00C76091">
      <w:pPr>
        <w:pStyle w:val="Prrafodelista"/>
        <w:numPr>
          <w:ilvl w:val="0"/>
          <w:numId w:val="11"/>
        </w:numPr>
        <w:spacing w:before="240" w:after="240"/>
        <w:ind w:left="284" w:hanging="218"/>
        <w:contextualSpacing w:val="0"/>
        <w:jc w:val="both"/>
        <w:rPr>
          <w:rFonts w:ascii="Arial" w:hAnsi="Arial" w:cs="Arial"/>
          <w:b/>
          <w:bCs/>
          <w:kern w:val="24"/>
          <w:sz w:val="22"/>
          <w:szCs w:val="22"/>
          <w:lang w:val="es-ES"/>
        </w:rPr>
      </w:pPr>
      <w:r w:rsidRPr="00413973">
        <w:rPr>
          <w:rFonts w:ascii="Arial" w:hAnsi="Arial" w:cs="Arial"/>
          <w:b/>
          <w:bCs/>
          <w:kern w:val="24"/>
          <w:sz w:val="22"/>
          <w:szCs w:val="22"/>
          <w:lang w:val="es-ES"/>
        </w:rPr>
        <w:t xml:space="preserve">Impuesto a la Renta </w:t>
      </w:r>
    </w:p>
    <w:p w14:paraId="7202674D" w14:textId="6F692908" w:rsidR="00D57CD9" w:rsidRPr="00C76091" w:rsidRDefault="00D57CD9" w:rsidP="00C76091">
      <w:pPr>
        <w:spacing w:before="240" w:after="240" w:line="240" w:lineRule="auto"/>
        <w:ind w:left="284"/>
        <w:jc w:val="both"/>
        <w:rPr>
          <w:rFonts w:ascii="Arial" w:hAnsi="Arial" w:cs="Arial"/>
          <w:kern w:val="24"/>
        </w:rPr>
      </w:pPr>
      <w:r w:rsidRPr="00C76091">
        <w:rPr>
          <w:rFonts w:ascii="Arial" w:hAnsi="Arial" w:cs="Arial"/>
          <w:kern w:val="24"/>
        </w:rPr>
        <w:t>En</w:t>
      </w:r>
      <w:r w:rsidR="002F0C2F" w:rsidRPr="00C76091">
        <w:rPr>
          <w:rFonts w:ascii="Arial" w:hAnsi="Arial" w:cs="Arial"/>
          <w:kern w:val="24"/>
        </w:rPr>
        <w:t xml:space="preserve"> </w:t>
      </w:r>
      <w:r w:rsidR="00D53BFF" w:rsidRPr="00C76091">
        <w:rPr>
          <w:rFonts w:ascii="Arial" w:hAnsi="Arial" w:cs="Arial"/>
          <w:kern w:val="24"/>
        </w:rPr>
        <w:t xml:space="preserve">el año </w:t>
      </w:r>
      <w:r w:rsidR="008A2097" w:rsidRPr="00C76091">
        <w:rPr>
          <w:rFonts w:ascii="Arial" w:hAnsi="Arial" w:cs="Arial"/>
          <w:kern w:val="24"/>
        </w:rPr>
        <w:t>2025</w:t>
      </w:r>
      <w:r w:rsidR="00D53BFF" w:rsidRPr="00C76091">
        <w:rPr>
          <w:rFonts w:ascii="Arial" w:hAnsi="Arial" w:cs="Arial"/>
          <w:kern w:val="24"/>
        </w:rPr>
        <w:t xml:space="preserve"> se recaudaron S/ </w:t>
      </w:r>
      <w:r w:rsidR="00545557" w:rsidRPr="00C76091">
        <w:rPr>
          <w:rFonts w:ascii="Arial" w:hAnsi="Arial" w:cs="Arial"/>
          <w:kern w:val="24"/>
        </w:rPr>
        <w:t>79 0</w:t>
      </w:r>
      <w:r w:rsidR="00AA121B" w:rsidRPr="00C76091">
        <w:rPr>
          <w:rFonts w:ascii="Arial" w:hAnsi="Arial" w:cs="Arial"/>
          <w:kern w:val="24"/>
        </w:rPr>
        <w:t>12</w:t>
      </w:r>
      <w:r w:rsidR="00D53BFF" w:rsidRPr="00C76091">
        <w:rPr>
          <w:rFonts w:ascii="Arial" w:hAnsi="Arial" w:cs="Arial"/>
          <w:kern w:val="24"/>
        </w:rPr>
        <w:t xml:space="preserve"> millones por </w:t>
      </w:r>
      <w:r w:rsidR="008665D3" w:rsidRPr="00C76091">
        <w:rPr>
          <w:rFonts w:ascii="Arial" w:hAnsi="Arial" w:cs="Arial"/>
          <w:kern w:val="24"/>
        </w:rPr>
        <w:t>concepto de</w:t>
      </w:r>
      <w:r w:rsidR="00D53BFF" w:rsidRPr="00C76091">
        <w:rPr>
          <w:rFonts w:ascii="Arial" w:hAnsi="Arial" w:cs="Arial"/>
          <w:kern w:val="24"/>
        </w:rPr>
        <w:t xml:space="preserve"> Impuesto a la Renta</w:t>
      </w:r>
      <w:r w:rsidR="00F05C72" w:rsidRPr="00C76091">
        <w:rPr>
          <w:rFonts w:ascii="Arial" w:hAnsi="Arial" w:cs="Arial"/>
          <w:kern w:val="24"/>
        </w:rPr>
        <w:t xml:space="preserve">, </w:t>
      </w:r>
      <w:r w:rsidR="00024955" w:rsidRPr="00C76091">
        <w:rPr>
          <w:rFonts w:ascii="Arial" w:hAnsi="Arial" w:cs="Arial"/>
          <w:kern w:val="24"/>
          <w:lang w:val="es-ES"/>
        </w:rPr>
        <w:t>importe</w:t>
      </w:r>
      <w:r w:rsidR="00024955" w:rsidRPr="00C76091">
        <w:rPr>
          <w:rFonts w:ascii="Arial" w:hAnsi="Arial" w:cs="Arial"/>
          <w:kern w:val="24"/>
        </w:rPr>
        <w:t xml:space="preserve"> que</w:t>
      </w:r>
      <w:r w:rsidR="0017495C" w:rsidRPr="00C76091">
        <w:rPr>
          <w:rFonts w:ascii="Arial" w:hAnsi="Arial" w:cs="Arial"/>
          <w:kern w:val="24"/>
          <w:lang w:val="es-ES"/>
        </w:rPr>
        <w:t xml:space="preserve"> </w:t>
      </w:r>
      <w:r w:rsidRPr="00C76091">
        <w:rPr>
          <w:rFonts w:ascii="Arial" w:hAnsi="Arial" w:cs="Arial"/>
          <w:kern w:val="24"/>
          <w:lang w:val="es-ES"/>
        </w:rPr>
        <w:t>significó un</w:t>
      </w:r>
      <w:r w:rsidR="00180A57" w:rsidRPr="00C76091">
        <w:rPr>
          <w:rFonts w:ascii="Arial" w:hAnsi="Arial" w:cs="Arial"/>
          <w:kern w:val="24"/>
          <w:lang w:val="es-ES"/>
        </w:rPr>
        <w:t xml:space="preserve"> crecimiento </w:t>
      </w:r>
      <w:r w:rsidRPr="00C76091">
        <w:rPr>
          <w:rFonts w:ascii="Arial" w:hAnsi="Arial" w:cs="Arial"/>
          <w:kern w:val="24"/>
          <w:lang w:val="es-ES"/>
        </w:rPr>
        <w:t xml:space="preserve">de </w:t>
      </w:r>
      <w:r w:rsidR="00545557" w:rsidRPr="00C76091">
        <w:rPr>
          <w:rFonts w:ascii="Arial" w:hAnsi="Arial" w:cs="Arial"/>
          <w:kern w:val="24"/>
          <w:lang w:val="es-ES"/>
        </w:rPr>
        <w:t>18</w:t>
      </w:r>
      <w:r w:rsidR="008B7E79" w:rsidRPr="00C76091">
        <w:rPr>
          <w:rFonts w:ascii="Arial" w:hAnsi="Arial" w:cs="Arial"/>
          <w:kern w:val="24"/>
          <w:lang w:val="es-ES"/>
        </w:rPr>
        <w:t>,</w:t>
      </w:r>
      <w:r w:rsidR="00545557" w:rsidRPr="00C76091">
        <w:rPr>
          <w:rFonts w:ascii="Arial" w:hAnsi="Arial" w:cs="Arial"/>
          <w:kern w:val="24"/>
          <w:lang w:val="es-ES"/>
        </w:rPr>
        <w:t>4</w:t>
      </w:r>
      <w:r w:rsidRPr="00C76091">
        <w:rPr>
          <w:rFonts w:ascii="Arial" w:hAnsi="Arial" w:cs="Arial"/>
          <w:kern w:val="24"/>
          <w:lang w:val="es-ES"/>
        </w:rPr>
        <w:t>%</w:t>
      </w:r>
      <w:r w:rsidR="00F05C72" w:rsidRPr="00C76091">
        <w:rPr>
          <w:rFonts w:ascii="Arial" w:hAnsi="Arial" w:cs="Arial"/>
          <w:kern w:val="24"/>
          <w:lang w:val="es-ES"/>
        </w:rPr>
        <w:t xml:space="preserve"> y </w:t>
      </w:r>
      <w:r w:rsidRPr="00C76091">
        <w:rPr>
          <w:rFonts w:ascii="Arial" w:hAnsi="Arial" w:cs="Arial"/>
          <w:kern w:val="24"/>
          <w:lang w:val="es-ES"/>
        </w:rPr>
        <w:t xml:space="preserve">S/ </w:t>
      </w:r>
      <w:r w:rsidR="00545557" w:rsidRPr="00C76091">
        <w:rPr>
          <w:rFonts w:ascii="Arial" w:hAnsi="Arial" w:cs="Arial"/>
          <w:kern w:val="24"/>
          <w:lang w:val="es-ES"/>
        </w:rPr>
        <w:t>13</w:t>
      </w:r>
      <w:r w:rsidR="00180A57" w:rsidRPr="00C76091">
        <w:rPr>
          <w:rFonts w:ascii="Arial" w:hAnsi="Arial" w:cs="Arial"/>
          <w:kern w:val="24"/>
          <w:lang w:val="es-ES"/>
        </w:rPr>
        <w:t xml:space="preserve"> </w:t>
      </w:r>
      <w:r w:rsidR="00545557" w:rsidRPr="00C76091">
        <w:rPr>
          <w:rFonts w:ascii="Arial" w:hAnsi="Arial" w:cs="Arial"/>
          <w:kern w:val="24"/>
          <w:lang w:val="es-ES"/>
        </w:rPr>
        <w:t>2</w:t>
      </w:r>
      <w:r w:rsidR="00AA121B" w:rsidRPr="00C76091">
        <w:rPr>
          <w:rFonts w:ascii="Arial" w:hAnsi="Arial" w:cs="Arial"/>
          <w:kern w:val="24"/>
          <w:lang w:val="es-ES"/>
        </w:rPr>
        <w:t>8</w:t>
      </w:r>
      <w:r w:rsidR="00F76EE4">
        <w:rPr>
          <w:rFonts w:ascii="Arial" w:hAnsi="Arial" w:cs="Arial"/>
          <w:kern w:val="24"/>
          <w:lang w:val="es-ES"/>
        </w:rPr>
        <w:t>2</w:t>
      </w:r>
      <w:r w:rsidR="00A05668" w:rsidRPr="00C76091">
        <w:rPr>
          <w:rFonts w:ascii="Arial" w:hAnsi="Arial" w:cs="Arial"/>
          <w:kern w:val="24"/>
          <w:lang w:val="es-ES"/>
        </w:rPr>
        <w:t xml:space="preserve"> </w:t>
      </w:r>
      <w:r w:rsidRPr="00C76091">
        <w:rPr>
          <w:rFonts w:ascii="Arial" w:hAnsi="Arial" w:cs="Arial"/>
          <w:kern w:val="24"/>
          <w:lang w:val="es-ES"/>
        </w:rPr>
        <w:t xml:space="preserve">millones </w:t>
      </w:r>
      <w:r w:rsidR="00024955" w:rsidRPr="00C76091">
        <w:rPr>
          <w:rFonts w:ascii="Arial" w:hAnsi="Arial" w:cs="Arial"/>
          <w:kern w:val="24"/>
          <w:lang w:val="es-ES"/>
        </w:rPr>
        <w:t xml:space="preserve">por </w:t>
      </w:r>
      <w:r w:rsidR="00180A57" w:rsidRPr="00C76091">
        <w:rPr>
          <w:rFonts w:ascii="Arial" w:hAnsi="Arial" w:cs="Arial"/>
          <w:kern w:val="24"/>
          <w:lang w:val="es-ES"/>
        </w:rPr>
        <w:t>encima</w:t>
      </w:r>
      <w:r w:rsidR="00024955" w:rsidRPr="00C76091">
        <w:rPr>
          <w:rFonts w:ascii="Arial" w:hAnsi="Arial" w:cs="Arial"/>
          <w:kern w:val="24"/>
          <w:lang w:val="es-ES"/>
        </w:rPr>
        <w:t xml:space="preserve"> del monto recaudado en e</w:t>
      </w:r>
      <w:r w:rsidRPr="00C76091">
        <w:rPr>
          <w:rFonts w:ascii="Arial" w:hAnsi="Arial" w:cs="Arial"/>
          <w:kern w:val="24"/>
          <w:lang w:val="es-ES"/>
        </w:rPr>
        <w:t xml:space="preserve">l año </w:t>
      </w:r>
      <w:r w:rsidR="00FF25B8" w:rsidRPr="00C76091">
        <w:rPr>
          <w:rFonts w:ascii="Arial" w:hAnsi="Arial" w:cs="Arial"/>
          <w:kern w:val="24"/>
          <w:lang w:val="es-ES"/>
        </w:rPr>
        <w:t>2024</w:t>
      </w:r>
      <w:r w:rsidRPr="00C76091">
        <w:rPr>
          <w:rFonts w:ascii="Arial" w:hAnsi="Arial" w:cs="Arial"/>
          <w:kern w:val="24"/>
          <w:lang w:val="es-ES"/>
        </w:rPr>
        <w:t>.</w:t>
      </w:r>
    </w:p>
    <w:p w14:paraId="1F621B4D" w14:textId="0F1C3AB1" w:rsidR="00432173" w:rsidRPr="00C76091" w:rsidRDefault="00432173" w:rsidP="00135471">
      <w:pPr>
        <w:spacing w:before="240" w:after="240" w:line="240" w:lineRule="auto"/>
        <w:ind w:left="284"/>
        <w:jc w:val="both"/>
        <w:rPr>
          <w:rFonts w:ascii="Arial" w:hAnsi="Arial" w:cs="Arial"/>
          <w:kern w:val="24"/>
          <w:lang w:val="es-ES"/>
        </w:rPr>
      </w:pPr>
      <w:r w:rsidRPr="00C76091">
        <w:rPr>
          <w:rFonts w:ascii="Arial" w:hAnsi="Arial" w:cs="Arial"/>
          <w:kern w:val="24"/>
          <w:lang w:val="es-ES"/>
        </w:rPr>
        <w:t>El incremento experimentado por la recaudación de este impuesto:</w:t>
      </w:r>
    </w:p>
    <w:p w14:paraId="0ED8E242" w14:textId="23A07278" w:rsidR="00D17C32" w:rsidRPr="00C76091" w:rsidRDefault="00432173" w:rsidP="00545557">
      <w:pPr>
        <w:pStyle w:val="Prrafodelista"/>
        <w:numPr>
          <w:ilvl w:val="1"/>
          <w:numId w:val="13"/>
        </w:numPr>
        <w:spacing w:before="240" w:after="240"/>
        <w:ind w:left="709"/>
        <w:contextualSpacing w:val="0"/>
        <w:jc w:val="both"/>
        <w:rPr>
          <w:rFonts w:ascii="Arial" w:hAnsi="Arial" w:cs="Arial"/>
          <w:kern w:val="24"/>
          <w:sz w:val="22"/>
          <w:szCs w:val="22"/>
          <w:lang w:val="es-ES"/>
        </w:rPr>
      </w:pPr>
      <w:r w:rsidRPr="00C76091">
        <w:rPr>
          <w:rFonts w:ascii="Arial" w:hAnsi="Arial" w:cs="Arial"/>
          <w:kern w:val="24"/>
          <w:sz w:val="22"/>
          <w:szCs w:val="22"/>
          <w:lang w:val="es-ES"/>
        </w:rPr>
        <w:t>Se debe a</w:t>
      </w:r>
      <w:r w:rsidR="00917B3C" w:rsidRPr="00C76091">
        <w:rPr>
          <w:rFonts w:ascii="Arial" w:hAnsi="Arial" w:cs="Arial"/>
          <w:kern w:val="24"/>
          <w:sz w:val="22"/>
          <w:szCs w:val="22"/>
          <w:lang w:val="es-ES"/>
        </w:rPr>
        <w:t xml:space="preserve"> que</w:t>
      </w:r>
      <w:r w:rsidRPr="00C76091">
        <w:rPr>
          <w:rFonts w:ascii="Arial" w:hAnsi="Arial" w:cs="Arial"/>
          <w:kern w:val="24"/>
          <w:sz w:val="22"/>
          <w:szCs w:val="22"/>
          <w:lang w:val="es-ES"/>
        </w:rPr>
        <w:t xml:space="preserve"> todas las categorías de renta </w:t>
      </w:r>
      <w:r w:rsidRPr="00C76091">
        <w:rPr>
          <w:rFonts w:ascii="Arial" w:hAnsi="Arial" w:cs="Arial"/>
          <w:kern w:val="24"/>
          <w:sz w:val="22"/>
          <w:szCs w:val="22"/>
        </w:rPr>
        <w:t>incrementaron</w:t>
      </w:r>
      <w:r w:rsidRPr="00C76091">
        <w:rPr>
          <w:rFonts w:ascii="Arial" w:hAnsi="Arial" w:cs="Arial"/>
          <w:kern w:val="24"/>
          <w:sz w:val="22"/>
          <w:szCs w:val="22"/>
          <w:lang w:val="es-ES"/>
        </w:rPr>
        <w:t xml:space="preserve"> sus aportes, </w:t>
      </w:r>
      <w:r w:rsidR="00F31A5B" w:rsidRPr="00C76091">
        <w:rPr>
          <w:rFonts w:ascii="Arial" w:eastAsia="Calibri" w:hAnsi="Arial" w:cs="Arial"/>
          <w:kern w:val="24"/>
          <w:sz w:val="22"/>
          <w:szCs w:val="22"/>
          <w:lang w:eastAsia="en-US"/>
        </w:rPr>
        <w:t>destacando</w:t>
      </w:r>
      <w:r w:rsidRPr="00C76091">
        <w:rPr>
          <w:rFonts w:ascii="Arial" w:hAnsi="Arial" w:cs="Arial"/>
          <w:kern w:val="24"/>
          <w:sz w:val="22"/>
          <w:szCs w:val="22"/>
          <w:lang w:val="es-ES"/>
        </w:rPr>
        <w:t xml:space="preserve"> los incrementos en </w:t>
      </w:r>
      <w:r w:rsidR="0061467A" w:rsidRPr="00C76091">
        <w:rPr>
          <w:rFonts w:ascii="Arial" w:hAnsi="Arial" w:cs="Arial"/>
          <w:kern w:val="24"/>
          <w:sz w:val="22"/>
          <w:szCs w:val="22"/>
          <w:lang w:val="es-ES"/>
        </w:rPr>
        <w:t xml:space="preserve">pagos a cuenta de Tercera </w:t>
      </w:r>
      <w:r w:rsidRPr="00C76091">
        <w:rPr>
          <w:rFonts w:ascii="Arial" w:hAnsi="Arial" w:cs="Arial"/>
          <w:kern w:val="24"/>
          <w:sz w:val="22"/>
          <w:szCs w:val="22"/>
          <w:lang w:val="es-ES"/>
        </w:rPr>
        <w:t>C</w:t>
      </w:r>
      <w:r w:rsidR="0061467A" w:rsidRPr="00C76091">
        <w:rPr>
          <w:rFonts w:ascii="Arial" w:hAnsi="Arial" w:cs="Arial"/>
          <w:kern w:val="24"/>
          <w:sz w:val="22"/>
          <w:szCs w:val="22"/>
          <w:lang w:val="es-ES"/>
        </w:rPr>
        <w:t>ategoría</w:t>
      </w:r>
      <w:r w:rsidR="00545557" w:rsidRPr="00C76091">
        <w:rPr>
          <w:rFonts w:ascii="Arial" w:hAnsi="Arial" w:cs="Arial"/>
          <w:kern w:val="24"/>
          <w:sz w:val="22"/>
          <w:szCs w:val="22"/>
          <w:lang w:val="es-ES"/>
        </w:rPr>
        <w:t xml:space="preserve"> y Regularización</w:t>
      </w:r>
      <w:r w:rsidR="0061467A" w:rsidRPr="00C76091">
        <w:rPr>
          <w:rFonts w:ascii="Arial" w:hAnsi="Arial" w:cs="Arial"/>
          <w:kern w:val="24"/>
          <w:sz w:val="22"/>
          <w:szCs w:val="22"/>
          <w:lang w:val="es-ES"/>
        </w:rPr>
        <w:t xml:space="preserve">, </w:t>
      </w:r>
      <w:r w:rsidRPr="00C76091">
        <w:rPr>
          <w:rFonts w:ascii="Arial" w:hAnsi="Arial" w:cs="Arial"/>
          <w:kern w:val="24"/>
          <w:sz w:val="22"/>
          <w:szCs w:val="22"/>
          <w:lang w:val="es-ES"/>
        </w:rPr>
        <w:t xml:space="preserve">el impuesto aplicado a las rentas de los sujetos </w:t>
      </w:r>
      <w:r w:rsidR="00917B3C" w:rsidRPr="00C76091">
        <w:rPr>
          <w:rFonts w:ascii="Arial" w:hAnsi="Arial" w:cs="Arial"/>
          <w:kern w:val="24"/>
          <w:sz w:val="22"/>
          <w:szCs w:val="22"/>
          <w:lang w:val="es-ES"/>
        </w:rPr>
        <w:t>N</w:t>
      </w:r>
      <w:r w:rsidR="00180A57" w:rsidRPr="00C76091">
        <w:rPr>
          <w:rFonts w:ascii="Arial" w:hAnsi="Arial" w:cs="Arial"/>
          <w:kern w:val="24"/>
          <w:sz w:val="22"/>
          <w:szCs w:val="22"/>
          <w:lang w:val="es-ES"/>
        </w:rPr>
        <w:t xml:space="preserve">o </w:t>
      </w:r>
      <w:r w:rsidR="00917B3C" w:rsidRPr="00C76091">
        <w:rPr>
          <w:rFonts w:ascii="Arial" w:hAnsi="Arial" w:cs="Arial"/>
          <w:kern w:val="24"/>
          <w:sz w:val="22"/>
          <w:szCs w:val="22"/>
          <w:lang w:val="es-ES"/>
        </w:rPr>
        <w:t>D</w:t>
      </w:r>
      <w:r w:rsidR="00180A57" w:rsidRPr="00C76091">
        <w:rPr>
          <w:rFonts w:ascii="Arial" w:hAnsi="Arial" w:cs="Arial"/>
          <w:kern w:val="24"/>
          <w:sz w:val="22"/>
          <w:szCs w:val="22"/>
          <w:lang w:val="es-ES"/>
        </w:rPr>
        <w:t xml:space="preserve">omiciliados y </w:t>
      </w:r>
      <w:r w:rsidRPr="00C76091">
        <w:rPr>
          <w:rFonts w:ascii="Arial" w:hAnsi="Arial" w:cs="Arial"/>
          <w:kern w:val="24"/>
          <w:sz w:val="22"/>
          <w:szCs w:val="22"/>
          <w:lang w:val="es-ES"/>
        </w:rPr>
        <w:t>l</w:t>
      </w:r>
      <w:r w:rsidR="00BF3BEB" w:rsidRPr="00C76091">
        <w:rPr>
          <w:rFonts w:ascii="Arial" w:hAnsi="Arial" w:cs="Arial"/>
          <w:kern w:val="24"/>
          <w:sz w:val="22"/>
          <w:szCs w:val="22"/>
          <w:lang w:val="es-ES"/>
        </w:rPr>
        <w:t>os pagos correspondientes a la</w:t>
      </w:r>
      <w:r w:rsidR="00B04FB4" w:rsidRPr="00C76091">
        <w:rPr>
          <w:rFonts w:ascii="Arial" w:hAnsi="Arial" w:cs="Arial"/>
          <w:kern w:val="24"/>
          <w:sz w:val="22"/>
          <w:szCs w:val="22"/>
          <w:lang w:val="es-ES"/>
        </w:rPr>
        <w:t xml:space="preserve"> </w:t>
      </w:r>
      <w:r w:rsidRPr="00C76091">
        <w:rPr>
          <w:rFonts w:ascii="Arial" w:hAnsi="Arial" w:cs="Arial"/>
          <w:kern w:val="24"/>
          <w:sz w:val="22"/>
          <w:szCs w:val="22"/>
          <w:lang w:val="es-ES"/>
        </w:rPr>
        <w:t>Q</w:t>
      </w:r>
      <w:r w:rsidR="00180A57" w:rsidRPr="00C76091">
        <w:rPr>
          <w:rFonts w:ascii="Arial" w:hAnsi="Arial" w:cs="Arial"/>
          <w:kern w:val="24"/>
          <w:sz w:val="22"/>
          <w:szCs w:val="22"/>
          <w:lang w:val="es-ES"/>
        </w:rPr>
        <w:t xml:space="preserve">uinta </w:t>
      </w:r>
      <w:r w:rsidRPr="00C76091">
        <w:rPr>
          <w:rFonts w:ascii="Arial" w:hAnsi="Arial" w:cs="Arial"/>
          <w:kern w:val="24"/>
          <w:sz w:val="22"/>
          <w:szCs w:val="22"/>
          <w:lang w:val="es-ES"/>
        </w:rPr>
        <w:t>C</w:t>
      </w:r>
      <w:r w:rsidR="00180A57" w:rsidRPr="00C76091">
        <w:rPr>
          <w:rFonts w:ascii="Arial" w:hAnsi="Arial" w:cs="Arial"/>
          <w:kern w:val="24"/>
          <w:sz w:val="22"/>
          <w:szCs w:val="22"/>
          <w:lang w:val="es-ES"/>
        </w:rPr>
        <w:t xml:space="preserve">ategoría. </w:t>
      </w:r>
    </w:p>
    <w:p w14:paraId="38468A96" w14:textId="49044BC7" w:rsidR="00D57CD9" w:rsidRPr="00C76091" w:rsidRDefault="00937B34" w:rsidP="00D53BFF">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t>E</w:t>
      </w:r>
      <w:r w:rsidR="00161A39" w:rsidRPr="00C76091">
        <w:rPr>
          <w:rFonts w:ascii="Arial" w:hAnsi="Arial" w:cs="Arial"/>
          <w:kern w:val="24"/>
          <w:sz w:val="22"/>
          <w:szCs w:val="22"/>
        </w:rPr>
        <w:t xml:space="preserve">n el año </w:t>
      </w:r>
      <w:r w:rsidR="008A2097" w:rsidRPr="00C76091">
        <w:rPr>
          <w:rFonts w:ascii="Arial" w:hAnsi="Arial" w:cs="Arial"/>
          <w:kern w:val="24"/>
          <w:sz w:val="22"/>
          <w:szCs w:val="22"/>
        </w:rPr>
        <w:t>2025</w:t>
      </w:r>
      <w:r w:rsidR="00D57CD9" w:rsidRPr="00C76091">
        <w:rPr>
          <w:rFonts w:ascii="Arial" w:hAnsi="Arial" w:cs="Arial"/>
          <w:kern w:val="24"/>
          <w:sz w:val="22"/>
          <w:szCs w:val="22"/>
        </w:rPr>
        <w:t xml:space="preserve"> </w:t>
      </w:r>
      <w:r w:rsidR="00B04FB4" w:rsidRPr="00C76091">
        <w:rPr>
          <w:rFonts w:ascii="Arial" w:hAnsi="Arial" w:cs="Arial"/>
          <w:kern w:val="24"/>
          <w:sz w:val="22"/>
          <w:szCs w:val="22"/>
        </w:rPr>
        <w:t xml:space="preserve">lo recaudado </w:t>
      </w:r>
      <w:r w:rsidR="00D57CD9" w:rsidRPr="00C76091">
        <w:rPr>
          <w:rFonts w:ascii="Arial" w:hAnsi="Arial" w:cs="Arial"/>
          <w:kern w:val="24"/>
          <w:sz w:val="22"/>
          <w:szCs w:val="22"/>
        </w:rPr>
        <w:t>por concepto de regularización</w:t>
      </w:r>
      <w:r w:rsidR="002F0C2F" w:rsidRPr="00C76091">
        <w:rPr>
          <w:rFonts w:ascii="Arial" w:hAnsi="Arial" w:cs="Arial"/>
          <w:kern w:val="24"/>
          <w:sz w:val="22"/>
          <w:szCs w:val="22"/>
        </w:rPr>
        <w:t xml:space="preserve"> </w:t>
      </w:r>
      <w:r w:rsidR="00AE5F09" w:rsidRPr="00C76091">
        <w:rPr>
          <w:rFonts w:ascii="Arial" w:hAnsi="Arial" w:cs="Arial"/>
          <w:kern w:val="24"/>
          <w:sz w:val="22"/>
          <w:szCs w:val="22"/>
        </w:rPr>
        <w:t>del Impuesto a la Renta</w:t>
      </w:r>
      <w:r w:rsidR="00B04FB4" w:rsidRPr="00C76091">
        <w:rPr>
          <w:rFonts w:ascii="Arial" w:hAnsi="Arial" w:cs="Arial"/>
          <w:kern w:val="24"/>
          <w:sz w:val="22"/>
          <w:szCs w:val="22"/>
        </w:rPr>
        <w:t xml:space="preserve"> alcanzó los S/ </w:t>
      </w:r>
      <w:r w:rsidRPr="00C76091">
        <w:rPr>
          <w:rFonts w:ascii="Arial" w:hAnsi="Arial" w:cs="Arial"/>
          <w:kern w:val="24"/>
          <w:sz w:val="22"/>
          <w:szCs w:val="22"/>
        </w:rPr>
        <w:t>13 429</w:t>
      </w:r>
      <w:r w:rsidR="00B04FB4" w:rsidRPr="00C76091">
        <w:rPr>
          <w:rFonts w:ascii="Arial" w:hAnsi="Arial" w:cs="Arial"/>
          <w:kern w:val="24"/>
          <w:sz w:val="22"/>
          <w:szCs w:val="22"/>
        </w:rPr>
        <w:t xml:space="preserve"> millones</w:t>
      </w:r>
      <w:r w:rsidR="00490D19" w:rsidRPr="00C76091">
        <w:rPr>
          <w:rFonts w:ascii="Arial" w:hAnsi="Arial" w:cs="Arial"/>
          <w:kern w:val="24"/>
          <w:sz w:val="22"/>
          <w:szCs w:val="22"/>
        </w:rPr>
        <w:t>. Dicho importe representa un</w:t>
      </w:r>
      <w:r w:rsidR="00382A48" w:rsidRPr="00C76091">
        <w:rPr>
          <w:rFonts w:ascii="Arial" w:hAnsi="Arial" w:cs="Arial"/>
          <w:kern w:val="24"/>
          <w:sz w:val="22"/>
          <w:szCs w:val="22"/>
        </w:rPr>
        <w:t xml:space="preserve"> </w:t>
      </w:r>
      <w:r w:rsidRPr="00C76091">
        <w:rPr>
          <w:rFonts w:ascii="Arial" w:hAnsi="Arial" w:cs="Arial"/>
          <w:kern w:val="24"/>
          <w:sz w:val="22"/>
          <w:szCs w:val="22"/>
        </w:rPr>
        <w:t>incremento</w:t>
      </w:r>
      <w:r w:rsidR="00382A48" w:rsidRPr="00C76091">
        <w:rPr>
          <w:rFonts w:ascii="Arial" w:hAnsi="Arial" w:cs="Arial"/>
          <w:kern w:val="24"/>
          <w:sz w:val="22"/>
          <w:szCs w:val="22"/>
        </w:rPr>
        <w:t xml:space="preserve"> </w:t>
      </w:r>
      <w:r w:rsidR="00490D19" w:rsidRPr="00C76091">
        <w:rPr>
          <w:rFonts w:ascii="Arial" w:hAnsi="Arial" w:cs="Arial"/>
          <w:kern w:val="24"/>
          <w:sz w:val="22"/>
          <w:szCs w:val="22"/>
        </w:rPr>
        <w:t xml:space="preserve">de </w:t>
      </w:r>
      <w:r w:rsidRPr="00C76091">
        <w:rPr>
          <w:rFonts w:ascii="Arial" w:hAnsi="Arial" w:cs="Arial"/>
          <w:kern w:val="24"/>
          <w:sz w:val="22"/>
          <w:szCs w:val="22"/>
        </w:rPr>
        <w:t>51,6</w:t>
      </w:r>
      <w:r w:rsidR="00490D19" w:rsidRPr="00C76091">
        <w:rPr>
          <w:rFonts w:ascii="Arial" w:hAnsi="Arial" w:cs="Arial"/>
          <w:kern w:val="24"/>
          <w:sz w:val="22"/>
          <w:szCs w:val="22"/>
        </w:rPr>
        <w:t xml:space="preserve">% y </w:t>
      </w:r>
      <w:r w:rsidR="00D57CD9" w:rsidRPr="00C76091">
        <w:rPr>
          <w:rFonts w:ascii="Arial" w:hAnsi="Arial" w:cs="Arial"/>
          <w:kern w:val="24"/>
          <w:sz w:val="22"/>
          <w:szCs w:val="22"/>
        </w:rPr>
        <w:t xml:space="preserve">S/ </w:t>
      </w:r>
      <w:r w:rsidRPr="00C76091">
        <w:rPr>
          <w:rFonts w:ascii="Arial" w:hAnsi="Arial" w:cs="Arial"/>
          <w:kern w:val="24"/>
          <w:sz w:val="22"/>
          <w:szCs w:val="22"/>
        </w:rPr>
        <w:t>4 707</w:t>
      </w:r>
      <w:r w:rsidR="00D57CD9" w:rsidRPr="00C76091">
        <w:rPr>
          <w:rFonts w:ascii="Arial" w:hAnsi="Arial" w:cs="Arial"/>
          <w:kern w:val="24"/>
          <w:sz w:val="22"/>
          <w:szCs w:val="22"/>
        </w:rPr>
        <w:t xml:space="preserve"> millones </w:t>
      </w:r>
      <w:r w:rsidR="008665D3" w:rsidRPr="00C76091">
        <w:rPr>
          <w:rFonts w:ascii="Arial" w:hAnsi="Arial" w:cs="Arial"/>
          <w:kern w:val="24"/>
          <w:sz w:val="22"/>
          <w:szCs w:val="22"/>
        </w:rPr>
        <w:t xml:space="preserve">de </w:t>
      </w:r>
      <w:r w:rsidRPr="00C76091">
        <w:rPr>
          <w:rFonts w:ascii="Arial" w:hAnsi="Arial" w:cs="Arial"/>
          <w:kern w:val="24"/>
          <w:sz w:val="22"/>
          <w:szCs w:val="22"/>
        </w:rPr>
        <w:t xml:space="preserve">mayor </w:t>
      </w:r>
      <w:r w:rsidR="008665D3" w:rsidRPr="00C76091">
        <w:rPr>
          <w:rFonts w:ascii="Arial" w:hAnsi="Arial" w:cs="Arial"/>
          <w:kern w:val="24"/>
          <w:sz w:val="22"/>
          <w:szCs w:val="22"/>
        </w:rPr>
        <w:t xml:space="preserve">recaudación, respecto de lo obtenido </w:t>
      </w:r>
      <w:r w:rsidR="00490D19" w:rsidRPr="00C76091">
        <w:rPr>
          <w:rFonts w:ascii="Arial" w:hAnsi="Arial" w:cs="Arial"/>
          <w:kern w:val="24"/>
          <w:sz w:val="22"/>
          <w:szCs w:val="22"/>
        </w:rPr>
        <w:t xml:space="preserve">durante el año </w:t>
      </w:r>
      <w:r w:rsidR="00FF25B8" w:rsidRPr="00C76091">
        <w:rPr>
          <w:rFonts w:ascii="Arial" w:hAnsi="Arial" w:cs="Arial"/>
          <w:kern w:val="24"/>
          <w:sz w:val="22"/>
          <w:szCs w:val="22"/>
        </w:rPr>
        <w:t>2024</w:t>
      </w:r>
      <w:r w:rsidR="00490D19" w:rsidRPr="00C76091">
        <w:rPr>
          <w:rFonts w:ascii="Arial" w:hAnsi="Arial" w:cs="Arial"/>
          <w:kern w:val="24"/>
          <w:sz w:val="22"/>
          <w:szCs w:val="22"/>
        </w:rPr>
        <w:t>.</w:t>
      </w:r>
      <w:r w:rsidR="00D57CD9" w:rsidRPr="00C76091">
        <w:rPr>
          <w:rFonts w:ascii="Arial" w:hAnsi="Arial" w:cs="Arial"/>
          <w:kern w:val="24"/>
          <w:sz w:val="22"/>
          <w:szCs w:val="22"/>
        </w:rPr>
        <w:t xml:space="preserve"> </w:t>
      </w:r>
    </w:p>
    <w:p w14:paraId="02F995D2" w14:textId="3A29C748" w:rsidR="00665BF8" w:rsidRDefault="00D57CD9" w:rsidP="00937B34">
      <w:pPr>
        <w:pStyle w:val="Prrafodelista"/>
        <w:numPr>
          <w:ilvl w:val="1"/>
          <w:numId w:val="13"/>
        </w:numPr>
        <w:spacing w:before="240" w:after="240"/>
        <w:ind w:left="709"/>
        <w:contextualSpacing w:val="0"/>
        <w:jc w:val="both"/>
        <w:rPr>
          <w:rFonts w:ascii="Arial" w:hAnsi="Arial" w:cs="Arial"/>
          <w:kern w:val="24"/>
          <w:sz w:val="22"/>
          <w:szCs w:val="22"/>
        </w:rPr>
      </w:pPr>
      <w:r w:rsidRPr="00C76091">
        <w:rPr>
          <w:rFonts w:ascii="Arial" w:hAnsi="Arial" w:cs="Arial"/>
          <w:kern w:val="24"/>
          <w:sz w:val="22"/>
          <w:szCs w:val="22"/>
        </w:rPr>
        <w:t>En</w:t>
      </w:r>
      <w:r w:rsidR="00F2628F" w:rsidRPr="00C76091">
        <w:rPr>
          <w:rFonts w:ascii="Arial" w:hAnsi="Arial" w:cs="Arial"/>
          <w:kern w:val="24"/>
          <w:sz w:val="22"/>
          <w:szCs w:val="22"/>
        </w:rPr>
        <w:t xml:space="preserve"> lo que respecta a los pagos a cuenta del Régimen General (RG) y el Régimen M</w:t>
      </w:r>
      <w:r w:rsidR="00B75554">
        <w:rPr>
          <w:rFonts w:ascii="Arial" w:hAnsi="Arial" w:cs="Arial"/>
          <w:kern w:val="24"/>
          <w:sz w:val="22"/>
          <w:szCs w:val="22"/>
        </w:rPr>
        <w:t>YPE</w:t>
      </w:r>
      <w:r w:rsidR="00F2628F" w:rsidRPr="00C76091">
        <w:rPr>
          <w:rFonts w:ascii="Arial" w:hAnsi="Arial" w:cs="Arial"/>
          <w:kern w:val="24"/>
          <w:sz w:val="22"/>
          <w:szCs w:val="22"/>
        </w:rPr>
        <w:t xml:space="preserve"> Tributario</w:t>
      </w:r>
      <w:r w:rsidR="00777D9A" w:rsidRPr="00C76091">
        <w:rPr>
          <w:rFonts w:ascii="Arial" w:hAnsi="Arial" w:cs="Arial"/>
          <w:kern w:val="24"/>
          <w:sz w:val="22"/>
          <w:szCs w:val="22"/>
        </w:rPr>
        <w:t xml:space="preserve"> (RMT)</w:t>
      </w:r>
      <w:r w:rsidR="00F2628F" w:rsidRPr="00C76091">
        <w:rPr>
          <w:rFonts w:ascii="Arial" w:hAnsi="Arial" w:cs="Arial"/>
          <w:kern w:val="24"/>
          <w:sz w:val="22"/>
          <w:szCs w:val="22"/>
        </w:rPr>
        <w:t>, en el año</w:t>
      </w:r>
      <w:r w:rsidRPr="00C76091">
        <w:rPr>
          <w:rFonts w:ascii="Arial" w:hAnsi="Arial" w:cs="Arial"/>
          <w:kern w:val="24"/>
          <w:sz w:val="22"/>
          <w:szCs w:val="22"/>
        </w:rPr>
        <w:t xml:space="preserve"> </w:t>
      </w:r>
      <w:r w:rsidR="008A2097" w:rsidRPr="00C76091">
        <w:rPr>
          <w:rFonts w:ascii="Arial" w:hAnsi="Arial" w:cs="Arial"/>
          <w:kern w:val="24"/>
          <w:sz w:val="22"/>
          <w:szCs w:val="22"/>
        </w:rPr>
        <w:t>2025</w:t>
      </w:r>
      <w:r w:rsidRPr="00C76091">
        <w:rPr>
          <w:rFonts w:ascii="Arial" w:hAnsi="Arial" w:cs="Arial"/>
          <w:kern w:val="24"/>
          <w:sz w:val="22"/>
          <w:szCs w:val="22"/>
        </w:rPr>
        <w:t xml:space="preserve"> se recaudaron S/ </w:t>
      </w:r>
      <w:r w:rsidR="008B2D6B" w:rsidRPr="00C76091">
        <w:rPr>
          <w:rFonts w:ascii="Arial" w:hAnsi="Arial" w:cs="Arial"/>
          <w:kern w:val="24"/>
          <w:sz w:val="22"/>
          <w:szCs w:val="22"/>
        </w:rPr>
        <w:t>3</w:t>
      </w:r>
      <w:r w:rsidR="00937B34" w:rsidRPr="00C76091">
        <w:rPr>
          <w:rFonts w:ascii="Arial" w:hAnsi="Arial" w:cs="Arial"/>
          <w:kern w:val="24"/>
          <w:sz w:val="22"/>
          <w:szCs w:val="22"/>
        </w:rPr>
        <w:t>7</w:t>
      </w:r>
      <w:r w:rsidR="005F3DD5" w:rsidRPr="00C76091">
        <w:rPr>
          <w:rFonts w:ascii="Arial" w:hAnsi="Arial" w:cs="Arial"/>
          <w:kern w:val="24"/>
          <w:sz w:val="22"/>
          <w:szCs w:val="22"/>
        </w:rPr>
        <w:t xml:space="preserve"> </w:t>
      </w:r>
      <w:r w:rsidR="00937B34" w:rsidRPr="00C76091">
        <w:rPr>
          <w:rFonts w:ascii="Arial" w:hAnsi="Arial" w:cs="Arial"/>
          <w:kern w:val="24"/>
          <w:sz w:val="22"/>
          <w:szCs w:val="22"/>
        </w:rPr>
        <w:t>1</w:t>
      </w:r>
      <w:r w:rsidR="00AA121B" w:rsidRPr="00C76091">
        <w:rPr>
          <w:rFonts w:ascii="Arial" w:hAnsi="Arial" w:cs="Arial"/>
          <w:kern w:val="24"/>
          <w:sz w:val="22"/>
          <w:szCs w:val="22"/>
        </w:rPr>
        <w:t>29</w:t>
      </w:r>
      <w:r w:rsidR="00F31A5B" w:rsidRPr="00C76091">
        <w:rPr>
          <w:rFonts w:ascii="Arial" w:hAnsi="Arial" w:cs="Arial"/>
          <w:kern w:val="24"/>
          <w:sz w:val="22"/>
          <w:szCs w:val="22"/>
        </w:rPr>
        <w:t xml:space="preserve"> </w:t>
      </w:r>
      <w:r w:rsidR="00F2628F" w:rsidRPr="00C76091">
        <w:rPr>
          <w:rFonts w:ascii="Arial" w:hAnsi="Arial" w:cs="Arial"/>
          <w:kern w:val="24"/>
          <w:sz w:val="22"/>
          <w:szCs w:val="22"/>
        </w:rPr>
        <w:t>millones</w:t>
      </w:r>
      <w:r w:rsidR="00656188">
        <w:rPr>
          <w:rFonts w:ascii="Arial" w:hAnsi="Arial" w:cs="Arial"/>
          <w:kern w:val="24"/>
          <w:sz w:val="22"/>
          <w:szCs w:val="22"/>
        </w:rPr>
        <w:t>.</w:t>
      </w:r>
      <w:r w:rsidR="00937B34" w:rsidRPr="00C76091">
        <w:rPr>
          <w:rFonts w:ascii="Arial" w:hAnsi="Arial" w:cs="Arial"/>
          <w:kern w:val="24"/>
          <w:sz w:val="22"/>
          <w:szCs w:val="22"/>
        </w:rPr>
        <w:t xml:space="preserve"> </w:t>
      </w:r>
    </w:p>
    <w:p w14:paraId="02DEED28" w14:textId="3CFE4DC0" w:rsidR="00937B34" w:rsidRPr="00665BF8" w:rsidRDefault="00937B34" w:rsidP="00665BF8">
      <w:pPr>
        <w:spacing w:before="240" w:after="240"/>
        <w:ind w:left="708"/>
        <w:jc w:val="both"/>
        <w:rPr>
          <w:rFonts w:ascii="Arial" w:hAnsi="Arial" w:cs="Arial"/>
          <w:kern w:val="24"/>
        </w:rPr>
      </w:pPr>
      <w:r w:rsidRPr="00665BF8">
        <w:rPr>
          <w:rFonts w:ascii="Arial" w:hAnsi="Arial" w:cs="Arial"/>
          <w:kern w:val="24"/>
        </w:rPr>
        <w:t>Dicho importe representa un incremento de 17,</w:t>
      </w:r>
      <w:r w:rsidR="00AA121B" w:rsidRPr="00665BF8">
        <w:rPr>
          <w:rFonts w:ascii="Arial" w:hAnsi="Arial" w:cs="Arial"/>
          <w:kern w:val="24"/>
        </w:rPr>
        <w:t>2</w:t>
      </w:r>
      <w:r w:rsidRPr="00665BF8">
        <w:rPr>
          <w:rFonts w:ascii="Arial" w:hAnsi="Arial" w:cs="Arial"/>
          <w:kern w:val="24"/>
        </w:rPr>
        <w:t>% y S/ 5 9</w:t>
      </w:r>
      <w:r w:rsidR="00AA121B" w:rsidRPr="00665BF8">
        <w:rPr>
          <w:rFonts w:ascii="Arial" w:hAnsi="Arial" w:cs="Arial"/>
          <w:kern w:val="24"/>
        </w:rPr>
        <w:t>34</w:t>
      </w:r>
      <w:r w:rsidRPr="00665BF8">
        <w:rPr>
          <w:rFonts w:ascii="Arial" w:hAnsi="Arial" w:cs="Arial"/>
          <w:kern w:val="24"/>
        </w:rPr>
        <w:t xml:space="preserve"> millones de mayor recaudación, respecto de lo obtenido durante el año 2024. </w:t>
      </w:r>
    </w:p>
    <w:p w14:paraId="47201F2F" w14:textId="5344D6B3" w:rsidR="00C76091" w:rsidRPr="00413973" w:rsidRDefault="00C76091" w:rsidP="00AA121B">
      <w:pPr>
        <w:pStyle w:val="Prrafodelista"/>
        <w:numPr>
          <w:ilvl w:val="0"/>
          <w:numId w:val="11"/>
        </w:numPr>
        <w:spacing w:before="240" w:after="240"/>
        <w:ind w:left="284" w:hanging="218"/>
        <w:contextualSpacing w:val="0"/>
        <w:jc w:val="both"/>
        <w:rPr>
          <w:rFonts w:ascii="Arial" w:hAnsi="Arial" w:cs="Arial"/>
          <w:b/>
          <w:bCs/>
          <w:kern w:val="24"/>
          <w:sz w:val="22"/>
          <w:szCs w:val="22"/>
        </w:rPr>
      </w:pPr>
      <w:r w:rsidRPr="00413973">
        <w:rPr>
          <w:rFonts w:ascii="Arial" w:hAnsi="Arial" w:cs="Arial"/>
          <w:b/>
          <w:bCs/>
          <w:kern w:val="24"/>
          <w:sz w:val="22"/>
          <w:szCs w:val="22"/>
        </w:rPr>
        <w:t>Impuesto General a las Ventas (IGV)</w:t>
      </w:r>
    </w:p>
    <w:p w14:paraId="329E92EC" w14:textId="6FCEF12A" w:rsidR="00665BF8" w:rsidRDefault="00D57CD9" w:rsidP="00C76091">
      <w:pPr>
        <w:spacing w:before="240" w:after="240" w:line="240" w:lineRule="auto"/>
        <w:ind w:left="284"/>
        <w:jc w:val="both"/>
        <w:rPr>
          <w:rFonts w:ascii="Arial" w:hAnsi="Arial" w:cs="Arial"/>
          <w:kern w:val="24"/>
          <w:lang w:val="es-ES"/>
        </w:rPr>
      </w:pPr>
      <w:r w:rsidRPr="00C76091">
        <w:rPr>
          <w:rFonts w:ascii="Arial" w:hAnsi="Arial" w:cs="Arial"/>
          <w:kern w:val="24"/>
          <w:lang w:val="es-ES"/>
        </w:rPr>
        <w:t xml:space="preserve">La </w:t>
      </w:r>
      <w:r w:rsidRPr="00C76091">
        <w:rPr>
          <w:rFonts w:ascii="Arial" w:hAnsi="Arial" w:cs="Arial"/>
          <w:kern w:val="24"/>
        </w:rPr>
        <w:t>recaudación</w:t>
      </w:r>
      <w:r w:rsidRPr="00C76091">
        <w:rPr>
          <w:rFonts w:ascii="Arial" w:hAnsi="Arial" w:cs="Arial"/>
          <w:kern w:val="24"/>
          <w:lang w:val="es-ES"/>
        </w:rPr>
        <w:t xml:space="preserve"> </w:t>
      </w:r>
      <w:r w:rsidR="00656188">
        <w:rPr>
          <w:rFonts w:ascii="Arial" w:hAnsi="Arial" w:cs="Arial"/>
          <w:kern w:val="24"/>
          <w:lang w:val="es-ES"/>
        </w:rPr>
        <w:t>del</w:t>
      </w:r>
      <w:r w:rsidR="00656188" w:rsidRPr="00C76091">
        <w:rPr>
          <w:rFonts w:ascii="Arial" w:hAnsi="Arial" w:cs="Arial"/>
          <w:kern w:val="24"/>
          <w:lang w:val="es-ES"/>
        </w:rPr>
        <w:t xml:space="preserve"> </w:t>
      </w:r>
      <w:r w:rsidR="00C76091" w:rsidRPr="00C76091">
        <w:rPr>
          <w:rFonts w:ascii="Arial" w:hAnsi="Arial" w:cs="Arial"/>
          <w:kern w:val="24"/>
          <w:lang w:val="es-ES"/>
        </w:rPr>
        <w:t>IGV</w:t>
      </w:r>
      <w:r w:rsidR="006D1EE3" w:rsidRPr="00C76091">
        <w:rPr>
          <w:rFonts w:ascii="Arial" w:hAnsi="Arial" w:cs="Arial"/>
          <w:kern w:val="24"/>
          <w:lang w:val="es-ES"/>
        </w:rPr>
        <w:t xml:space="preserve"> </w:t>
      </w:r>
      <w:r w:rsidRPr="00C76091">
        <w:rPr>
          <w:rFonts w:ascii="Arial" w:hAnsi="Arial" w:cs="Arial"/>
          <w:kern w:val="24"/>
          <w:lang w:val="es-ES"/>
        </w:rPr>
        <w:t xml:space="preserve">ascendió a S/ </w:t>
      </w:r>
      <w:r w:rsidR="00CB6D83" w:rsidRPr="00C76091">
        <w:rPr>
          <w:rFonts w:ascii="Arial" w:hAnsi="Arial" w:cs="Arial"/>
          <w:kern w:val="24"/>
          <w:lang w:val="es-ES"/>
        </w:rPr>
        <w:t>94</w:t>
      </w:r>
      <w:r w:rsidR="00376F0B" w:rsidRPr="00C76091">
        <w:rPr>
          <w:rFonts w:ascii="Arial" w:hAnsi="Arial" w:cs="Arial"/>
          <w:kern w:val="24"/>
          <w:lang w:val="es-ES"/>
        </w:rPr>
        <w:t xml:space="preserve"> </w:t>
      </w:r>
      <w:r w:rsidR="009E76B0" w:rsidRPr="00C76091">
        <w:rPr>
          <w:rFonts w:ascii="Arial" w:hAnsi="Arial" w:cs="Arial"/>
          <w:kern w:val="24"/>
          <w:lang w:val="es-ES"/>
        </w:rPr>
        <w:t>4</w:t>
      </w:r>
      <w:r w:rsidR="00933AE0">
        <w:rPr>
          <w:rFonts w:ascii="Arial" w:hAnsi="Arial" w:cs="Arial"/>
          <w:kern w:val="24"/>
          <w:lang w:val="es-ES"/>
        </w:rPr>
        <w:t>47</w:t>
      </w:r>
      <w:r w:rsidRPr="00C76091">
        <w:rPr>
          <w:rFonts w:ascii="Arial" w:hAnsi="Arial" w:cs="Arial"/>
          <w:kern w:val="24"/>
          <w:lang w:val="es-ES"/>
        </w:rPr>
        <w:t xml:space="preserve"> millones </w:t>
      </w:r>
      <w:r w:rsidR="007349CA" w:rsidRPr="00C76091">
        <w:rPr>
          <w:rFonts w:ascii="Arial" w:hAnsi="Arial" w:cs="Arial"/>
          <w:kern w:val="24"/>
          <w:lang w:val="es-ES"/>
        </w:rPr>
        <w:t xml:space="preserve">durante el año </w:t>
      </w:r>
      <w:r w:rsidR="008A2097" w:rsidRPr="00C76091">
        <w:rPr>
          <w:rFonts w:ascii="Arial" w:hAnsi="Arial" w:cs="Arial"/>
          <w:kern w:val="24"/>
          <w:lang w:val="es-ES"/>
        </w:rPr>
        <w:t>2025</w:t>
      </w:r>
      <w:r w:rsidR="007349CA" w:rsidRPr="00C76091">
        <w:rPr>
          <w:rFonts w:ascii="Arial" w:hAnsi="Arial" w:cs="Arial"/>
          <w:kern w:val="24"/>
          <w:lang w:val="es-ES"/>
        </w:rPr>
        <w:t xml:space="preserve">, </w:t>
      </w:r>
      <w:r w:rsidRPr="00C76091">
        <w:rPr>
          <w:rFonts w:ascii="Arial" w:hAnsi="Arial" w:cs="Arial"/>
          <w:kern w:val="24"/>
          <w:lang w:val="es-ES"/>
        </w:rPr>
        <w:t>registrando un</w:t>
      </w:r>
      <w:r w:rsidR="005F3DD5" w:rsidRPr="00C76091">
        <w:rPr>
          <w:rFonts w:ascii="Arial" w:hAnsi="Arial" w:cs="Arial"/>
          <w:kern w:val="24"/>
          <w:lang w:val="es-ES"/>
        </w:rPr>
        <w:t xml:space="preserve"> crecimiento </w:t>
      </w:r>
      <w:r w:rsidRPr="00C76091">
        <w:rPr>
          <w:rFonts w:ascii="Arial" w:hAnsi="Arial" w:cs="Arial"/>
          <w:kern w:val="24"/>
          <w:lang w:val="es-ES"/>
        </w:rPr>
        <w:t xml:space="preserve">de </w:t>
      </w:r>
      <w:r w:rsidR="00DD0C59" w:rsidRPr="00C76091">
        <w:rPr>
          <w:rFonts w:ascii="Arial" w:hAnsi="Arial" w:cs="Arial"/>
          <w:kern w:val="24"/>
          <w:lang w:val="es-ES"/>
        </w:rPr>
        <w:t>5</w:t>
      </w:r>
      <w:r w:rsidR="00CB6D83" w:rsidRPr="00C76091">
        <w:rPr>
          <w:rFonts w:ascii="Arial" w:hAnsi="Arial" w:cs="Arial"/>
          <w:kern w:val="24"/>
          <w:lang w:val="es-ES"/>
        </w:rPr>
        <w:t>,3</w:t>
      </w:r>
      <w:r w:rsidRPr="00C76091">
        <w:rPr>
          <w:rFonts w:ascii="Arial" w:hAnsi="Arial" w:cs="Arial"/>
          <w:kern w:val="24"/>
          <w:lang w:val="es-ES"/>
        </w:rPr>
        <w:t>%</w:t>
      </w:r>
      <w:r w:rsidR="00656188">
        <w:rPr>
          <w:rFonts w:ascii="Arial" w:hAnsi="Arial" w:cs="Arial"/>
          <w:kern w:val="24"/>
          <w:lang w:val="es-ES"/>
        </w:rPr>
        <w:t>, acorde con una expansión de</w:t>
      </w:r>
      <w:r w:rsidRPr="00C76091">
        <w:rPr>
          <w:rFonts w:ascii="Arial" w:hAnsi="Arial" w:cs="Arial"/>
          <w:kern w:val="24"/>
          <w:lang w:val="es-ES"/>
        </w:rPr>
        <w:t xml:space="preserve"> </w:t>
      </w:r>
      <w:r w:rsidR="00F2628F" w:rsidRPr="00C76091">
        <w:rPr>
          <w:rFonts w:ascii="Arial" w:hAnsi="Arial" w:cs="Arial"/>
          <w:kern w:val="24"/>
          <w:lang w:val="es-ES"/>
        </w:rPr>
        <w:t xml:space="preserve">la </w:t>
      </w:r>
      <w:r w:rsidR="004C26BF" w:rsidRPr="00C76091">
        <w:rPr>
          <w:rFonts w:ascii="Arial" w:hAnsi="Arial" w:cs="Arial"/>
          <w:kern w:val="24"/>
          <w:lang w:val="es-ES"/>
        </w:rPr>
        <w:t>DI</w:t>
      </w:r>
      <w:r w:rsidR="00F2628F" w:rsidRPr="00C76091">
        <w:rPr>
          <w:rFonts w:ascii="Arial" w:hAnsi="Arial" w:cs="Arial"/>
          <w:kern w:val="24"/>
          <w:lang w:val="es-ES"/>
        </w:rPr>
        <w:t xml:space="preserve"> </w:t>
      </w:r>
      <w:r w:rsidR="00656188">
        <w:rPr>
          <w:rFonts w:ascii="Arial" w:hAnsi="Arial" w:cs="Arial"/>
          <w:kern w:val="24"/>
          <w:lang w:val="es-ES"/>
        </w:rPr>
        <w:t>de</w:t>
      </w:r>
      <w:r w:rsidR="00AF7601" w:rsidRPr="00C76091">
        <w:rPr>
          <w:rFonts w:ascii="Arial" w:hAnsi="Arial" w:cs="Arial"/>
          <w:kern w:val="24"/>
          <w:lang w:val="es-ES"/>
        </w:rPr>
        <w:t xml:space="preserve"> </w:t>
      </w:r>
      <w:r w:rsidR="00F2628F" w:rsidRPr="00C76091">
        <w:rPr>
          <w:rFonts w:ascii="Arial" w:hAnsi="Arial" w:cs="Arial"/>
          <w:kern w:val="24"/>
          <w:lang w:val="es-ES"/>
        </w:rPr>
        <w:t xml:space="preserve">alrededor de </w:t>
      </w:r>
      <w:r w:rsidR="00CB6D83" w:rsidRPr="00C76091">
        <w:rPr>
          <w:rFonts w:ascii="Arial" w:hAnsi="Arial" w:cs="Arial"/>
          <w:kern w:val="24"/>
          <w:lang w:val="es-ES"/>
        </w:rPr>
        <w:t>5,1</w:t>
      </w:r>
      <w:r w:rsidR="00F2628F" w:rsidRPr="00C76091">
        <w:rPr>
          <w:rFonts w:ascii="Arial" w:hAnsi="Arial" w:cs="Arial"/>
          <w:kern w:val="24"/>
          <w:lang w:val="es-ES"/>
        </w:rPr>
        <w:t>%</w:t>
      </w:r>
      <w:r w:rsidR="00F2628F" w:rsidRPr="00C76091">
        <w:rPr>
          <w:rStyle w:val="Refdenotaalpie"/>
          <w:rFonts w:ascii="Arial" w:hAnsi="Arial" w:cs="Arial"/>
          <w:kern w:val="24"/>
          <w:lang w:val="es-ES"/>
        </w:rPr>
        <w:footnoteReference w:id="2"/>
      </w:r>
      <w:r w:rsidR="00F2628F" w:rsidRPr="00C76091">
        <w:rPr>
          <w:rFonts w:ascii="Arial" w:hAnsi="Arial" w:cs="Arial"/>
          <w:kern w:val="24"/>
          <w:lang w:val="es-ES"/>
        </w:rPr>
        <w:t xml:space="preserve">. </w:t>
      </w:r>
    </w:p>
    <w:p w14:paraId="56468DFF" w14:textId="77777777" w:rsidR="000B0708" w:rsidRPr="007F552D" w:rsidRDefault="00F2628F" w:rsidP="00C76091">
      <w:pPr>
        <w:spacing w:before="240" w:after="240" w:line="240" w:lineRule="auto"/>
        <w:ind w:left="284"/>
        <w:jc w:val="both"/>
        <w:rPr>
          <w:rFonts w:ascii="Arial" w:hAnsi="Arial" w:cs="Arial"/>
          <w:kern w:val="24"/>
          <w:lang w:val="es-ES"/>
        </w:rPr>
      </w:pPr>
      <w:r w:rsidRPr="00C76091">
        <w:rPr>
          <w:rFonts w:ascii="Arial" w:hAnsi="Arial" w:cs="Arial"/>
          <w:kern w:val="24"/>
          <w:lang w:val="es-ES"/>
        </w:rPr>
        <w:t>Dicho</w:t>
      </w:r>
      <w:r w:rsidR="00D57CD9" w:rsidRPr="00C76091">
        <w:rPr>
          <w:rFonts w:ascii="Arial" w:hAnsi="Arial" w:cs="Arial"/>
          <w:kern w:val="24"/>
          <w:lang w:val="es-ES"/>
        </w:rPr>
        <w:t xml:space="preserve"> resultado significó </w:t>
      </w:r>
      <w:r w:rsidR="00656188">
        <w:rPr>
          <w:rFonts w:ascii="Arial" w:hAnsi="Arial" w:cs="Arial"/>
          <w:kern w:val="24"/>
          <w:lang w:val="es-ES"/>
        </w:rPr>
        <w:t xml:space="preserve">una mayor recaudación de </w:t>
      </w:r>
      <w:r w:rsidR="00D57CD9" w:rsidRPr="00C76091">
        <w:rPr>
          <w:rFonts w:ascii="Arial" w:hAnsi="Arial" w:cs="Arial"/>
          <w:kern w:val="24"/>
          <w:lang w:val="es-ES"/>
        </w:rPr>
        <w:t xml:space="preserve">S/ </w:t>
      </w:r>
      <w:r w:rsidR="00CB6D83" w:rsidRPr="00C76091">
        <w:rPr>
          <w:rFonts w:ascii="Arial" w:hAnsi="Arial" w:cs="Arial"/>
          <w:kern w:val="24"/>
          <w:lang w:val="es-ES"/>
        </w:rPr>
        <w:t>6</w:t>
      </w:r>
      <w:r w:rsidR="00E3095C" w:rsidRPr="00C76091">
        <w:rPr>
          <w:rFonts w:ascii="Arial" w:hAnsi="Arial" w:cs="Arial"/>
          <w:kern w:val="24"/>
          <w:lang w:val="es-ES"/>
        </w:rPr>
        <w:t xml:space="preserve"> </w:t>
      </w:r>
      <w:r w:rsidR="00CB6D83" w:rsidRPr="00C76091">
        <w:rPr>
          <w:rFonts w:ascii="Arial" w:hAnsi="Arial" w:cs="Arial"/>
          <w:kern w:val="24"/>
          <w:lang w:val="es-ES"/>
        </w:rPr>
        <w:t>0</w:t>
      </w:r>
      <w:r w:rsidR="000827CB" w:rsidRPr="00C76091">
        <w:rPr>
          <w:rFonts w:ascii="Arial" w:hAnsi="Arial" w:cs="Arial"/>
          <w:kern w:val="24"/>
          <w:lang w:val="es-ES"/>
        </w:rPr>
        <w:t>3</w:t>
      </w:r>
      <w:r w:rsidR="00933AE0">
        <w:rPr>
          <w:rFonts w:ascii="Arial" w:hAnsi="Arial" w:cs="Arial"/>
          <w:kern w:val="24"/>
          <w:lang w:val="es-ES"/>
        </w:rPr>
        <w:t>0</w:t>
      </w:r>
      <w:r w:rsidR="00376F0B" w:rsidRPr="00C76091">
        <w:rPr>
          <w:rFonts w:ascii="Arial" w:hAnsi="Arial" w:cs="Arial"/>
          <w:kern w:val="24"/>
          <w:lang w:val="es-ES"/>
        </w:rPr>
        <w:t xml:space="preserve"> </w:t>
      </w:r>
      <w:r w:rsidR="00D57CD9" w:rsidRPr="007F552D">
        <w:rPr>
          <w:rFonts w:ascii="Arial" w:hAnsi="Arial" w:cs="Arial"/>
          <w:kern w:val="24"/>
          <w:lang w:val="es-ES"/>
        </w:rPr>
        <w:t>millones</w:t>
      </w:r>
      <w:r w:rsidR="005D513E" w:rsidRPr="007F552D">
        <w:rPr>
          <w:rFonts w:ascii="Arial" w:hAnsi="Arial" w:cs="Arial"/>
          <w:kern w:val="24"/>
          <w:lang w:val="es-ES"/>
        </w:rPr>
        <w:t>.</w:t>
      </w:r>
      <w:r w:rsidR="00AA121B" w:rsidRPr="007F552D">
        <w:rPr>
          <w:rFonts w:ascii="Arial" w:hAnsi="Arial" w:cs="Arial"/>
          <w:kern w:val="24"/>
          <w:lang w:val="es-ES"/>
        </w:rPr>
        <w:t xml:space="preserve"> </w:t>
      </w:r>
    </w:p>
    <w:p w14:paraId="6EAE0EE5" w14:textId="01D99414" w:rsidR="000B0708" w:rsidRDefault="000B0708" w:rsidP="00FC2DDC">
      <w:pPr>
        <w:spacing w:before="240" w:after="240" w:line="240" w:lineRule="auto"/>
        <w:ind w:left="284"/>
        <w:jc w:val="both"/>
        <w:rPr>
          <w:rFonts w:ascii="Arial" w:hAnsi="Arial" w:cs="Arial"/>
        </w:rPr>
      </w:pPr>
      <w:r w:rsidRPr="007F552D">
        <w:rPr>
          <w:rFonts w:ascii="Arial" w:hAnsi="Arial" w:cs="Arial"/>
          <w:kern w:val="24"/>
          <w:lang w:val="es-ES"/>
        </w:rPr>
        <w:t>El</w:t>
      </w:r>
      <w:r w:rsidR="006D1EE3" w:rsidRPr="007F552D">
        <w:rPr>
          <w:rFonts w:ascii="Arial" w:hAnsi="Arial" w:cs="Arial"/>
          <w:kern w:val="24"/>
          <w:lang w:val="es-ES"/>
        </w:rPr>
        <w:t xml:space="preserve"> IGV Interno</w:t>
      </w:r>
      <w:r w:rsidRPr="007F552D">
        <w:rPr>
          <w:rFonts w:ascii="Arial" w:hAnsi="Arial" w:cs="Arial"/>
          <w:kern w:val="24"/>
          <w:lang w:val="es-ES"/>
        </w:rPr>
        <w:t xml:space="preserve"> registró una recaudación de S/ 55 826 millones (6,5%)</w:t>
      </w:r>
      <w:r w:rsidR="006D1EE3" w:rsidRPr="007F552D">
        <w:rPr>
          <w:rFonts w:ascii="Arial" w:hAnsi="Arial" w:cs="Arial"/>
          <w:kern w:val="24"/>
          <w:lang w:val="es-ES"/>
        </w:rPr>
        <w:t xml:space="preserve">, </w:t>
      </w:r>
      <w:r w:rsidRPr="007F552D">
        <w:rPr>
          <w:rFonts w:ascii="Arial" w:hAnsi="Arial" w:cs="Arial"/>
          <w:kern w:val="24"/>
          <w:lang w:val="es-ES"/>
        </w:rPr>
        <w:t>explicado</w:t>
      </w:r>
      <w:r w:rsidR="00B46197" w:rsidRPr="007F552D">
        <w:rPr>
          <w:rFonts w:ascii="Arial" w:hAnsi="Arial" w:cs="Arial"/>
          <w:kern w:val="24"/>
          <w:lang w:val="es-ES"/>
        </w:rPr>
        <w:t xml:space="preserve"> por el buen desempeño </w:t>
      </w:r>
      <w:r w:rsidR="004C26BF" w:rsidRPr="007F552D">
        <w:rPr>
          <w:rFonts w:ascii="Arial" w:hAnsi="Arial" w:cs="Arial"/>
          <w:kern w:val="24"/>
          <w:lang w:val="es-ES"/>
        </w:rPr>
        <w:t>en</w:t>
      </w:r>
      <w:r w:rsidR="00B46197" w:rsidRPr="007F552D">
        <w:rPr>
          <w:rFonts w:ascii="Arial" w:hAnsi="Arial" w:cs="Arial"/>
          <w:kern w:val="24"/>
          <w:lang w:val="es-ES"/>
        </w:rPr>
        <w:t xml:space="preserve"> casi todos los sectores</w:t>
      </w:r>
      <w:r w:rsidRPr="007F552D">
        <w:rPr>
          <w:rFonts w:ascii="Arial" w:hAnsi="Arial" w:cs="Arial"/>
          <w:kern w:val="24"/>
          <w:lang w:val="es-ES"/>
        </w:rPr>
        <w:t xml:space="preserve"> de la economía</w:t>
      </w:r>
      <w:r w:rsidR="00866DAB">
        <w:rPr>
          <w:rFonts w:ascii="Arial" w:hAnsi="Arial" w:cs="Arial"/>
          <w:kern w:val="24"/>
          <w:lang w:val="es-ES"/>
        </w:rPr>
        <w:t>,</w:t>
      </w:r>
      <w:r w:rsidR="00B46197" w:rsidRPr="007F552D">
        <w:rPr>
          <w:rFonts w:ascii="Arial" w:hAnsi="Arial" w:cs="Arial"/>
          <w:kern w:val="24"/>
          <w:lang w:val="es-ES"/>
        </w:rPr>
        <w:t xml:space="preserve"> lo que se vio </w:t>
      </w:r>
      <w:r w:rsidR="00656188" w:rsidRPr="007F552D">
        <w:rPr>
          <w:rFonts w:ascii="Arial" w:hAnsi="Arial" w:cs="Arial"/>
          <w:kern w:val="24"/>
          <w:lang w:val="es-ES"/>
        </w:rPr>
        <w:t>atenuado</w:t>
      </w:r>
      <w:r w:rsidRPr="007F552D">
        <w:rPr>
          <w:rFonts w:ascii="Arial" w:hAnsi="Arial" w:cs="Arial"/>
          <w:kern w:val="24"/>
          <w:lang w:val="es-ES"/>
        </w:rPr>
        <w:t xml:space="preserve"> </w:t>
      </w:r>
      <w:r w:rsidRPr="007F552D">
        <w:rPr>
          <w:rFonts w:ascii="Arial" w:hAnsi="Arial" w:cs="Arial"/>
          <w:kern w:val="24"/>
          <w:lang w:val="es-ES"/>
        </w:rPr>
        <w:lastRenderedPageBreak/>
        <w:t>parcialmente</w:t>
      </w:r>
      <w:r w:rsidR="00B46197" w:rsidRPr="007F552D">
        <w:rPr>
          <w:rFonts w:ascii="Arial" w:hAnsi="Arial" w:cs="Arial"/>
          <w:kern w:val="24"/>
          <w:lang w:val="es-ES"/>
        </w:rPr>
        <w:t xml:space="preserve"> p</w:t>
      </w:r>
      <w:r w:rsidR="0017495C" w:rsidRPr="007F552D">
        <w:rPr>
          <w:rFonts w:ascii="Arial" w:hAnsi="Arial" w:cs="Arial"/>
          <w:kern w:val="24"/>
          <w:lang w:val="es-ES"/>
        </w:rPr>
        <w:t xml:space="preserve">or los </w:t>
      </w:r>
      <w:r w:rsidR="00A848FC" w:rsidRPr="007F552D">
        <w:rPr>
          <w:rFonts w:ascii="Arial" w:hAnsi="Arial" w:cs="Arial"/>
          <w:kern w:val="24"/>
          <w:lang w:val="es-ES"/>
        </w:rPr>
        <w:t>menores</w:t>
      </w:r>
      <w:r w:rsidR="0017495C" w:rsidRPr="007F552D">
        <w:rPr>
          <w:rFonts w:ascii="Arial" w:hAnsi="Arial" w:cs="Arial"/>
          <w:kern w:val="24"/>
          <w:lang w:val="es-ES"/>
        </w:rPr>
        <w:t xml:space="preserve"> pagos de</w:t>
      </w:r>
      <w:r w:rsidR="00656188" w:rsidRPr="007F552D">
        <w:rPr>
          <w:rFonts w:ascii="Arial" w:hAnsi="Arial" w:cs="Arial"/>
          <w:kern w:val="24"/>
          <w:lang w:val="es-ES"/>
        </w:rPr>
        <w:t>l</w:t>
      </w:r>
      <w:r w:rsidR="0017495C" w:rsidRPr="007F552D">
        <w:rPr>
          <w:rFonts w:ascii="Arial" w:hAnsi="Arial" w:cs="Arial"/>
          <w:kern w:val="24"/>
          <w:lang w:val="es-ES"/>
        </w:rPr>
        <w:t xml:space="preserve"> sector</w:t>
      </w:r>
      <w:r w:rsidR="00D96E00" w:rsidRPr="007F552D">
        <w:rPr>
          <w:rFonts w:ascii="Arial" w:hAnsi="Arial" w:cs="Arial"/>
          <w:kern w:val="24"/>
          <w:lang w:val="es-ES"/>
        </w:rPr>
        <w:t xml:space="preserve"> </w:t>
      </w:r>
      <w:r w:rsidR="0017495C" w:rsidRPr="007F552D">
        <w:rPr>
          <w:rFonts w:ascii="Arial" w:hAnsi="Arial" w:cs="Arial"/>
          <w:kern w:val="24"/>
          <w:lang w:val="es-ES"/>
        </w:rPr>
        <w:t>hidrocarburos</w:t>
      </w:r>
      <w:r w:rsidR="00B46197" w:rsidRPr="007F552D">
        <w:rPr>
          <w:rFonts w:ascii="Arial" w:hAnsi="Arial" w:cs="Arial"/>
          <w:kern w:val="24"/>
          <w:lang w:val="es-ES"/>
        </w:rPr>
        <w:t xml:space="preserve"> </w:t>
      </w:r>
      <w:r w:rsidR="00D96E00" w:rsidRPr="007F552D">
        <w:rPr>
          <w:rFonts w:ascii="Arial" w:hAnsi="Arial" w:cs="Arial"/>
          <w:kern w:val="24"/>
          <w:lang w:val="es-ES"/>
        </w:rPr>
        <w:t xml:space="preserve">(afectado por las menores cotizaciones internacionales </w:t>
      </w:r>
      <w:r w:rsidR="00D96E00" w:rsidRPr="0087723B">
        <w:rPr>
          <w:rFonts w:ascii="Arial" w:hAnsi="Arial" w:cs="Arial"/>
          <w:kern w:val="24"/>
          <w:lang w:val="es-ES"/>
        </w:rPr>
        <w:t>del petróleo</w:t>
      </w:r>
      <w:r w:rsidR="00CB647A" w:rsidRPr="0087723B">
        <w:rPr>
          <w:rFonts w:ascii="Arial" w:hAnsi="Arial" w:cs="Arial"/>
          <w:kern w:val="24"/>
          <w:lang w:val="es-ES"/>
        </w:rPr>
        <w:t xml:space="preserve"> y la menor producción de líquidos de gas natural</w:t>
      </w:r>
      <w:r w:rsidR="00D96E00" w:rsidRPr="0087723B">
        <w:rPr>
          <w:rFonts w:ascii="Arial" w:hAnsi="Arial" w:cs="Arial"/>
          <w:kern w:val="24"/>
          <w:lang w:val="es-ES"/>
        </w:rPr>
        <w:t xml:space="preserve">) </w:t>
      </w:r>
      <w:r w:rsidR="00B46197" w:rsidRPr="0087723B">
        <w:rPr>
          <w:rFonts w:ascii="Arial" w:hAnsi="Arial" w:cs="Arial"/>
          <w:kern w:val="24"/>
          <w:lang w:val="es-ES"/>
        </w:rPr>
        <w:t>y</w:t>
      </w:r>
      <w:r w:rsidR="0017495C" w:rsidRPr="0087723B">
        <w:rPr>
          <w:rFonts w:ascii="Arial" w:hAnsi="Arial" w:cs="Arial"/>
          <w:kern w:val="24"/>
          <w:lang w:val="es-ES"/>
        </w:rPr>
        <w:t xml:space="preserve"> </w:t>
      </w:r>
      <w:r w:rsidR="001F50A8" w:rsidRPr="0087723B">
        <w:rPr>
          <w:rFonts w:ascii="Arial" w:hAnsi="Arial" w:cs="Arial"/>
          <w:kern w:val="24"/>
          <w:lang w:val="es-ES"/>
        </w:rPr>
        <w:t>d</w:t>
      </w:r>
      <w:r w:rsidR="00D96E00" w:rsidRPr="0087723B">
        <w:rPr>
          <w:rFonts w:ascii="Arial" w:hAnsi="Arial" w:cs="Arial"/>
          <w:kern w:val="24"/>
          <w:lang w:val="es-ES"/>
        </w:rPr>
        <w:t xml:space="preserve">el </w:t>
      </w:r>
      <w:r w:rsidR="00656188" w:rsidRPr="0087723B">
        <w:rPr>
          <w:rFonts w:ascii="Arial" w:hAnsi="Arial" w:cs="Arial"/>
          <w:kern w:val="24"/>
          <w:lang w:val="es-ES"/>
        </w:rPr>
        <w:t xml:space="preserve">sector </w:t>
      </w:r>
      <w:r w:rsidR="00CB6D83" w:rsidRPr="00C76091">
        <w:rPr>
          <w:rFonts w:ascii="Arial" w:hAnsi="Arial" w:cs="Arial"/>
          <w:kern w:val="24"/>
          <w:lang w:val="es-ES"/>
        </w:rPr>
        <w:t>agropecuario</w:t>
      </w:r>
      <w:r w:rsidR="00B46197" w:rsidRPr="00C76091">
        <w:rPr>
          <w:rFonts w:ascii="Arial" w:hAnsi="Arial" w:cs="Arial"/>
          <w:kern w:val="24"/>
          <w:lang w:val="es-ES"/>
        </w:rPr>
        <w:t>.</w:t>
      </w:r>
      <w:r w:rsidR="00FC2DDC" w:rsidRPr="00C76091">
        <w:rPr>
          <w:rFonts w:ascii="Arial" w:hAnsi="Arial" w:cs="Arial"/>
        </w:rPr>
        <w:t xml:space="preserve"> </w:t>
      </w:r>
    </w:p>
    <w:p w14:paraId="1CF3F676" w14:textId="13128249" w:rsidR="000827CB" w:rsidRPr="007F552D" w:rsidRDefault="000B0708" w:rsidP="00FC2DDC">
      <w:pPr>
        <w:spacing w:before="240" w:after="240" w:line="240" w:lineRule="auto"/>
        <w:ind w:left="284"/>
        <w:jc w:val="both"/>
        <w:rPr>
          <w:rFonts w:ascii="Arial" w:hAnsi="Arial" w:cs="Arial"/>
          <w:kern w:val="24"/>
          <w:lang w:val="es-ES"/>
        </w:rPr>
      </w:pPr>
      <w:r w:rsidRPr="007F552D">
        <w:rPr>
          <w:rFonts w:ascii="Arial" w:hAnsi="Arial" w:cs="Arial"/>
          <w:kern w:val="24"/>
          <w:lang w:val="es-ES"/>
        </w:rPr>
        <w:t xml:space="preserve">Por su parte, el IGV Importaciones recaudó S/ 38 620 millones (3,5%) y su crecimiento </w:t>
      </w:r>
      <w:r w:rsidR="006D1EE3" w:rsidRPr="007F552D">
        <w:rPr>
          <w:rFonts w:ascii="Arial" w:hAnsi="Arial" w:cs="Arial"/>
          <w:kern w:val="24"/>
          <w:lang w:val="es-ES"/>
        </w:rPr>
        <w:t>está vinculad</w:t>
      </w:r>
      <w:r w:rsidR="008D1105" w:rsidRPr="007F552D">
        <w:rPr>
          <w:rFonts w:ascii="Arial" w:hAnsi="Arial" w:cs="Arial"/>
          <w:kern w:val="24"/>
          <w:lang w:val="es-ES"/>
        </w:rPr>
        <w:t>o</w:t>
      </w:r>
      <w:r w:rsidR="006D1EE3" w:rsidRPr="007F552D">
        <w:rPr>
          <w:rFonts w:ascii="Arial" w:hAnsi="Arial" w:cs="Arial"/>
          <w:kern w:val="24"/>
          <w:lang w:val="es-ES"/>
        </w:rPr>
        <w:t xml:space="preserve"> </w:t>
      </w:r>
      <w:r w:rsidR="006E7B47" w:rsidRPr="007F552D">
        <w:rPr>
          <w:rFonts w:ascii="Arial" w:hAnsi="Arial" w:cs="Arial"/>
          <w:kern w:val="24"/>
          <w:lang w:val="es-ES"/>
        </w:rPr>
        <w:t xml:space="preserve">a </w:t>
      </w:r>
      <w:r w:rsidRPr="007F552D">
        <w:rPr>
          <w:rFonts w:ascii="Arial" w:hAnsi="Arial" w:cs="Arial"/>
          <w:kern w:val="24"/>
          <w:lang w:val="es-ES"/>
        </w:rPr>
        <w:t>la expansión</w:t>
      </w:r>
      <w:r w:rsidR="0017495C" w:rsidRPr="007F552D">
        <w:rPr>
          <w:rFonts w:ascii="Arial" w:hAnsi="Arial" w:cs="Arial"/>
          <w:kern w:val="24"/>
          <w:lang w:val="es-ES"/>
        </w:rPr>
        <w:t xml:space="preserve"> de las importaciones</w:t>
      </w:r>
      <w:r w:rsidR="00656188" w:rsidRPr="007F552D">
        <w:rPr>
          <w:rFonts w:ascii="Arial" w:hAnsi="Arial" w:cs="Arial"/>
          <w:kern w:val="24"/>
          <w:lang w:val="es-ES"/>
        </w:rPr>
        <w:t xml:space="preserve">, </w:t>
      </w:r>
      <w:r w:rsidR="006E7B47" w:rsidRPr="007F552D">
        <w:rPr>
          <w:rFonts w:ascii="Arial" w:hAnsi="Arial" w:cs="Arial"/>
          <w:kern w:val="24"/>
          <w:lang w:val="es-ES"/>
        </w:rPr>
        <w:t xml:space="preserve">el cual fue atenuado por </w:t>
      </w:r>
      <w:r w:rsidR="001F50A8" w:rsidRPr="007F552D">
        <w:rPr>
          <w:rFonts w:ascii="Arial" w:hAnsi="Arial" w:cs="Arial"/>
          <w:kern w:val="24"/>
          <w:lang w:val="es-ES"/>
        </w:rPr>
        <w:t>la</w:t>
      </w:r>
      <w:r w:rsidR="00CB6D83" w:rsidRPr="007F552D">
        <w:rPr>
          <w:rFonts w:ascii="Arial" w:hAnsi="Arial" w:cs="Arial"/>
          <w:kern w:val="24"/>
          <w:lang w:val="es-ES"/>
        </w:rPr>
        <w:t xml:space="preserve"> caída del tipo de cambio</w:t>
      </w:r>
      <w:r w:rsidR="000827CB" w:rsidRPr="007F552D">
        <w:rPr>
          <w:rFonts w:ascii="Arial" w:hAnsi="Arial" w:cs="Arial"/>
          <w:kern w:val="24"/>
          <w:lang w:val="es-ES"/>
        </w:rPr>
        <w:t>.</w:t>
      </w:r>
    </w:p>
    <w:p w14:paraId="718986B2" w14:textId="22AE27B7" w:rsidR="00C76091" w:rsidRPr="00413973" w:rsidRDefault="00C76091" w:rsidP="00FC2DDC">
      <w:pPr>
        <w:pStyle w:val="Prrafodelista"/>
        <w:numPr>
          <w:ilvl w:val="0"/>
          <w:numId w:val="11"/>
        </w:numPr>
        <w:spacing w:before="240" w:after="240"/>
        <w:ind w:left="284" w:hanging="218"/>
        <w:contextualSpacing w:val="0"/>
        <w:jc w:val="both"/>
        <w:rPr>
          <w:rFonts w:ascii="Arial" w:hAnsi="Arial" w:cs="Arial"/>
          <w:b/>
          <w:bCs/>
          <w:kern w:val="24"/>
          <w:sz w:val="22"/>
          <w:szCs w:val="22"/>
          <w:lang w:val="es-ES"/>
        </w:rPr>
      </w:pPr>
      <w:bookmarkStart w:id="1" w:name="_Hlk535484836"/>
      <w:r w:rsidRPr="00413973">
        <w:rPr>
          <w:rFonts w:ascii="Arial" w:hAnsi="Arial" w:cs="Arial"/>
          <w:b/>
          <w:bCs/>
          <w:kern w:val="24"/>
          <w:sz w:val="22"/>
          <w:szCs w:val="22"/>
          <w:lang w:val="es-ES"/>
        </w:rPr>
        <w:t>Impuesto Selectivo al Consumo (ISC)</w:t>
      </w:r>
    </w:p>
    <w:p w14:paraId="6278AF32" w14:textId="7106DA8E" w:rsidR="000B0708" w:rsidRDefault="0000227B" w:rsidP="00C76091">
      <w:pPr>
        <w:pStyle w:val="Prrafodelista"/>
        <w:spacing w:before="240" w:after="240"/>
        <w:ind w:left="284"/>
        <w:contextualSpacing w:val="0"/>
        <w:jc w:val="both"/>
        <w:rPr>
          <w:rFonts w:ascii="Arial" w:hAnsi="Arial" w:cs="Arial"/>
          <w:kern w:val="24"/>
          <w:sz w:val="22"/>
          <w:szCs w:val="22"/>
          <w:lang w:val="es-ES"/>
        </w:rPr>
      </w:pPr>
      <w:r w:rsidRPr="00C76091">
        <w:rPr>
          <w:rFonts w:ascii="Arial" w:hAnsi="Arial" w:cs="Arial"/>
          <w:kern w:val="24"/>
          <w:sz w:val="22"/>
          <w:szCs w:val="22"/>
          <w:lang w:val="es-ES"/>
        </w:rPr>
        <w:t>La recaudación por concepto de</w:t>
      </w:r>
      <w:r w:rsidR="000D0694" w:rsidRPr="00C76091">
        <w:rPr>
          <w:rFonts w:ascii="Arial" w:hAnsi="Arial" w:cs="Arial"/>
          <w:kern w:val="24"/>
          <w:sz w:val="22"/>
          <w:szCs w:val="22"/>
          <w:lang w:val="es-ES"/>
        </w:rPr>
        <w:t>l Impuesto Selectivo al Consumo (</w:t>
      </w:r>
      <w:r w:rsidRPr="00C76091">
        <w:rPr>
          <w:rFonts w:ascii="Arial" w:hAnsi="Arial" w:cs="Arial"/>
          <w:kern w:val="24"/>
          <w:sz w:val="22"/>
          <w:szCs w:val="22"/>
          <w:lang w:val="es-ES"/>
        </w:rPr>
        <w:t>ISC</w:t>
      </w:r>
      <w:r w:rsidR="000D0694" w:rsidRPr="00C76091">
        <w:rPr>
          <w:rFonts w:ascii="Arial" w:hAnsi="Arial" w:cs="Arial"/>
          <w:kern w:val="24"/>
          <w:sz w:val="22"/>
          <w:szCs w:val="22"/>
          <w:lang w:val="es-ES"/>
        </w:rPr>
        <w:t>)</w:t>
      </w:r>
      <w:r w:rsidRPr="00C76091">
        <w:rPr>
          <w:rFonts w:ascii="Arial" w:hAnsi="Arial" w:cs="Arial"/>
          <w:kern w:val="24"/>
          <w:sz w:val="22"/>
          <w:szCs w:val="22"/>
          <w:lang w:val="es-ES"/>
        </w:rPr>
        <w:t xml:space="preserve"> sumó S/ </w:t>
      </w:r>
      <w:r w:rsidR="00CF0142" w:rsidRPr="00C76091">
        <w:rPr>
          <w:rFonts w:ascii="Arial" w:hAnsi="Arial" w:cs="Arial"/>
          <w:kern w:val="24"/>
          <w:sz w:val="22"/>
          <w:szCs w:val="22"/>
          <w:lang w:val="es-ES"/>
        </w:rPr>
        <w:t>9</w:t>
      </w:r>
      <w:r w:rsidR="000F64E6" w:rsidRPr="00C76091">
        <w:rPr>
          <w:rFonts w:ascii="Arial" w:hAnsi="Arial" w:cs="Arial"/>
          <w:kern w:val="24"/>
          <w:sz w:val="22"/>
          <w:szCs w:val="22"/>
          <w:lang w:val="es-ES"/>
        </w:rPr>
        <w:t xml:space="preserve"> 9</w:t>
      </w:r>
      <w:r w:rsidR="00CF0142" w:rsidRPr="00C76091">
        <w:rPr>
          <w:rFonts w:ascii="Arial" w:hAnsi="Arial" w:cs="Arial"/>
          <w:kern w:val="24"/>
          <w:sz w:val="22"/>
          <w:szCs w:val="22"/>
          <w:lang w:val="es-ES"/>
        </w:rPr>
        <w:t>3</w:t>
      </w:r>
      <w:r w:rsidR="000827CB" w:rsidRPr="00C76091">
        <w:rPr>
          <w:rFonts w:ascii="Arial" w:hAnsi="Arial" w:cs="Arial"/>
          <w:kern w:val="24"/>
          <w:sz w:val="22"/>
          <w:szCs w:val="22"/>
          <w:lang w:val="es-ES"/>
        </w:rPr>
        <w:t>6</w:t>
      </w:r>
      <w:r w:rsidRPr="00C76091">
        <w:rPr>
          <w:rFonts w:ascii="Arial" w:hAnsi="Arial" w:cs="Arial"/>
          <w:kern w:val="24"/>
          <w:sz w:val="22"/>
          <w:szCs w:val="22"/>
          <w:lang w:val="es-ES"/>
        </w:rPr>
        <w:t xml:space="preserve"> millones</w:t>
      </w:r>
      <w:r w:rsidR="00E03494" w:rsidRPr="00C76091">
        <w:rPr>
          <w:rFonts w:ascii="Arial" w:hAnsi="Arial" w:cs="Arial"/>
          <w:kern w:val="24"/>
          <w:sz w:val="22"/>
          <w:szCs w:val="22"/>
          <w:lang w:val="es-ES"/>
        </w:rPr>
        <w:t>,</w:t>
      </w:r>
      <w:r w:rsidRPr="00C76091">
        <w:rPr>
          <w:rFonts w:ascii="Arial" w:hAnsi="Arial" w:cs="Arial"/>
          <w:kern w:val="24"/>
          <w:sz w:val="22"/>
          <w:szCs w:val="22"/>
          <w:lang w:val="es-ES"/>
        </w:rPr>
        <w:t xml:space="preserve"> </w:t>
      </w:r>
      <w:r w:rsidR="008B4A5A" w:rsidRPr="00C76091">
        <w:rPr>
          <w:rFonts w:ascii="Arial" w:hAnsi="Arial" w:cs="Arial"/>
          <w:kern w:val="24"/>
          <w:sz w:val="22"/>
          <w:szCs w:val="22"/>
          <w:lang w:val="es-ES"/>
        </w:rPr>
        <w:t xml:space="preserve">importe que representa </w:t>
      </w:r>
      <w:r w:rsidRPr="00C76091">
        <w:rPr>
          <w:rFonts w:ascii="Arial" w:hAnsi="Arial" w:cs="Arial"/>
          <w:kern w:val="24"/>
          <w:sz w:val="22"/>
          <w:szCs w:val="22"/>
          <w:lang w:val="es-ES"/>
        </w:rPr>
        <w:t>un</w:t>
      </w:r>
      <w:r w:rsidR="00370502" w:rsidRPr="00C76091">
        <w:rPr>
          <w:rFonts w:ascii="Arial" w:hAnsi="Arial" w:cs="Arial"/>
          <w:kern w:val="24"/>
          <w:sz w:val="22"/>
          <w:szCs w:val="22"/>
          <w:lang w:val="es-ES"/>
        </w:rPr>
        <w:t xml:space="preserve"> </w:t>
      </w:r>
      <w:r w:rsidR="00CF0142" w:rsidRPr="00C76091">
        <w:rPr>
          <w:rFonts w:ascii="Arial" w:hAnsi="Arial" w:cs="Arial"/>
          <w:kern w:val="24"/>
          <w:sz w:val="22"/>
          <w:szCs w:val="22"/>
          <w:lang w:val="es-ES"/>
        </w:rPr>
        <w:t>crecimiento</w:t>
      </w:r>
      <w:r w:rsidRPr="00C76091">
        <w:rPr>
          <w:rFonts w:ascii="Arial" w:hAnsi="Arial" w:cs="Arial"/>
          <w:kern w:val="24"/>
          <w:sz w:val="22"/>
          <w:szCs w:val="22"/>
          <w:lang w:val="es-ES"/>
        </w:rPr>
        <w:t xml:space="preserve"> de </w:t>
      </w:r>
      <w:r w:rsidR="00CF0142" w:rsidRPr="00C76091">
        <w:rPr>
          <w:rFonts w:ascii="Arial" w:hAnsi="Arial" w:cs="Arial"/>
          <w:kern w:val="24"/>
          <w:sz w:val="22"/>
          <w:szCs w:val="22"/>
          <w:lang w:val="es-ES"/>
        </w:rPr>
        <w:t>9,8</w:t>
      </w:r>
      <w:r w:rsidRPr="00C76091">
        <w:rPr>
          <w:rFonts w:ascii="Arial" w:hAnsi="Arial" w:cs="Arial"/>
          <w:kern w:val="24"/>
          <w:sz w:val="22"/>
          <w:szCs w:val="22"/>
          <w:lang w:val="es-ES"/>
        </w:rPr>
        <w:t>%</w:t>
      </w:r>
      <w:r w:rsidR="00191991" w:rsidRPr="00C76091">
        <w:rPr>
          <w:rFonts w:ascii="Arial" w:hAnsi="Arial" w:cs="Arial"/>
          <w:kern w:val="24"/>
          <w:sz w:val="22"/>
          <w:szCs w:val="22"/>
          <w:lang w:val="es-ES"/>
        </w:rPr>
        <w:t xml:space="preserve"> y S/ 1 02</w:t>
      </w:r>
      <w:r w:rsidR="000827CB" w:rsidRPr="00C76091">
        <w:rPr>
          <w:rFonts w:ascii="Arial" w:hAnsi="Arial" w:cs="Arial"/>
          <w:kern w:val="24"/>
          <w:sz w:val="22"/>
          <w:szCs w:val="22"/>
          <w:lang w:val="es-ES"/>
        </w:rPr>
        <w:t>3</w:t>
      </w:r>
      <w:r w:rsidR="00191991" w:rsidRPr="00C76091">
        <w:rPr>
          <w:rFonts w:ascii="Arial" w:hAnsi="Arial" w:cs="Arial"/>
          <w:kern w:val="24"/>
          <w:sz w:val="22"/>
          <w:szCs w:val="22"/>
          <w:lang w:val="es-ES"/>
        </w:rPr>
        <w:t xml:space="preserve"> millones adicionales</w:t>
      </w:r>
      <w:r w:rsidR="006D1EE3" w:rsidRPr="00C76091">
        <w:rPr>
          <w:rFonts w:ascii="Arial" w:hAnsi="Arial" w:cs="Arial"/>
          <w:kern w:val="24"/>
          <w:sz w:val="22"/>
          <w:szCs w:val="22"/>
          <w:lang w:val="es-ES"/>
        </w:rPr>
        <w:t xml:space="preserve">. </w:t>
      </w:r>
    </w:p>
    <w:p w14:paraId="21A402EC" w14:textId="151BD839" w:rsidR="00CF0142" w:rsidRPr="007F552D" w:rsidRDefault="00CF0142" w:rsidP="00C76091">
      <w:pPr>
        <w:pStyle w:val="Prrafodelista"/>
        <w:spacing w:before="240" w:after="240"/>
        <w:ind w:left="284"/>
        <w:contextualSpacing w:val="0"/>
        <w:jc w:val="both"/>
        <w:rPr>
          <w:rFonts w:ascii="Arial" w:hAnsi="Arial" w:cs="Arial"/>
          <w:kern w:val="24"/>
          <w:sz w:val="22"/>
          <w:szCs w:val="22"/>
          <w:lang w:val="es-ES"/>
        </w:rPr>
      </w:pPr>
      <w:r w:rsidRPr="00C76091">
        <w:rPr>
          <w:rFonts w:ascii="Arial" w:hAnsi="Arial" w:cs="Arial"/>
          <w:kern w:val="24"/>
          <w:sz w:val="22"/>
          <w:szCs w:val="22"/>
          <w:lang w:val="es-ES"/>
        </w:rPr>
        <w:t xml:space="preserve">El ISC interno </w:t>
      </w:r>
      <w:r w:rsidRPr="007F552D">
        <w:rPr>
          <w:rFonts w:ascii="Arial" w:hAnsi="Arial" w:cs="Arial"/>
          <w:kern w:val="24"/>
          <w:sz w:val="22"/>
          <w:szCs w:val="22"/>
          <w:lang w:val="es-ES"/>
        </w:rPr>
        <w:t>creció 14,5%</w:t>
      </w:r>
      <w:r w:rsidR="00866DAB">
        <w:rPr>
          <w:rFonts w:ascii="Arial" w:hAnsi="Arial" w:cs="Arial"/>
          <w:kern w:val="24"/>
          <w:sz w:val="22"/>
          <w:szCs w:val="22"/>
          <w:lang w:val="es-ES"/>
        </w:rPr>
        <w:t>,</w:t>
      </w:r>
      <w:r w:rsidRPr="007F552D">
        <w:rPr>
          <w:rFonts w:ascii="Arial" w:hAnsi="Arial" w:cs="Arial"/>
          <w:kern w:val="24"/>
          <w:sz w:val="22"/>
          <w:szCs w:val="22"/>
          <w:lang w:val="es-ES"/>
        </w:rPr>
        <w:t xml:space="preserve"> influenciado por el </w:t>
      </w:r>
      <w:r w:rsidR="000B0708" w:rsidRPr="007F552D">
        <w:rPr>
          <w:rFonts w:ascii="Arial" w:hAnsi="Arial" w:cs="Arial"/>
          <w:kern w:val="24"/>
          <w:sz w:val="22"/>
          <w:szCs w:val="22"/>
          <w:lang w:val="es-ES"/>
        </w:rPr>
        <w:t>incremento</w:t>
      </w:r>
      <w:r w:rsidRPr="007F552D">
        <w:rPr>
          <w:rFonts w:ascii="Arial" w:hAnsi="Arial" w:cs="Arial"/>
          <w:kern w:val="24"/>
          <w:sz w:val="22"/>
          <w:szCs w:val="22"/>
          <w:lang w:val="es-ES"/>
        </w:rPr>
        <w:t xml:space="preserve"> de 59,3% en el pago correspondiente a los combustibles, en un contexto de menor uso de compensaciones.</w:t>
      </w:r>
      <w:bookmarkEnd w:id="1"/>
      <w:r w:rsidRPr="007F552D">
        <w:rPr>
          <w:rFonts w:ascii="Arial" w:hAnsi="Arial" w:cs="Arial"/>
          <w:kern w:val="24"/>
          <w:sz w:val="22"/>
          <w:szCs w:val="22"/>
          <w:lang w:val="es-ES"/>
        </w:rPr>
        <w:t xml:space="preserve"> </w:t>
      </w:r>
    </w:p>
    <w:p w14:paraId="2FC14F0C" w14:textId="7A74D1F0" w:rsidR="00CF0142" w:rsidRPr="007F552D" w:rsidRDefault="00CF0142" w:rsidP="005D7416">
      <w:pPr>
        <w:pStyle w:val="Prrafodelista"/>
        <w:spacing w:before="240" w:after="240"/>
        <w:ind w:left="284"/>
        <w:contextualSpacing w:val="0"/>
        <w:jc w:val="both"/>
        <w:rPr>
          <w:rFonts w:ascii="Arial" w:hAnsi="Arial" w:cs="Arial"/>
          <w:kern w:val="24"/>
          <w:sz w:val="22"/>
          <w:szCs w:val="22"/>
          <w:lang w:val="es-ES"/>
        </w:rPr>
      </w:pPr>
      <w:r w:rsidRPr="007F552D">
        <w:rPr>
          <w:rFonts w:ascii="Arial" w:hAnsi="Arial" w:cs="Arial"/>
          <w:kern w:val="24"/>
          <w:sz w:val="22"/>
          <w:szCs w:val="22"/>
          <w:lang w:val="es-ES"/>
        </w:rPr>
        <w:t>El ISC que grava a las importaciones creció en 2,</w:t>
      </w:r>
      <w:r w:rsidR="00917B3C" w:rsidRPr="007F552D">
        <w:rPr>
          <w:rFonts w:ascii="Arial" w:hAnsi="Arial" w:cs="Arial"/>
          <w:kern w:val="24"/>
          <w:sz w:val="22"/>
          <w:szCs w:val="22"/>
          <w:lang w:val="es-ES"/>
        </w:rPr>
        <w:t>2</w:t>
      </w:r>
      <w:r w:rsidRPr="007F552D">
        <w:rPr>
          <w:rFonts w:ascii="Arial" w:hAnsi="Arial" w:cs="Arial"/>
          <w:kern w:val="24"/>
          <w:sz w:val="22"/>
          <w:szCs w:val="22"/>
          <w:lang w:val="es-ES"/>
        </w:rPr>
        <w:t xml:space="preserve">% a consecuencia de los mayores pagos de otros bienes y pese a los menores pagos </w:t>
      </w:r>
      <w:r w:rsidR="000B0708" w:rsidRPr="007F552D">
        <w:rPr>
          <w:rFonts w:ascii="Arial" w:hAnsi="Arial" w:cs="Arial"/>
          <w:kern w:val="24"/>
          <w:sz w:val="22"/>
          <w:szCs w:val="22"/>
          <w:lang w:val="es-ES"/>
        </w:rPr>
        <w:t>asociados a las</w:t>
      </w:r>
      <w:r w:rsidRPr="007F552D">
        <w:rPr>
          <w:rFonts w:ascii="Arial" w:hAnsi="Arial" w:cs="Arial"/>
          <w:kern w:val="24"/>
          <w:sz w:val="22"/>
          <w:szCs w:val="22"/>
          <w:lang w:val="es-ES"/>
        </w:rPr>
        <w:t xml:space="preserve"> importaciones corrientes de combustibles (-2,5%)</w:t>
      </w:r>
      <w:r w:rsidR="00191991" w:rsidRPr="007F552D">
        <w:rPr>
          <w:rFonts w:ascii="Arial" w:hAnsi="Arial" w:cs="Arial"/>
          <w:kern w:val="24"/>
          <w:sz w:val="22"/>
          <w:szCs w:val="22"/>
          <w:lang w:val="es-ES"/>
        </w:rPr>
        <w:t xml:space="preserve"> y el menor tipo de cambio</w:t>
      </w:r>
      <w:r w:rsidRPr="007F552D">
        <w:rPr>
          <w:rFonts w:ascii="Arial" w:hAnsi="Arial" w:cs="Arial"/>
          <w:kern w:val="24"/>
          <w:sz w:val="22"/>
          <w:szCs w:val="22"/>
          <w:lang w:val="es-ES"/>
        </w:rPr>
        <w:t>.</w:t>
      </w:r>
    </w:p>
    <w:p w14:paraId="063331B8" w14:textId="5AEB66FD" w:rsidR="00C76091" w:rsidRPr="00413973" w:rsidRDefault="00C76091" w:rsidP="004C26BF">
      <w:pPr>
        <w:pStyle w:val="Prrafodelista"/>
        <w:numPr>
          <w:ilvl w:val="0"/>
          <w:numId w:val="11"/>
        </w:numPr>
        <w:spacing w:before="240" w:after="240"/>
        <w:ind w:left="284" w:hanging="218"/>
        <w:contextualSpacing w:val="0"/>
        <w:jc w:val="both"/>
        <w:rPr>
          <w:rFonts w:ascii="Arial" w:hAnsi="Arial" w:cs="Arial"/>
          <w:b/>
          <w:sz w:val="22"/>
          <w:szCs w:val="22"/>
        </w:rPr>
      </w:pPr>
      <w:r w:rsidRPr="00413973">
        <w:rPr>
          <w:rFonts w:ascii="Arial" w:hAnsi="Arial" w:cs="Arial"/>
          <w:b/>
          <w:sz w:val="22"/>
          <w:szCs w:val="22"/>
        </w:rPr>
        <w:t>Devoluciones</w:t>
      </w:r>
    </w:p>
    <w:p w14:paraId="44D8AAD4" w14:textId="2EFB74FF" w:rsidR="003C2188" w:rsidRPr="00C76091" w:rsidRDefault="009A0DF7" w:rsidP="00C76091">
      <w:pPr>
        <w:pStyle w:val="Prrafodelista"/>
        <w:spacing w:before="240" w:after="240"/>
        <w:ind w:left="284"/>
        <w:contextualSpacing w:val="0"/>
        <w:jc w:val="both"/>
        <w:rPr>
          <w:rFonts w:ascii="Arial" w:hAnsi="Arial" w:cs="Arial"/>
          <w:bCs/>
          <w:sz w:val="22"/>
          <w:szCs w:val="22"/>
        </w:rPr>
      </w:pPr>
      <w:r>
        <w:rPr>
          <w:rFonts w:ascii="Arial" w:hAnsi="Arial" w:cs="Arial"/>
          <w:kern w:val="24"/>
          <w:sz w:val="22"/>
          <w:szCs w:val="22"/>
        </w:rPr>
        <w:t>L</w:t>
      </w:r>
      <w:r w:rsidR="0000227B" w:rsidRPr="00C76091">
        <w:rPr>
          <w:rFonts w:ascii="Arial" w:hAnsi="Arial" w:cs="Arial"/>
          <w:kern w:val="24"/>
          <w:sz w:val="22"/>
          <w:szCs w:val="22"/>
        </w:rPr>
        <w:t xml:space="preserve">as devoluciones </w:t>
      </w:r>
      <w:r w:rsidR="0017495C" w:rsidRPr="00C76091">
        <w:rPr>
          <w:rFonts w:ascii="Arial" w:hAnsi="Arial" w:cs="Arial"/>
          <w:kern w:val="24"/>
          <w:sz w:val="22"/>
          <w:szCs w:val="22"/>
        </w:rPr>
        <w:t xml:space="preserve">de </w:t>
      </w:r>
      <w:r w:rsidR="0017495C" w:rsidRPr="00C76091">
        <w:rPr>
          <w:rFonts w:ascii="Arial" w:hAnsi="Arial" w:cs="Arial"/>
          <w:kern w:val="24"/>
          <w:sz w:val="22"/>
          <w:szCs w:val="22"/>
          <w:lang w:val="es-ES"/>
        </w:rPr>
        <w:t>impuestos</w:t>
      </w:r>
      <w:r w:rsidR="0017495C" w:rsidRPr="00C76091">
        <w:rPr>
          <w:rFonts w:ascii="Arial" w:hAnsi="Arial" w:cs="Arial"/>
          <w:kern w:val="24"/>
          <w:sz w:val="22"/>
          <w:szCs w:val="22"/>
        </w:rPr>
        <w:t xml:space="preserve"> </w:t>
      </w:r>
      <w:r w:rsidR="006D1EE3" w:rsidRPr="00C76091">
        <w:rPr>
          <w:rFonts w:ascii="Arial" w:hAnsi="Arial" w:cs="Arial"/>
          <w:kern w:val="24"/>
          <w:sz w:val="22"/>
          <w:szCs w:val="22"/>
        </w:rPr>
        <w:t xml:space="preserve">realizadas durante el año </w:t>
      </w:r>
      <w:r w:rsidR="008A2097" w:rsidRPr="00C76091">
        <w:rPr>
          <w:rFonts w:ascii="Arial" w:hAnsi="Arial" w:cs="Arial"/>
          <w:kern w:val="24"/>
          <w:sz w:val="22"/>
          <w:szCs w:val="22"/>
        </w:rPr>
        <w:t>2025</w:t>
      </w:r>
      <w:r w:rsidR="0017495C" w:rsidRPr="00C76091">
        <w:rPr>
          <w:rFonts w:ascii="Arial" w:hAnsi="Arial" w:cs="Arial"/>
          <w:kern w:val="24"/>
          <w:sz w:val="22"/>
          <w:szCs w:val="22"/>
        </w:rPr>
        <w:t xml:space="preserve"> </w:t>
      </w:r>
      <w:r w:rsidR="0000227B" w:rsidRPr="00C76091">
        <w:rPr>
          <w:rFonts w:ascii="Arial" w:hAnsi="Arial" w:cs="Arial"/>
          <w:kern w:val="24"/>
          <w:sz w:val="22"/>
          <w:szCs w:val="22"/>
        </w:rPr>
        <w:t xml:space="preserve">ascendieron a S/ </w:t>
      </w:r>
      <w:r w:rsidR="003376D8" w:rsidRPr="00C76091">
        <w:rPr>
          <w:rFonts w:ascii="Arial" w:hAnsi="Arial" w:cs="Arial"/>
          <w:kern w:val="24"/>
          <w:sz w:val="22"/>
          <w:szCs w:val="22"/>
        </w:rPr>
        <w:t>2</w:t>
      </w:r>
      <w:r w:rsidR="00191991" w:rsidRPr="00C76091">
        <w:rPr>
          <w:rFonts w:ascii="Arial" w:hAnsi="Arial" w:cs="Arial"/>
          <w:kern w:val="24"/>
          <w:sz w:val="22"/>
          <w:szCs w:val="22"/>
        </w:rPr>
        <w:t>9</w:t>
      </w:r>
      <w:r w:rsidR="003376D8" w:rsidRPr="00C76091">
        <w:rPr>
          <w:rFonts w:ascii="Arial" w:hAnsi="Arial" w:cs="Arial"/>
          <w:kern w:val="24"/>
          <w:sz w:val="22"/>
          <w:szCs w:val="22"/>
        </w:rPr>
        <w:t xml:space="preserve"> </w:t>
      </w:r>
      <w:r w:rsidR="00191991" w:rsidRPr="00C76091">
        <w:rPr>
          <w:rFonts w:ascii="Arial" w:hAnsi="Arial" w:cs="Arial"/>
          <w:kern w:val="24"/>
          <w:sz w:val="22"/>
          <w:szCs w:val="22"/>
        </w:rPr>
        <w:t>60</w:t>
      </w:r>
      <w:r w:rsidR="00E200A7">
        <w:rPr>
          <w:rFonts w:ascii="Arial" w:hAnsi="Arial" w:cs="Arial"/>
          <w:kern w:val="24"/>
          <w:sz w:val="22"/>
          <w:szCs w:val="22"/>
        </w:rPr>
        <w:t>9</w:t>
      </w:r>
      <w:r w:rsidR="0000227B" w:rsidRPr="00C76091">
        <w:rPr>
          <w:rFonts w:ascii="Arial" w:hAnsi="Arial" w:cs="Arial"/>
          <w:kern w:val="24"/>
          <w:sz w:val="22"/>
          <w:szCs w:val="22"/>
        </w:rPr>
        <w:t xml:space="preserve"> </w:t>
      </w:r>
      <w:r w:rsidR="00B356FF" w:rsidRPr="00C76091">
        <w:rPr>
          <w:rFonts w:ascii="Arial" w:hAnsi="Arial" w:cs="Arial"/>
          <w:kern w:val="24"/>
          <w:sz w:val="22"/>
          <w:szCs w:val="22"/>
          <w:lang w:val="es-ES"/>
        </w:rPr>
        <w:t>millones</w:t>
      </w:r>
      <w:r w:rsidR="00B356FF" w:rsidRPr="00C76091">
        <w:rPr>
          <w:rFonts w:ascii="Arial" w:hAnsi="Arial" w:cs="Arial"/>
          <w:kern w:val="24"/>
          <w:sz w:val="22"/>
          <w:szCs w:val="22"/>
        </w:rPr>
        <w:t>, importe que</w:t>
      </w:r>
      <w:r w:rsidR="0000227B" w:rsidRPr="00C76091">
        <w:rPr>
          <w:rFonts w:ascii="Arial" w:hAnsi="Arial" w:cs="Arial"/>
          <w:kern w:val="24"/>
          <w:sz w:val="22"/>
          <w:szCs w:val="22"/>
        </w:rPr>
        <w:t xml:space="preserve"> representó </w:t>
      </w:r>
      <w:r w:rsidR="006D1EE3" w:rsidRPr="00C76091">
        <w:rPr>
          <w:rFonts w:ascii="Arial" w:hAnsi="Arial" w:cs="Arial"/>
          <w:kern w:val="24"/>
          <w:sz w:val="22"/>
          <w:szCs w:val="22"/>
        </w:rPr>
        <w:t>un</w:t>
      </w:r>
      <w:r w:rsidR="00191991" w:rsidRPr="00C76091">
        <w:rPr>
          <w:rFonts w:ascii="Arial" w:hAnsi="Arial" w:cs="Arial"/>
          <w:kern w:val="24"/>
          <w:sz w:val="22"/>
          <w:szCs w:val="22"/>
        </w:rPr>
        <w:t xml:space="preserve"> incremento </w:t>
      </w:r>
      <w:r w:rsidR="00557A24" w:rsidRPr="00C76091">
        <w:rPr>
          <w:rFonts w:ascii="Arial" w:hAnsi="Arial" w:cs="Arial"/>
          <w:kern w:val="24"/>
          <w:sz w:val="22"/>
          <w:szCs w:val="22"/>
        </w:rPr>
        <w:t xml:space="preserve">de </w:t>
      </w:r>
      <w:r w:rsidR="00191991" w:rsidRPr="00C76091">
        <w:rPr>
          <w:rFonts w:ascii="Arial" w:hAnsi="Arial" w:cs="Arial"/>
          <w:kern w:val="24"/>
          <w:sz w:val="22"/>
          <w:szCs w:val="22"/>
        </w:rPr>
        <w:t>20,5</w:t>
      </w:r>
      <w:r w:rsidR="006D1EE3" w:rsidRPr="00C76091">
        <w:rPr>
          <w:rFonts w:ascii="Arial" w:hAnsi="Arial" w:cs="Arial"/>
          <w:kern w:val="24"/>
          <w:sz w:val="22"/>
          <w:szCs w:val="22"/>
        </w:rPr>
        <w:t>%</w:t>
      </w:r>
      <w:r w:rsidR="00191991" w:rsidRPr="00C76091">
        <w:rPr>
          <w:rFonts w:ascii="Arial" w:hAnsi="Arial" w:cs="Arial"/>
          <w:kern w:val="24"/>
          <w:sz w:val="22"/>
          <w:szCs w:val="22"/>
        </w:rPr>
        <w:t xml:space="preserve"> y</w:t>
      </w:r>
      <w:r w:rsidR="00BA7F77" w:rsidRPr="00C76091">
        <w:rPr>
          <w:rFonts w:ascii="Arial" w:hAnsi="Arial" w:cs="Arial"/>
          <w:kern w:val="24"/>
          <w:sz w:val="22"/>
          <w:szCs w:val="22"/>
        </w:rPr>
        <w:t xml:space="preserve"> </w:t>
      </w:r>
      <w:r w:rsidR="0000227B" w:rsidRPr="00C76091">
        <w:rPr>
          <w:rFonts w:ascii="Arial" w:hAnsi="Arial" w:cs="Arial"/>
          <w:kern w:val="24"/>
          <w:sz w:val="22"/>
          <w:szCs w:val="22"/>
        </w:rPr>
        <w:t>S/</w:t>
      </w:r>
      <w:r w:rsidR="00557A24" w:rsidRPr="00C76091">
        <w:rPr>
          <w:rFonts w:ascii="Arial" w:hAnsi="Arial" w:cs="Arial"/>
          <w:kern w:val="24"/>
          <w:sz w:val="22"/>
          <w:szCs w:val="22"/>
        </w:rPr>
        <w:t xml:space="preserve"> </w:t>
      </w:r>
      <w:r w:rsidR="00191991" w:rsidRPr="00C76091">
        <w:rPr>
          <w:rFonts w:ascii="Arial" w:hAnsi="Arial" w:cs="Arial"/>
          <w:kern w:val="24"/>
          <w:sz w:val="22"/>
          <w:szCs w:val="22"/>
        </w:rPr>
        <w:t>5 39</w:t>
      </w:r>
      <w:r w:rsidR="00E200A7">
        <w:rPr>
          <w:rFonts w:ascii="Arial" w:hAnsi="Arial" w:cs="Arial"/>
          <w:kern w:val="24"/>
          <w:sz w:val="22"/>
          <w:szCs w:val="22"/>
        </w:rPr>
        <w:t>1</w:t>
      </w:r>
      <w:r w:rsidR="0000227B" w:rsidRPr="00C76091">
        <w:rPr>
          <w:rFonts w:ascii="Arial" w:hAnsi="Arial" w:cs="Arial"/>
          <w:kern w:val="24"/>
          <w:sz w:val="22"/>
          <w:szCs w:val="22"/>
        </w:rPr>
        <w:t xml:space="preserve"> millones </w:t>
      </w:r>
      <w:r w:rsidR="00C63FAE" w:rsidRPr="00C76091">
        <w:rPr>
          <w:rFonts w:ascii="Arial" w:hAnsi="Arial" w:cs="Arial"/>
          <w:kern w:val="24"/>
          <w:sz w:val="22"/>
          <w:szCs w:val="22"/>
        </w:rPr>
        <w:t>de m</w:t>
      </w:r>
      <w:r w:rsidR="00BA7F77" w:rsidRPr="00C76091">
        <w:rPr>
          <w:rFonts w:ascii="Arial" w:hAnsi="Arial" w:cs="Arial"/>
          <w:kern w:val="24"/>
          <w:sz w:val="22"/>
          <w:szCs w:val="22"/>
        </w:rPr>
        <w:t>ayores</w:t>
      </w:r>
      <w:r w:rsidR="00C63FAE" w:rsidRPr="00C76091">
        <w:rPr>
          <w:rFonts w:ascii="Arial" w:hAnsi="Arial" w:cs="Arial"/>
          <w:kern w:val="24"/>
          <w:sz w:val="22"/>
          <w:szCs w:val="22"/>
        </w:rPr>
        <w:t xml:space="preserve"> </w:t>
      </w:r>
      <w:r w:rsidR="0094661A" w:rsidRPr="00C76091">
        <w:rPr>
          <w:rFonts w:ascii="Arial" w:hAnsi="Arial" w:cs="Arial"/>
          <w:kern w:val="24"/>
          <w:sz w:val="22"/>
          <w:szCs w:val="22"/>
        </w:rPr>
        <w:t>devoluci</w:t>
      </w:r>
      <w:r w:rsidR="00BA7F77" w:rsidRPr="00C76091">
        <w:rPr>
          <w:rFonts w:ascii="Arial" w:hAnsi="Arial" w:cs="Arial"/>
          <w:kern w:val="24"/>
          <w:sz w:val="22"/>
          <w:szCs w:val="22"/>
        </w:rPr>
        <w:t xml:space="preserve">ones </w:t>
      </w:r>
      <w:r w:rsidR="00C63FAE" w:rsidRPr="00C76091">
        <w:rPr>
          <w:rFonts w:ascii="Arial" w:hAnsi="Arial" w:cs="Arial"/>
          <w:kern w:val="24"/>
          <w:sz w:val="22"/>
          <w:szCs w:val="22"/>
        </w:rPr>
        <w:t xml:space="preserve">respecto de lo obtenido durante </w:t>
      </w:r>
      <w:r>
        <w:rPr>
          <w:rFonts w:ascii="Arial" w:hAnsi="Arial" w:cs="Arial"/>
          <w:kern w:val="24"/>
          <w:sz w:val="22"/>
          <w:szCs w:val="22"/>
        </w:rPr>
        <w:t>e</w:t>
      </w:r>
      <w:r w:rsidR="00C63FAE" w:rsidRPr="00C76091">
        <w:rPr>
          <w:rFonts w:ascii="Arial" w:hAnsi="Arial" w:cs="Arial"/>
          <w:kern w:val="24"/>
          <w:sz w:val="22"/>
          <w:szCs w:val="22"/>
        </w:rPr>
        <w:t xml:space="preserve">l año </w:t>
      </w:r>
      <w:r w:rsidR="00FF25B8" w:rsidRPr="00C76091">
        <w:rPr>
          <w:rFonts w:ascii="Arial" w:hAnsi="Arial" w:cs="Arial"/>
          <w:kern w:val="24"/>
          <w:sz w:val="22"/>
          <w:szCs w:val="22"/>
        </w:rPr>
        <w:t>2024</w:t>
      </w:r>
      <w:r w:rsidR="00C63FAE" w:rsidRPr="00C76091">
        <w:rPr>
          <w:rFonts w:ascii="Arial" w:hAnsi="Arial" w:cs="Arial"/>
          <w:kern w:val="24"/>
          <w:sz w:val="22"/>
          <w:szCs w:val="22"/>
        </w:rPr>
        <w:t>.</w:t>
      </w:r>
      <w:r w:rsidR="003C2188" w:rsidRPr="00C76091">
        <w:rPr>
          <w:rFonts w:ascii="Arial" w:hAnsi="Arial" w:cs="Arial"/>
          <w:kern w:val="24"/>
          <w:sz w:val="22"/>
          <w:szCs w:val="22"/>
        </w:rPr>
        <w:t xml:space="preserve"> </w:t>
      </w:r>
      <w:r w:rsidR="0074622C" w:rsidRPr="00C76091">
        <w:rPr>
          <w:rFonts w:ascii="Arial" w:hAnsi="Arial" w:cs="Arial"/>
          <w:kern w:val="24"/>
          <w:sz w:val="22"/>
          <w:szCs w:val="22"/>
        </w:rPr>
        <w:t xml:space="preserve"> </w:t>
      </w:r>
    </w:p>
    <w:p w14:paraId="5CEC0C47" w14:textId="7EFA4682" w:rsidR="00CA1E3C" w:rsidRPr="00FC7F1F" w:rsidRDefault="00CA1E3C" w:rsidP="00FC7F1F">
      <w:pPr>
        <w:spacing w:after="0" w:line="240" w:lineRule="auto"/>
        <w:rPr>
          <w:rFonts w:ascii="Arial" w:hAnsi="Arial" w:cs="Arial"/>
        </w:rPr>
      </w:pPr>
    </w:p>
    <w:p w14:paraId="412A3DDB" w14:textId="77777777" w:rsidR="00413973" w:rsidRPr="00413973" w:rsidRDefault="00413973" w:rsidP="00413973">
      <w:pPr>
        <w:spacing w:after="240" w:line="240" w:lineRule="auto"/>
        <w:ind w:left="283" w:hanging="215"/>
        <w:contextualSpacing/>
        <w:rPr>
          <w:rFonts w:ascii="Arial" w:hAnsi="Arial" w:cs="Arial"/>
          <w:b/>
        </w:rPr>
      </w:pPr>
      <w:r w:rsidRPr="00413973">
        <w:rPr>
          <w:rFonts w:ascii="Arial" w:hAnsi="Arial" w:cs="Arial"/>
          <w:b/>
        </w:rPr>
        <w:t>Gerencia de Comunicaciones e Imagen Institucional</w:t>
      </w:r>
    </w:p>
    <w:p w14:paraId="0C93E320" w14:textId="20C4ED24" w:rsidR="00413973" w:rsidRPr="00413973" w:rsidRDefault="00413973" w:rsidP="00413973">
      <w:pPr>
        <w:spacing w:after="0" w:line="240" w:lineRule="auto"/>
        <w:ind w:left="283" w:hanging="215"/>
        <w:contextualSpacing/>
        <w:rPr>
          <w:rFonts w:ascii="Arial" w:hAnsi="Arial" w:cs="Arial"/>
        </w:rPr>
      </w:pPr>
      <w:r w:rsidRPr="00413973">
        <w:rPr>
          <w:rFonts w:ascii="Arial" w:hAnsi="Arial" w:cs="Arial"/>
        </w:rPr>
        <w:t xml:space="preserve">Lima, </w:t>
      </w:r>
      <w:r>
        <w:rPr>
          <w:rFonts w:ascii="Arial" w:hAnsi="Arial" w:cs="Arial"/>
        </w:rPr>
        <w:t>martes</w:t>
      </w:r>
      <w:r w:rsidRPr="00413973">
        <w:rPr>
          <w:rFonts w:ascii="Arial" w:hAnsi="Arial" w:cs="Arial"/>
        </w:rPr>
        <w:t xml:space="preserve"> 1</w:t>
      </w:r>
      <w:r>
        <w:rPr>
          <w:rFonts w:ascii="Arial" w:hAnsi="Arial" w:cs="Arial"/>
        </w:rPr>
        <w:t>3</w:t>
      </w:r>
      <w:r w:rsidRPr="00413973">
        <w:rPr>
          <w:rFonts w:ascii="Arial" w:hAnsi="Arial" w:cs="Arial"/>
        </w:rPr>
        <w:t xml:space="preserve"> de enero de</w:t>
      </w:r>
      <w:r>
        <w:rPr>
          <w:rFonts w:ascii="Arial" w:hAnsi="Arial" w:cs="Arial"/>
        </w:rPr>
        <w:t>l</w:t>
      </w:r>
      <w:r w:rsidRPr="00413973">
        <w:rPr>
          <w:rFonts w:ascii="Arial" w:hAnsi="Arial" w:cs="Arial"/>
        </w:rPr>
        <w:t xml:space="preserve"> 2026.</w:t>
      </w:r>
    </w:p>
    <w:p w14:paraId="1CE013DD" w14:textId="5B66C26D" w:rsidR="00CA1E3C" w:rsidRPr="00413973" w:rsidRDefault="00CA1E3C" w:rsidP="006F0DC0">
      <w:pPr>
        <w:spacing w:before="240" w:after="240" w:line="240" w:lineRule="auto"/>
        <w:ind w:left="284" w:hanging="218"/>
        <w:jc w:val="center"/>
        <w:rPr>
          <w:rFonts w:ascii="Arial Nova" w:hAnsi="Arial Nova" w:cs="Arial"/>
          <w:bCs/>
        </w:rPr>
      </w:pPr>
    </w:p>
    <w:sectPr w:rsidR="00CA1E3C" w:rsidRPr="00413973" w:rsidSect="00DE4C9D">
      <w:headerReference w:type="default" r:id="rId8"/>
      <w:footerReference w:type="default" r:id="rId9"/>
      <w:pgSz w:w="11906" w:h="16838"/>
      <w:pgMar w:top="1588" w:right="1701" w:bottom="158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12AD" w14:textId="77777777" w:rsidR="00641CC0" w:rsidRDefault="00641CC0" w:rsidP="00D57CD9">
      <w:pPr>
        <w:spacing w:after="0" w:line="240" w:lineRule="auto"/>
      </w:pPr>
      <w:r>
        <w:separator/>
      </w:r>
    </w:p>
  </w:endnote>
  <w:endnote w:type="continuationSeparator" w:id="0">
    <w:p w14:paraId="06449FEF" w14:textId="77777777" w:rsidR="00641CC0" w:rsidRDefault="00641CC0" w:rsidP="00D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Antique Olive Roman">
    <w:altName w:val="Corbel"/>
    <w:charset w:val="00"/>
    <w:family w:val="swiss"/>
    <w:pitch w:val="variable"/>
    <w:sig w:usb0="00000007" w:usb1="00000000" w:usb2="000000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D646" w14:textId="2E9C9261" w:rsidR="00845BD7" w:rsidRDefault="00453723">
    <w:pPr>
      <w:pStyle w:val="Piedepgina"/>
    </w:pPr>
    <w:r>
      <w:rPr>
        <w:rFonts w:ascii="Antique Olive Roman" w:hAnsi="Antique Olive Roman" w:cs="Aharoni"/>
        <w:b/>
        <w:noProof/>
        <w:szCs w:val="20"/>
        <w:lang w:val="es-ES_tradnl" w:eastAsia="es-ES_tradnl"/>
      </w:rPr>
      <w:drawing>
        <wp:inline distT="0" distB="0" distL="0" distR="0" wp14:anchorId="32FFDA03" wp14:editId="54CF4525">
          <wp:extent cx="292735" cy="292735"/>
          <wp:effectExtent l="0" t="0" r="0" b="0"/>
          <wp:docPr id="11" name="Imagen 2" descr="Descripción: Descripción: logo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logo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292735"/>
                  </a:xfrm>
                  <a:prstGeom prst="rect">
                    <a:avLst/>
                  </a:prstGeom>
                  <a:noFill/>
                  <a:ln>
                    <a:noFill/>
                  </a:ln>
                </pic:spPr>
              </pic:pic>
            </a:graphicData>
          </a:graphic>
        </wp:inline>
      </w:drawing>
    </w:r>
    <w:r w:rsidR="00845BD7">
      <w:rPr>
        <w:rFonts w:ascii="Antique Olive Roman" w:hAnsi="Antique Olive Roman" w:cs="Aharoni"/>
        <w:b/>
        <w:szCs w:val="20"/>
      </w:rPr>
      <w:t xml:space="preserve">  @SUNAT</w:t>
    </w:r>
    <w:r w:rsidR="00704AAB">
      <w:rPr>
        <w:rFonts w:ascii="Antique Olive Roman" w:hAnsi="Antique Olive Roman" w:cs="Aharoni"/>
        <w:b/>
        <w:szCs w:val="20"/>
      </w:rPr>
      <w: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C45E" w14:textId="77777777" w:rsidR="00641CC0" w:rsidRDefault="00641CC0" w:rsidP="00D57CD9">
      <w:pPr>
        <w:spacing w:after="0" w:line="240" w:lineRule="auto"/>
      </w:pPr>
      <w:r>
        <w:separator/>
      </w:r>
    </w:p>
  </w:footnote>
  <w:footnote w:type="continuationSeparator" w:id="0">
    <w:p w14:paraId="6C2E1E8D" w14:textId="77777777" w:rsidR="00641CC0" w:rsidRDefault="00641CC0" w:rsidP="00D57CD9">
      <w:pPr>
        <w:spacing w:after="0" w:line="240" w:lineRule="auto"/>
      </w:pPr>
      <w:r>
        <w:continuationSeparator/>
      </w:r>
    </w:p>
  </w:footnote>
  <w:footnote w:id="1">
    <w:p w14:paraId="16B5FB1E" w14:textId="228179C8" w:rsidR="003C2188" w:rsidRPr="00FD58FF" w:rsidRDefault="003C2188" w:rsidP="003C2188">
      <w:pPr>
        <w:pStyle w:val="Textonotapie"/>
        <w:ind w:left="142" w:hanging="142"/>
        <w:jc w:val="both"/>
        <w:rPr>
          <w:rFonts w:ascii="Arial Nova" w:hAnsi="Arial Nova" w:cs="Arial"/>
          <w:sz w:val="18"/>
          <w:szCs w:val="18"/>
        </w:rPr>
      </w:pPr>
      <w:r w:rsidRPr="00FD58FF">
        <w:rPr>
          <w:rStyle w:val="Refdenotaalpie"/>
          <w:rFonts w:ascii="Arial Nova" w:hAnsi="Arial Nova" w:cs="Arial"/>
          <w:sz w:val="18"/>
          <w:szCs w:val="18"/>
        </w:rPr>
        <w:footnoteRef/>
      </w:r>
      <w:r w:rsidRPr="00FD58FF">
        <w:rPr>
          <w:rFonts w:ascii="Arial Nova" w:hAnsi="Arial Nova" w:cs="Arial"/>
          <w:sz w:val="18"/>
          <w:szCs w:val="18"/>
        </w:rPr>
        <w:t xml:space="preserve"> </w:t>
      </w:r>
      <w:r w:rsidRPr="00FD58FF">
        <w:rPr>
          <w:rFonts w:ascii="Arial Nova" w:hAnsi="Arial Nova" w:cs="Arial"/>
          <w:kern w:val="24"/>
          <w:sz w:val="18"/>
          <w:szCs w:val="18"/>
          <w:lang w:val="es-ES"/>
        </w:rPr>
        <w:t xml:space="preserve">Todas las variaciones porcentuales en este documento se expresan en términos reales, salvo indicación </w:t>
      </w:r>
      <w:r>
        <w:rPr>
          <w:rFonts w:ascii="Arial Nova" w:hAnsi="Arial Nova" w:cs="Arial"/>
          <w:kern w:val="24"/>
          <w:sz w:val="18"/>
          <w:szCs w:val="18"/>
          <w:lang w:val="es-ES"/>
        </w:rPr>
        <w:t xml:space="preserve">expresa </w:t>
      </w:r>
      <w:r w:rsidRPr="00FD58FF">
        <w:rPr>
          <w:rFonts w:ascii="Arial Nova" w:hAnsi="Arial Nova" w:cs="Arial"/>
          <w:kern w:val="24"/>
          <w:sz w:val="18"/>
          <w:szCs w:val="18"/>
          <w:lang w:val="es-ES"/>
        </w:rPr>
        <w:t>en contrario.</w:t>
      </w:r>
    </w:p>
  </w:footnote>
  <w:footnote w:id="2">
    <w:p w14:paraId="4C4139A4" w14:textId="4651C3BB" w:rsidR="00F2628F" w:rsidRPr="00FD58FF" w:rsidRDefault="00F2628F" w:rsidP="006F0DC0">
      <w:pPr>
        <w:pStyle w:val="Textonotapie"/>
        <w:ind w:left="142" w:hanging="142"/>
        <w:jc w:val="both"/>
        <w:rPr>
          <w:rFonts w:ascii="Arial Nova" w:hAnsi="Arial Nova" w:cs="Arial"/>
          <w:sz w:val="18"/>
          <w:szCs w:val="18"/>
        </w:rPr>
      </w:pPr>
      <w:r w:rsidRPr="00B46197">
        <w:rPr>
          <w:rStyle w:val="Refdenotaalpie"/>
          <w:rFonts w:ascii="Arial Nova" w:hAnsi="Arial Nova" w:cs="Arial"/>
          <w:sz w:val="18"/>
          <w:szCs w:val="18"/>
        </w:rPr>
        <w:footnoteRef/>
      </w:r>
      <w:r w:rsidRPr="00B46197">
        <w:rPr>
          <w:rFonts w:ascii="Arial Nova" w:hAnsi="Arial Nova" w:cs="Arial"/>
          <w:sz w:val="18"/>
          <w:szCs w:val="18"/>
        </w:rPr>
        <w:t xml:space="preserve"> </w:t>
      </w:r>
      <w:r w:rsidR="00E3095C" w:rsidRPr="00B46197">
        <w:rPr>
          <w:rFonts w:ascii="Arial Nova" w:hAnsi="Arial Nova" w:cs="Arial"/>
          <w:sz w:val="18"/>
          <w:szCs w:val="18"/>
        </w:rPr>
        <w:t>S</w:t>
      </w:r>
      <w:r w:rsidR="0017495C" w:rsidRPr="00B46197">
        <w:rPr>
          <w:rFonts w:ascii="Arial Nova" w:hAnsi="Arial Nova" w:cs="Arial"/>
          <w:sz w:val="18"/>
          <w:szCs w:val="18"/>
        </w:rPr>
        <w:t>egún p</w:t>
      </w:r>
      <w:r w:rsidRPr="00B46197">
        <w:rPr>
          <w:rFonts w:ascii="Arial Nova" w:hAnsi="Arial Nova" w:cs="Arial"/>
          <w:sz w:val="18"/>
          <w:szCs w:val="18"/>
        </w:rPr>
        <w:t xml:space="preserve">royección del BCRP de diciembre </w:t>
      </w:r>
      <w:r w:rsidR="008A2097">
        <w:rPr>
          <w:rFonts w:ascii="Arial Nova" w:hAnsi="Arial Nova" w:cs="Arial"/>
          <w:sz w:val="18"/>
          <w:szCs w:val="18"/>
        </w:rPr>
        <w:t>2025</w:t>
      </w:r>
      <w:r w:rsidRPr="00B46197">
        <w:rPr>
          <w:rFonts w:ascii="Arial Nova" w:hAnsi="Arial Nova"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8377" w14:textId="3BE0FDCB" w:rsidR="00845BD7" w:rsidRDefault="00453723">
    <w:pPr>
      <w:pStyle w:val="Encabezado"/>
    </w:pPr>
    <w:r>
      <w:rPr>
        <w:noProof/>
        <w:lang w:val="es-ES_tradnl" w:eastAsia="es-ES_tradnl"/>
      </w:rPr>
      <w:drawing>
        <wp:inline distT="0" distB="0" distL="0" distR="0" wp14:anchorId="78AD7F76" wp14:editId="41752E23">
          <wp:extent cx="2070100" cy="680085"/>
          <wp:effectExtent l="0" t="0" r="0" b="0"/>
          <wp:docPr id="10" name="Imagen 1" descr="Descripción: 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313"/>
    <w:multiLevelType w:val="hybridMultilevel"/>
    <w:tmpl w:val="444A436A"/>
    <w:lvl w:ilvl="0" w:tplc="580A0001">
      <w:start w:val="1"/>
      <w:numFmt w:val="bullet"/>
      <w:lvlText w:val=""/>
      <w:lvlJc w:val="left"/>
      <w:pPr>
        <w:ind w:left="786" w:hanging="360"/>
      </w:pPr>
      <w:rPr>
        <w:rFonts w:ascii="Symbol" w:hAnsi="Symbol" w:hint="default"/>
      </w:rPr>
    </w:lvl>
    <w:lvl w:ilvl="1" w:tplc="280A0001">
      <w:start w:val="1"/>
      <w:numFmt w:val="bullet"/>
      <w:lvlText w:val=""/>
      <w:lvlJc w:val="left"/>
      <w:pPr>
        <w:ind w:left="1506" w:hanging="360"/>
      </w:pPr>
      <w:rPr>
        <w:rFonts w:ascii="Symbol" w:hAnsi="Symbol"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 w15:restartNumberingAfterBreak="0">
    <w:nsid w:val="06DC637C"/>
    <w:multiLevelType w:val="hybridMultilevel"/>
    <w:tmpl w:val="92D45D5C"/>
    <w:lvl w:ilvl="0" w:tplc="280A0003">
      <w:start w:val="1"/>
      <w:numFmt w:val="bullet"/>
      <w:lvlText w:val="o"/>
      <w:lvlJc w:val="left"/>
      <w:pPr>
        <w:ind w:left="426" w:hanging="360"/>
      </w:pPr>
      <w:rPr>
        <w:rFonts w:ascii="Courier New" w:hAnsi="Courier New" w:cs="Courier New"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2" w15:restartNumberingAfterBreak="0">
    <w:nsid w:val="15D075C3"/>
    <w:multiLevelType w:val="hybridMultilevel"/>
    <w:tmpl w:val="32D69FD8"/>
    <w:lvl w:ilvl="0" w:tplc="280A0001">
      <w:start w:val="1"/>
      <w:numFmt w:val="bullet"/>
      <w:lvlText w:val=""/>
      <w:lvlJc w:val="left"/>
      <w:pPr>
        <w:tabs>
          <w:tab w:val="num" w:pos="720"/>
        </w:tabs>
        <w:ind w:left="720" w:hanging="360"/>
      </w:pPr>
      <w:rPr>
        <w:rFonts w:ascii="Symbol" w:hAnsi="Symbol" w:hint="default"/>
      </w:rPr>
    </w:lvl>
    <w:lvl w:ilvl="1" w:tplc="2C006A36" w:tentative="1">
      <w:start w:val="1"/>
      <w:numFmt w:val="bullet"/>
      <w:lvlText w:val="•"/>
      <w:lvlJc w:val="left"/>
      <w:pPr>
        <w:tabs>
          <w:tab w:val="num" w:pos="1440"/>
        </w:tabs>
        <w:ind w:left="1440" w:hanging="360"/>
      </w:pPr>
      <w:rPr>
        <w:rFonts w:ascii="Arial" w:hAnsi="Arial" w:hint="default"/>
      </w:rPr>
    </w:lvl>
    <w:lvl w:ilvl="2" w:tplc="F3D62496" w:tentative="1">
      <w:start w:val="1"/>
      <w:numFmt w:val="bullet"/>
      <w:lvlText w:val="•"/>
      <w:lvlJc w:val="left"/>
      <w:pPr>
        <w:tabs>
          <w:tab w:val="num" w:pos="2160"/>
        </w:tabs>
        <w:ind w:left="2160" w:hanging="360"/>
      </w:pPr>
      <w:rPr>
        <w:rFonts w:ascii="Arial" w:hAnsi="Arial" w:hint="default"/>
      </w:rPr>
    </w:lvl>
    <w:lvl w:ilvl="3" w:tplc="05423846" w:tentative="1">
      <w:start w:val="1"/>
      <w:numFmt w:val="bullet"/>
      <w:lvlText w:val="•"/>
      <w:lvlJc w:val="left"/>
      <w:pPr>
        <w:tabs>
          <w:tab w:val="num" w:pos="2880"/>
        </w:tabs>
        <w:ind w:left="2880" w:hanging="360"/>
      </w:pPr>
      <w:rPr>
        <w:rFonts w:ascii="Arial" w:hAnsi="Arial" w:hint="default"/>
      </w:rPr>
    </w:lvl>
    <w:lvl w:ilvl="4" w:tplc="238C18E6" w:tentative="1">
      <w:start w:val="1"/>
      <w:numFmt w:val="bullet"/>
      <w:lvlText w:val="•"/>
      <w:lvlJc w:val="left"/>
      <w:pPr>
        <w:tabs>
          <w:tab w:val="num" w:pos="3600"/>
        </w:tabs>
        <w:ind w:left="3600" w:hanging="360"/>
      </w:pPr>
      <w:rPr>
        <w:rFonts w:ascii="Arial" w:hAnsi="Arial" w:hint="default"/>
      </w:rPr>
    </w:lvl>
    <w:lvl w:ilvl="5" w:tplc="7090D8FC" w:tentative="1">
      <w:start w:val="1"/>
      <w:numFmt w:val="bullet"/>
      <w:lvlText w:val="•"/>
      <w:lvlJc w:val="left"/>
      <w:pPr>
        <w:tabs>
          <w:tab w:val="num" w:pos="4320"/>
        </w:tabs>
        <w:ind w:left="4320" w:hanging="360"/>
      </w:pPr>
      <w:rPr>
        <w:rFonts w:ascii="Arial" w:hAnsi="Arial" w:hint="default"/>
      </w:rPr>
    </w:lvl>
    <w:lvl w:ilvl="6" w:tplc="C7A24E9A" w:tentative="1">
      <w:start w:val="1"/>
      <w:numFmt w:val="bullet"/>
      <w:lvlText w:val="•"/>
      <w:lvlJc w:val="left"/>
      <w:pPr>
        <w:tabs>
          <w:tab w:val="num" w:pos="5040"/>
        </w:tabs>
        <w:ind w:left="5040" w:hanging="360"/>
      </w:pPr>
      <w:rPr>
        <w:rFonts w:ascii="Arial" w:hAnsi="Arial" w:hint="default"/>
      </w:rPr>
    </w:lvl>
    <w:lvl w:ilvl="7" w:tplc="F89AB5C6" w:tentative="1">
      <w:start w:val="1"/>
      <w:numFmt w:val="bullet"/>
      <w:lvlText w:val="•"/>
      <w:lvlJc w:val="left"/>
      <w:pPr>
        <w:tabs>
          <w:tab w:val="num" w:pos="5760"/>
        </w:tabs>
        <w:ind w:left="5760" w:hanging="360"/>
      </w:pPr>
      <w:rPr>
        <w:rFonts w:ascii="Arial" w:hAnsi="Arial" w:hint="default"/>
      </w:rPr>
    </w:lvl>
    <w:lvl w:ilvl="8" w:tplc="FEE2E4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4049A7"/>
    <w:multiLevelType w:val="hybridMultilevel"/>
    <w:tmpl w:val="A95A4DBA"/>
    <w:lvl w:ilvl="0" w:tplc="280A0001">
      <w:start w:val="1"/>
      <w:numFmt w:val="bullet"/>
      <w:lvlText w:val=""/>
      <w:lvlJc w:val="left"/>
      <w:pPr>
        <w:tabs>
          <w:tab w:val="num" w:pos="720"/>
        </w:tabs>
        <w:ind w:left="720" w:hanging="360"/>
      </w:pPr>
      <w:rPr>
        <w:rFonts w:ascii="Symbol" w:hAnsi="Symbol" w:hint="default"/>
      </w:rPr>
    </w:lvl>
    <w:lvl w:ilvl="1" w:tplc="A8401FFE" w:tentative="1">
      <w:start w:val="1"/>
      <w:numFmt w:val="bullet"/>
      <w:lvlText w:val="•"/>
      <w:lvlJc w:val="left"/>
      <w:pPr>
        <w:tabs>
          <w:tab w:val="num" w:pos="1440"/>
        </w:tabs>
        <w:ind w:left="1440" w:hanging="360"/>
      </w:pPr>
      <w:rPr>
        <w:rFonts w:ascii="Arial" w:hAnsi="Arial" w:hint="default"/>
      </w:rPr>
    </w:lvl>
    <w:lvl w:ilvl="2" w:tplc="A22E5102" w:tentative="1">
      <w:start w:val="1"/>
      <w:numFmt w:val="bullet"/>
      <w:lvlText w:val="•"/>
      <w:lvlJc w:val="left"/>
      <w:pPr>
        <w:tabs>
          <w:tab w:val="num" w:pos="2160"/>
        </w:tabs>
        <w:ind w:left="2160" w:hanging="360"/>
      </w:pPr>
      <w:rPr>
        <w:rFonts w:ascii="Arial" w:hAnsi="Arial" w:hint="default"/>
      </w:rPr>
    </w:lvl>
    <w:lvl w:ilvl="3" w:tplc="0CE295AC" w:tentative="1">
      <w:start w:val="1"/>
      <w:numFmt w:val="bullet"/>
      <w:lvlText w:val="•"/>
      <w:lvlJc w:val="left"/>
      <w:pPr>
        <w:tabs>
          <w:tab w:val="num" w:pos="2880"/>
        </w:tabs>
        <w:ind w:left="2880" w:hanging="360"/>
      </w:pPr>
      <w:rPr>
        <w:rFonts w:ascii="Arial" w:hAnsi="Arial" w:hint="default"/>
      </w:rPr>
    </w:lvl>
    <w:lvl w:ilvl="4" w:tplc="8A64A456" w:tentative="1">
      <w:start w:val="1"/>
      <w:numFmt w:val="bullet"/>
      <w:lvlText w:val="•"/>
      <w:lvlJc w:val="left"/>
      <w:pPr>
        <w:tabs>
          <w:tab w:val="num" w:pos="3600"/>
        </w:tabs>
        <w:ind w:left="3600" w:hanging="360"/>
      </w:pPr>
      <w:rPr>
        <w:rFonts w:ascii="Arial" w:hAnsi="Arial" w:hint="default"/>
      </w:rPr>
    </w:lvl>
    <w:lvl w:ilvl="5" w:tplc="0D828E58" w:tentative="1">
      <w:start w:val="1"/>
      <w:numFmt w:val="bullet"/>
      <w:lvlText w:val="•"/>
      <w:lvlJc w:val="left"/>
      <w:pPr>
        <w:tabs>
          <w:tab w:val="num" w:pos="4320"/>
        </w:tabs>
        <w:ind w:left="4320" w:hanging="360"/>
      </w:pPr>
      <w:rPr>
        <w:rFonts w:ascii="Arial" w:hAnsi="Arial" w:hint="default"/>
      </w:rPr>
    </w:lvl>
    <w:lvl w:ilvl="6" w:tplc="2E086416" w:tentative="1">
      <w:start w:val="1"/>
      <w:numFmt w:val="bullet"/>
      <w:lvlText w:val="•"/>
      <w:lvlJc w:val="left"/>
      <w:pPr>
        <w:tabs>
          <w:tab w:val="num" w:pos="5040"/>
        </w:tabs>
        <w:ind w:left="5040" w:hanging="360"/>
      </w:pPr>
      <w:rPr>
        <w:rFonts w:ascii="Arial" w:hAnsi="Arial" w:hint="default"/>
      </w:rPr>
    </w:lvl>
    <w:lvl w:ilvl="7" w:tplc="31AE2D7A" w:tentative="1">
      <w:start w:val="1"/>
      <w:numFmt w:val="bullet"/>
      <w:lvlText w:val="•"/>
      <w:lvlJc w:val="left"/>
      <w:pPr>
        <w:tabs>
          <w:tab w:val="num" w:pos="5760"/>
        </w:tabs>
        <w:ind w:left="5760" w:hanging="360"/>
      </w:pPr>
      <w:rPr>
        <w:rFonts w:ascii="Arial" w:hAnsi="Arial" w:hint="default"/>
      </w:rPr>
    </w:lvl>
    <w:lvl w:ilvl="8" w:tplc="1A72D2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165F0C"/>
    <w:multiLevelType w:val="hybridMultilevel"/>
    <w:tmpl w:val="3036CCA4"/>
    <w:lvl w:ilvl="0" w:tplc="280A0001">
      <w:start w:val="1"/>
      <w:numFmt w:val="bullet"/>
      <w:lvlText w:val=""/>
      <w:lvlJc w:val="left"/>
      <w:pPr>
        <w:ind w:left="426" w:hanging="360"/>
      </w:pPr>
      <w:rPr>
        <w:rFonts w:ascii="Symbol" w:hAnsi="Symbol" w:hint="default"/>
      </w:rPr>
    </w:lvl>
    <w:lvl w:ilvl="1" w:tplc="280A0003" w:tentative="1">
      <w:start w:val="1"/>
      <w:numFmt w:val="bullet"/>
      <w:lvlText w:val="o"/>
      <w:lvlJc w:val="left"/>
      <w:pPr>
        <w:ind w:left="1146" w:hanging="360"/>
      </w:pPr>
      <w:rPr>
        <w:rFonts w:ascii="Courier New" w:hAnsi="Courier New" w:cs="Courier New" w:hint="default"/>
      </w:rPr>
    </w:lvl>
    <w:lvl w:ilvl="2" w:tplc="280A0005" w:tentative="1">
      <w:start w:val="1"/>
      <w:numFmt w:val="bullet"/>
      <w:lvlText w:val=""/>
      <w:lvlJc w:val="left"/>
      <w:pPr>
        <w:ind w:left="1866" w:hanging="360"/>
      </w:pPr>
      <w:rPr>
        <w:rFonts w:ascii="Wingdings" w:hAnsi="Wingdings" w:hint="default"/>
      </w:rPr>
    </w:lvl>
    <w:lvl w:ilvl="3" w:tplc="280A0001" w:tentative="1">
      <w:start w:val="1"/>
      <w:numFmt w:val="bullet"/>
      <w:lvlText w:val=""/>
      <w:lvlJc w:val="left"/>
      <w:pPr>
        <w:ind w:left="2586" w:hanging="360"/>
      </w:pPr>
      <w:rPr>
        <w:rFonts w:ascii="Symbol" w:hAnsi="Symbol" w:hint="default"/>
      </w:rPr>
    </w:lvl>
    <w:lvl w:ilvl="4" w:tplc="280A0003" w:tentative="1">
      <w:start w:val="1"/>
      <w:numFmt w:val="bullet"/>
      <w:lvlText w:val="o"/>
      <w:lvlJc w:val="left"/>
      <w:pPr>
        <w:ind w:left="3306" w:hanging="360"/>
      </w:pPr>
      <w:rPr>
        <w:rFonts w:ascii="Courier New" w:hAnsi="Courier New" w:cs="Courier New" w:hint="default"/>
      </w:rPr>
    </w:lvl>
    <w:lvl w:ilvl="5" w:tplc="280A0005" w:tentative="1">
      <w:start w:val="1"/>
      <w:numFmt w:val="bullet"/>
      <w:lvlText w:val=""/>
      <w:lvlJc w:val="left"/>
      <w:pPr>
        <w:ind w:left="4026" w:hanging="360"/>
      </w:pPr>
      <w:rPr>
        <w:rFonts w:ascii="Wingdings" w:hAnsi="Wingdings" w:hint="default"/>
      </w:rPr>
    </w:lvl>
    <w:lvl w:ilvl="6" w:tplc="280A0001" w:tentative="1">
      <w:start w:val="1"/>
      <w:numFmt w:val="bullet"/>
      <w:lvlText w:val=""/>
      <w:lvlJc w:val="left"/>
      <w:pPr>
        <w:ind w:left="4746" w:hanging="360"/>
      </w:pPr>
      <w:rPr>
        <w:rFonts w:ascii="Symbol" w:hAnsi="Symbol" w:hint="default"/>
      </w:rPr>
    </w:lvl>
    <w:lvl w:ilvl="7" w:tplc="280A0003" w:tentative="1">
      <w:start w:val="1"/>
      <w:numFmt w:val="bullet"/>
      <w:lvlText w:val="o"/>
      <w:lvlJc w:val="left"/>
      <w:pPr>
        <w:ind w:left="5466" w:hanging="360"/>
      </w:pPr>
      <w:rPr>
        <w:rFonts w:ascii="Courier New" w:hAnsi="Courier New" w:cs="Courier New" w:hint="default"/>
      </w:rPr>
    </w:lvl>
    <w:lvl w:ilvl="8" w:tplc="280A0005" w:tentative="1">
      <w:start w:val="1"/>
      <w:numFmt w:val="bullet"/>
      <w:lvlText w:val=""/>
      <w:lvlJc w:val="left"/>
      <w:pPr>
        <w:ind w:left="6186" w:hanging="360"/>
      </w:pPr>
      <w:rPr>
        <w:rFonts w:ascii="Wingdings" w:hAnsi="Wingdings" w:hint="default"/>
      </w:rPr>
    </w:lvl>
  </w:abstractNum>
  <w:abstractNum w:abstractNumId="5" w15:restartNumberingAfterBreak="0">
    <w:nsid w:val="24B01C00"/>
    <w:multiLevelType w:val="hybridMultilevel"/>
    <w:tmpl w:val="CF64EA0A"/>
    <w:lvl w:ilvl="0" w:tplc="280A0001">
      <w:start w:val="1"/>
      <w:numFmt w:val="bullet"/>
      <w:lvlText w:val=""/>
      <w:lvlJc w:val="left"/>
      <w:pPr>
        <w:tabs>
          <w:tab w:val="num" w:pos="720"/>
        </w:tabs>
        <w:ind w:left="720" w:hanging="360"/>
      </w:pPr>
      <w:rPr>
        <w:rFonts w:ascii="Symbol" w:hAnsi="Symbol" w:hint="default"/>
      </w:rPr>
    </w:lvl>
    <w:lvl w:ilvl="1" w:tplc="C2DE59A8" w:tentative="1">
      <w:start w:val="1"/>
      <w:numFmt w:val="bullet"/>
      <w:lvlText w:val="•"/>
      <w:lvlJc w:val="left"/>
      <w:pPr>
        <w:tabs>
          <w:tab w:val="num" w:pos="1440"/>
        </w:tabs>
        <w:ind w:left="1440" w:hanging="360"/>
      </w:pPr>
      <w:rPr>
        <w:rFonts w:ascii="Arial" w:hAnsi="Arial" w:hint="default"/>
      </w:rPr>
    </w:lvl>
    <w:lvl w:ilvl="2" w:tplc="122C7EF8" w:tentative="1">
      <w:start w:val="1"/>
      <w:numFmt w:val="bullet"/>
      <w:lvlText w:val="•"/>
      <w:lvlJc w:val="left"/>
      <w:pPr>
        <w:tabs>
          <w:tab w:val="num" w:pos="2160"/>
        </w:tabs>
        <w:ind w:left="2160" w:hanging="360"/>
      </w:pPr>
      <w:rPr>
        <w:rFonts w:ascii="Arial" w:hAnsi="Arial" w:hint="default"/>
      </w:rPr>
    </w:lvl>
    <w:lvl w:ilvl="3" w:tplc="57747488" w:tentative="1">
      <w:start w:val="1"/>
      <w:numFmt w:val="bullet"/>
      <w:lvlText w:val="•"/>
      <w:lvlJc w:val="left"/>
      <w:pPr>
        <w:tabs>
          <w:tab w:val="num" w:pos="2880"/>
        </w:tabs>
        <w:ind w:left="2880" w:hanging="360"/>
      </w:pPr>
      <w:rPr>
        <w:rFonts w:ascii="Arial" w:hAnsi="Arial" w:hint="default"/>
      </w:rPr>
    </w:lvl>
    <w:lvl w:ilvl="4" w:tplc="E160A228" w:tentative="1">
      <w:start w:val="1"/>
      <w:numFmt w:val="bullet"/>
      <w:lvlText w:val="•"/>
      <w:lvlJc w:val="left"/>
      <w:pPr>
        <w:tabs>
          <w:tab w:val="num" w:pos="3600"/>
        </w:tabs>
        <w:ind w:left="3600" w:hanging="360"/>
      </w:pPr>
      <w:rPr>
        <w:rFonts w:ascii="Arial" w:hAnsi="Arial" w:hint="default"/>
      </w:rPr>
    </w:lvl>
    <w:lvl w:ilvl="5" w:tplc="81B0BD70" w:tentative="1">
      <w:start w:val="1"/>
      <w:numFmt w:val="bullet"/>
      <w:lvlText w:val="•"/>
      <w:lvlJc w:val="left"/>
      <w:pPr>
        <w:tabs>
          <w:tab w:val="num" w:pos="4320"/>
        </w:tabs>
        <w:ind w:left="4320" w:hanging="360"/>
      </w:pPr>
      <w:rPr>
        <w:rFonts w:ascii="Arial" w:hAnsi="Arial" w:hint="default"/>
      </w:rPr>
    </w:lvl>
    <w:lvl w:ilvl="6" w:tplc="04521A78" w:tentative="1">
      <w:start w:val="1"/>
      <w:numFmt w:val="bullet"/>
      <w:lvlText w:val="•"/>
      <w:lvlJc w:val="left"/>
      <w:pPr>
        <w:tabs>
          <w:tab w:val="num" w:pos="5040"/>
        </w:tabs>
        <w:ind w:left="5040" w:hanging="360"/>
      </w:pPr>
      <w:rPr>
        <w:rFonts w:ascii="Arial" w:hAnsi="Arial" w:hint="default"/>
      </w:rPr>
    </w:lvl>
    <w:lvl w:ilvl="7" w:tplc="E18EB7D6" w:tentative="1">
      <w:start w:val="1"/>
      <w:numFmt w:val="bullet"/>
      <w:lvlText w:val="•"/>
      <w:lvlJc w:val="left"/>
      <w:pPr>
        <w:tabs>
          <w:tab w:val="num" w:pos="5760"/>
        </w:tabs>
        <w:ind w:left="5760" w:hanging="360"/>
      </w:pPr>
      <w:rPr>
        <w:rFonts w:ascii="Arial" w:hAnsi="Arial" w:hint="default"/>
      </w:rPr>
    </w:lvl>
    <w:lvl w:ilvl="8" w:tplc="0C38271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BD5300"/>
    <w:multiLevelType w:val="hybridMultilevel"/>
    <w:tmpl w:val="F342EF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2DF833CA"/>
    <w:multiLevelType w:val="hybridMultilevel"/>
    <w:tmpl w:val="08725FD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0EB6A2C"/>
    <w:multiLevelType w:val="hybridMultilevel"/>
    <w:tmpl w:val="D90E8510"/>
    <w:lvl w:ilvl="0" w:tplc="280A0005">
      <w:start w:val="1"/>
      <w:numFmt w:val="bullet"/>
      <w:lvlText w:val=""/>
      <w:lvlJc w:val="left"/>
      <w:pPr>
        <w:ind w:left="2138" w:hanging="360"/>
      </w:pPr>
      <w:rPr>
        <w:rFonts w:ascii="Wingdings" w:hAnsi="Wingdings" w:hint="default"/>
      </w:rPr>
    </w:lvl>
    <w:lvl w:ilvl="1" w:tplc="280A0003">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9" w15:restartNumberingAfterBreak="0">
    <w:nsid w:val="35B10997"/>
    <w:multiLevelType w:val="hybridMultilevel"/>
    <w:tmpl w:val="1A8A6DE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8345308"/>
    <w:multiLevelType w:val="hybridMultilevel"/>
    <w:tmpl w:val="40268010"/>
    <w:lvl w:ilvl="0" w:tplc="82F8E9DA">
      <w:start w:val="1"/>
      <w:numFmt w:val="bullet"/>
      <w:lvlText w:val="•"/>
      <w:lvlJc w:val="left"/>
      <w:pPr>
        <w:tabs>
          <w:tab w:val="num" w:pos="720"/>
        </w:tabs>
        <w:ind w:left="720" w:hanging="360"/>
      </w:pPr>
      <w:rPr>
        <w:rFonts w:ascii="Arial" w:hAnsi="Arial" w:hint="default"/>
      </w:rPr>
    </w:lvl>
    <w:lvl w:ilvl="1" w:tplc="E3A2383A" w:tentative="1">
      <w:start w:val="1"/>
      <w:numFmt w:val="bullet"/>
      <w:lvlText w:val="•"/>
      <w:lvlJc w:val="left"/>
      <w:pPr>
        <w:tabs>
          <w:tab w:val="num" w:pos="1440"/>
        </w:tabs>
        <w:ind w:left="1440" w:hanging="360"/>
      </w:pPr>
      <w:rPr>
        <w:rFonts w:ascii="Arial" w:hAnsi="Arial" w:hint="default"/>
      </w:rPr>
    </w:lvl>
    <w:lvl w:ilvl="2" w:tplc="5AE20104" w:tentative="1">
      <w:start w:val="1"/>
      <w:numFmt w:val="bullet"/>
      <w:lvlText w:val="•"/>
      <w:lvlJc w:val="left"/>
      <w:pPr>
        <w:tabs>
          <w:tab w:val="num" w:pos="2160"/>
        </w:tabs>
        <w:ind w:left="2160" w:hanging="360"/>
      </w:pPr>
      <w:rPr>
        <w:rFonts w:ascii="Arial" w:hAnsi="Arial" w:hint="default"/>
      </w:rPr>
    </w:lvl>
    <w:lvl w:ilvl="3" w:tplc="743CAAF2" w:tentative="1">
      <w:start w:val="1"/>
      <w:numFmt w:val="bullet"/>
      <w:lvlText w:val="•"/>
      <w:lvlJc w:val="left"/>
      <w:pPr>
        <w:tabs>
          <w:tab w:val="num" w:pos="2880"/>
        </w:tabs>
        <w:ind w:left="2880" w:hanging="360"/>
      </w:pPr>
      <w:rPr>
        <w:rFonts w:ascii="Arial" w:hAnsi="Arial" w:hint="default"/>
      </w:rPr>
    </w:lvl>
    <w:lvl w:ilvl="4" w:tplc="9AF41DC2" w:tentative="1">
      <w:start w:val="1"/>
      <w:numFmt w:val="bullet"/>
      <w:lvlText w:val="•"/>
      <w:lvlJc w:val="left"/>
      <w:pPr>
        <w:tabs>
          <w:tab w:val="num" w:pos="3600"/>
        </w:tabs>
        <w:ind w:left="3600" w:hanging="360"/>
      </w:pPr>
      <w:rPr>
        <w:rFonts w:ascii="Arial" w:hAnsi="Arial" w:hint="default"/>
      </w:rPr>
    </w:lvl>
    <w:lvl w:ilvl="5" w:tplc="DEA4DEE0" w:tentative="1">
      <w:start w:val="1"/>
      <w:numFmt w:val="bullet"/>
      <w:lvlText w:val="•"/>
      <w:lvlJc w:val="left"/>
      <w:pPr>
        <w:tabs>
          <w:tab w:val="num" w:pos="4320"/>
        </w:tabs>
        <w:ind w:left="4320" w:hanging="360"/>
      </w:pPr>
      <w:rPr>
        <w:rFonts w:ascii="Arial" w:hAnsi="Arial" w:hint="default"/>
      </w:rPr>
    </w:lvl>
    <w:lvl w:ilvl="6" w:tplc="C3901B06" w:tentative="1">
      <w:start w:val="1"/>
      <w:numFmt w:val="bullet"/>
      <w:lvlText w:val="•"/>
      <w:lvlJc w:val="left"/>
      <w:pPr>
        <w:tabs>
          <w:tab w:val="num" w:pos="5040"/>
        </w:tabs>
        <w:ind w:left="5040" w:hanging="360"/>
      </w:pPr>
      <w:rPr>
        <w:rFonts w:ascii="Arial" w:hAnsi="Arial" w:hint="default"/>
      </w:rPr>
    </w:lvl>
    <w:lvl w:ilvl="7" w:tplc="1C0095CA" w:tentative="1">
      <w:start w:val="1"/>
      <w:numFmt w:val="bullet"/>
      <w:lvlText w:val="•"/>
      <w:lvlJc w:val="left"/>
      <w:pPr>
        <w:tabs>
          <w:tab w:val="num" w:pos="5760"/>
        </w:tabs>
        <w:ind w:left="5760" w:hanging="360"/>
      </w:pPr>
      <w:rPr>
        <w:rFonts w:ascii="Arial" w:hAnsi="Arial" w:hint="default"/>
      </w:rPr>
    </w:lvl>
    <w:lvl w:ilvl="8" w:tplc="D76CC1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760665"/>
    <w:multiLevelType w:val="hybridMultilevel"/>
    <w:tmpl w:val="FF4213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8352E9"/>
    <w:multiLevelType w:val="hybridMultilevel"/>
    <w:tmpl w:val="06C299FA"/>
    <w:lvl w:ilvl="0" w:tplc="280A0001">
      <w:start w:val="1"/>
      <w:numFmt w:val="bullet"/>
      <w:lvlText w:val=""/>
      <w:lvlJc w:val="left"/>
      <w:pPr>
        <w:tabs>
          <w:tab w:val="num" w:pos="720"/>
        </w:tabs>
        <w:ind w:left="720" w:hanging="360"/>
      </w:pPr>
      <w:rPr>
        <w:rFonts w:ascii="Symbol" w:hAnsi="Symbol" w:hint="default"/>
      </w:rPr>
    </w:lvl>
    <w:lvl w:ilvl="1" w:tplc="6F966BCE" w:tentative="1">
      <w:start w:val="1"/>
      <w:numFmt w:val="bullet"/>
      <w:lvlText w:val="•"/>
      <w:lvlJc w:val="left"/>
      <w:pPr>
        <w:tabs>
          <w:tab w:val="num" w:pos="1440"/>
        </w:tabs>
        <w:ind w:left="1440" w:hanging="360"/>
      </w:pPr>
      <w:rPr>
        <w:rFonts w:ascii="Arial" w:hAnsi="Arial" w:hint="default"/>
      </w:rPr>
    </w:lvl>
    <w:lvl w:ilvl="2" w:tplc="4FA49952" w:tentative="1">
      <w:start w:val="1"/>
      <w:numFmt w:val="bullet"/>
      <w:lvlText w:val="•"/>
      <w:lvlJc w:val="left"/>
      <w:pPr>
        <w:tabs>
          <w:tab w:val="num" w:pos="2160"/>
        </w:tabs>
        <w:ind w:left="2160" w:hanging="360"/>
      </w:pPr>
      <w:rPr>
        <w:rFonts w:ascii="Arial" w:hAnsi="Arial" w:hint="default"/>
      </w:rPr>
    </w:lvl>
    <w:lvl w:ilvl="3" w:tplc="73ACF222" w:tentative="1">
      <w:start w:val="1"/>
      <w:numFmt w:val="bullet"/>
      <w:lvlText w:val="•"/>
      <w:lvlJc w:val="left"/>
      <w:pPr>
        <w:tabs>
          <w:tab w:val="num" w:pos="2880"/>
        </w:tabs>
        <w:ind w:left="2880" w:hanging="360"/>
      </w:pPr>
      <w:rPr>
        <w:rFonts w:ascii="Arial" w:hAnsi="Arial" w:hint="default"/>
      </w:rPr>
    </w:lvl>
    <w:lvl w:ilvl="4" w:tplc="AEA2F418" w:tentative="1">
      <w:start w:val="1"/>
      <w:numFmt w:val="bullet"/>
      <w:lvlText w:val="•"/>
      <w:lvlJc w:val="left"/>
      <w:pPr>
        <w:tabs>
          <w:tab w:val="num" w:pos="3600"/>
        </w:tabs>
        <w:ind w:left="3600" w:hanging="360"/>
      </w:pPr>
      <w:rPr>
        <w:rFonts w:ascii="Arial" w:hAnsi="Arial" w:hint="default"/>
      </w:rPr>
    </w:lvl>
    <w:lvl w:ilvl="5" w:tplc="E7289DF6" w:tentative="1">
      <w:start w:val="1"/>
      <w:numFmt w:val="bullet"/>
      <w:lvlText w:val="•"/>
      <w:lvlJc w:val="left"/>
      <w:pPr>
        <w:tabs>
          <w:tab w:val="num" w:pos="4320"/>
        </w:tabs>
        <w:ind w:left="4320" w:hanging="360"/>
      </w:pPr>
      <w:rPr>
        <w:rFonts w:ascii="Arial" w:hAnsi="Arial" w:hint="default"/>
      </w:rPr>
    </w:lvl>
    <w:lvl w:ilvl="6" w:tplc="973C5C2A" w:tentative="1">
      <w:start w:val="1"/>
      <w:numFmt w:val="bullet"/>
      <w:lvlText w:val="•"/>
      <w:lvlJc w:val="left"/>
      <w:pPr>
        <w:tabs>
          <w:tab w:val="num" w:pos="5040"/>
        </w:tabs>
        <w:ind w:left="5040" w:hanging="360"/>
      </w:pPr>
      <w:rPr>
        <w:rFonts w:ascii="Arial" w:hAnsi="Arial" w:hint="default"/>
      </w:rPr>
    </w:lvl>
    <w:lvl w:ilvl="7" w:tplc="1A30E3F2" w:tentative="1">
      <w:start w:val="1"/>
      <w:numFmt w:val="bullet"/>
      <w:lvlText w:val="•"/>
      <w:lvlJc w:val="left"/>
      <w:pPr>
        <w:tabs>
          <w:tab w:val="num" w:pos="5760"/>
        </w:tabs>
        <w:ind w:left="5760" w:hanging="360"/>
      </w:pPr>
      <w:rPr>
        <w:rFonts w:ascii="Arial" w:hAnsi="Arial" w:hint="default"/>
      </w:rPr>
    </w:lvl>
    <w:lvl w:ilvl="8" w:tplc="59EE63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F7271F"/>
    <w:multiLevelType w:val="hybridMultilevel"/>
    <w:tmpl w:val="030C32EC"/>
    <w:lvl w:ilvl="0" w:tplc="280A0001">
      <w:start w:val="1"/>
      <w:numFmt w:val="bullet"/>
      <w:lvlText w:val=""/>
      <w:lvlJc w:val="left"/>
      <w:pPr>
        <w:tabs>
          <w:tab w:val="num" w:pos="720"/>
        </w:tabs>
        <w:ind w:left="720" w:hanging="360"/>
      </w:pPr>
      <w:rPr>
        <w:rFonts w:ascii="Symbol" w:hAnsi="Symbol" w:hint="default"/>
      </w:rPr>
    </w:lvl>
    <w:lvl w:ilvl="1" w:tplc="F9F61A98" w:tentative="1">
      <w:start w:val="1"/>
      <w:numFmt w:val="bullet"/>
      <w:lvlText w:val="•"/>
      <w:lvlJc w:val="left"/>
      <w:pPr>
        <w:tabs>
          <w:tab w:val="num" w:pos="1440"/>
        </w:tabs>
        <w:ind w:left="1440" w:hanging="360"/>
      </w:pPr>
      <w:rPr>
        <w:rFonts w:ascii="Arial" w:hAnsi="Arial" w:hint="default"/>
      </w:rPr>
    </w:lvl>
    <w:lvl w:ilvl="2" w:tplc="98C8DCCC" w:tentative="1">
      <w:start w:val="1"/>
      <w:numFmt w:val="bullet"/>
      <w:lvlText w:val="•"/>
      <w:lvlJc w:val="left"/>
      <w:pPr>
        <w:tabs>
          <w:tab w:val="num" w:pos="2160"/>
        </w:tabs>
        <w:ind w:left="2160" w:hanging="360"/>
      </w:pPr>
      <w:rPr>
        <w:rFonts w:ascii="Arial" w:hAnsi="Arial" w:hint="default"/>
      </w:rPr>
    </w:lvl>
    <w:lvl w:ilvl="3" w:tplc="08A02D60" w:tentative="1">
      <w:start w:val="1"/>
      <w:numFmt w:val="bullet"/>
      <w:lvlText w:val="•"/>
      <w:lvlJc w:val="left"/>
      <w:pPr>
        <w:tabs>
          <w:tab w:val="num" w:pos="2880"/>
        </w:tabs>
        <w:ind w:left="2880" w:hanging="360"/>
      </w:pPr>
      <w:rPr>
        <w:rFonts w:ascii="Arial" w:hAnsi="Arial" w:hint="default"/>
      </w:rPr>
    </w:lvl>
    <w:lvl w:ilvl="4" w:tplc="18F26902" w:tentative="1">
      <w:start w:val="1"/>
      <w:numFmt w:val="bullet"/>
      <w:lvlText w:val="•"/>
      <w:lvlJc w:val="left"/>
      <w:pPr>
        <w:tabs>
          <w:tab w:val="num" w:pos="3600"/>
        </w:tabs>
        <w:ind w:left="3600" w:hanging="360"/>
      </w:pPr>
      <w:rPr>
        <w:rFonts w:ascii="Arial" w:hAnsi="Arial" w:hint="default"/>
      </w:rPr>
    </w:lvl>
    <w:lvl w:ilvl="5" w:tplc="F378F5C0" w:tentative="1">
      <w:start w:val="1"/>
      <w:numFmt w:val="bullet"/>
      <w:lvlText w:val="•"/>
      <w:lvlJc w:val="left"/>
      <w:pPr>
        <w:tabs>
          <w:tab w:val="num" w:pos="4320"/>
        </w:tabs>
        <w:ind w:left="4320" w:hanging="360"/>
      </w:pPr>
      <w:rPr>
        <w:rFonts w:ascii="Arial" w:hAnsi="Arial" w:hint="default"/>
      </w:rPr>
    </w:lvl>
    <w:lvl w:ilvl="6" w:tplc="637E5F34" w:tentative="1">
      <w:start w:val="1"/>
      <w:numFmt w:val="bullet"/>
      <w:lvlText w:val="•"/>
      <w:lvlJc w:val="left"/>
      <w:pPr>
        <w:tabs>
          <w:tab w:val="num" w:pos="5040"/>
        </w:tabs>
        <w:ind w:left="5040" w:hanging="360"/>
      </w:pPr>
      <w:rPr>
        <w:rFonts w:ascii="Arial" w:hAnsi="Arial" w:hint="default"/>
      </w:rPr>
    </w:lvl>
    <w:lvl w:ilvl="7" w:tplc="CB4EF7E2" w:tentative="1">
      <w:start w:val="1"/>
      <w:numFmt w:val="bullet"/>
      <w:lvlText w:val="•"/>
      <w:lvlJc w:val="left"/>
      <w:pPr>
        <w:tabs>
          <w:tab w:val="num" w:pos="5760"/>
        </w:tabs>
        <w:ind w:left="5760" w:hanging="360"/>
      </w:pPr>
      <w:rPr>
        <w:rFonts w:ascii="Arial" w:hAnsi="Arial" w:hint="default"/>
      </w:rPr>
    </w:lvl>
    <w:lvl w:ilvl="8" w:tplc="2EF00C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276B72"/>
    <w:multiLevelType w:val="hybridMultilevel"/>
    <w:tmpl w:val="9C7249A0"/>
    <w:lvl w:ilvl="0" w:tplc="580A0001">
      <w:start w:val="1"/>
      <w:numFmt w:val="bullet"/>
      <w:lvlText w:val=""/>
      <w:lvlJc w:val="left"/>
      <w:pPr>
        <w:ind w:left="786" w:hanging="360"/>
      </w:pPr>
      <w:rPr>
        <w:rFonts w:ascii="Symbol" w:hAnsi="Symbol" w:hint="default"/>
      </w:rPr>
    </w:lvl>
    <w:lvl w:ilvl="1" w:tplc="580A0003">
      <w:start w:val="1"/>
      <w:numFmt w:val="bullet"/>
      <w:lvlText w:val="o"/>
      <w:lvlJc w:val="left"/>
      <w:pPr>
        <w:ind w:left="1506" w:hanging="360"/>
      </w:pPr>
      <w:rPr>
        <w:rFonts w:ascii="Courier New" w:hAnsi="Courier New" w:cs="Courier New" w:hint="default"/>
      </w:rPr>
    </w:lvl>
    <w:lvl w:ilvl="2" w:tplc="580A0005">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5" w15:restartNumberingAfterBreak="0">
    <w:nsid w:val="4B9844B5"/>
    <w:multiLevelType w:val="hybridMultilevel"/>
    <w:tmpl w:val="249A6A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4FFD633F"/>
    <w:multiLevelType w:val="hybridMultilevel"/>
    <w:tmpl w:val="0676413A"/>
    <w:lvl w:ilvl="0" w:tplc="FFFFFFFF">
      <w:start w:val="1"/>
      <w:numFmt w:val="bullet"/>
      <w:lvlText w:val=""/>
      <w:lvlJc w:val="left"/>
      <w:pPr>
        <w:ind w:left="786" w:hanging="360"/>
      </w:pPr>
      <w:rPr>
        <w:rFonts w:ascii="Symbol" w:hAnsi="Symbol" w:hint="default"/>
      </w:rPr>
    </w:lvl>
    <w:lvl w:ilvl="1" w:tplc="E1EE297E">
      <w:start w:val="1"/>
      <w:numFmt w:val="bullet"/>
      <w:lvlText w:val=""/>
      <w:lvlJc w:val="left"/>
      <w:pPr>
        <w:ind w:left="1506" w:hanging="360"/>
      </w:pPr>
      <w:rPr>
        <w:rFonts w:ascii="Symbol" w:hAnsi="Symbol"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56721776"/>
    <w:multiLevelType w:val="hybridMultilevel"/>
    <w:tmpl w:val="99D28F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67924A9"/>
    <w:multiLevelType w:val="hybridMultilevel"/>
    <w:tmpl w:val="431286AC"/>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9" w15:restartNumberingAfterBreak="0">
    <w:nsid w:val="6D60597A"/>
    <w:multiLevelType w:val="hybridMultilevel"/>
    <w:tmpl w:val="34DE996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20" w15:restartNumberingAfterBreak="0">
    <w:nsid w:val="70E842DD"/>
    <w:multiLevelType w:val="hybridMultilevel"/>
    <w:tmpl w:val="2CECB144"/>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3AA193C"/>
    <w:multiLevelType w:val="hybridMultilevel"/>
    <w:tmpl w:val="A998E038"/>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num w:numId="1" w16cid:durableId="2066295138">
    <w:abstractNumId w:val="7"/>
  </w:num>
  <w:num w:numId="2" w16cid:durableId="1908955650">
    <w:abstractNumId w:val="9"/>
  </w:num>
  <w:num w:numId="3" w16cid:durableId="1528249992">
    <w:abstractNumId w:val="11"/>
  </w:num>
  <w:num w:numId="4" w16cid:durableId="904871201">
    <w:abstractNumId w:val="5"/>
  </w:num>
  <w:num w:numId="5" w16cid:durableId="93402449">
    <w:abstractNumId w:val="2"/>
  </w:num>
  <w:num w:numId="6" w16cid:durableId="449594461">
    <w:abstractNumId w:val="15"/>
  </w:num>
  <w:num w:numId="7" w16cid:durableId="1706514898">
    <w:abstractNumId w:val="13"/>
  </w:num>
  <w:num w:numId="8" w16cid:durableId="752627892">
    <w:abstractNumId w:val="10"/>
  </w:num>
  <w:num w:numId="9" w16cid:durableId="549074572">
    <w:abstractNumId w:val="12"/>
  </w:num>
  <w:num w:numId="10" w16cid:durableId="160170014">
    <w:abstractNumId w:val="3"/>
  </w:num>
  <w:num w:numId="11" w16cid:durableId="1048069737">
    <w:abstractNumId w:val="17"/>
  </w:num>
  <w:num w:numId="12" w16cid:durableId="1224367265">
    <w:abstractNumId w:val="1"/>
  </w:num>
  <w:num w:numId="13" w16cid:durableId="1026295814">
    <w:abstractNumId w:val="14"/>
  </w:num>
  <w:num w:numId="14" w16cid:durableId="248658941">
    <w:abstractNumId w:val="18"/>
  </w:num>
  <w:num w:numId="15" w16cid:durableId="417792409">
    <w:abstractNumId w:val="4"/>
  </w:num>
  <w:num w:numId="16" w16cid:durableId="1903175556">
    <w:abstractNumId w:val="21"/>
  </w:num>
  <w:num w:numId="17" w16cid:durableId="260453496">
    <w:abstractNumId w:val="19"/>
  </w:num>
  <w:num w:numId="18" w16cid:durableId="940260669">
    <w:abstractNumId w:val="6"/>
  </w:num>
  <w:num w:numId="19" w16cid:durableId="1040473321">
    <w:abstractNumId w:val="8"/>
  </w:num>
  <w:num w:numId="20" w16cid:durableId="1639798572">
    <w:abstractNumId w:val="0"/>
  </w:num>
  <w:num w:numId="21" w16cid:durableId="543372392">
    <w:abstractNumId w:val="16"/>
  </w:num>
  <w:num w:numId="22" w16cid:durableId="8183017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24"/>
    <w:rsid w:val="0000227B"/>
    <w:rsid w:val="0000422B"/>
    <w:rsid w:val="000069EA"/>
    <w:rsid w:val="000114FD"/>
    <w:rsid w:val="000210A2"/>
    <w:rsid w:val="00022FDB"/>
    <w:rsid w:val="00024955"/>
    <w:rsid w:val="0003019D"/>
    <w:rsid w:val="00030D8B"/>
    <w:rsid w:val="00047398"/>
    <w:rsid w:val="00053832"/>
    <w:rsid w:val="00056F21"/>
    <w:rsid w:val="00060830"/>
    <w:rsid w:val="00070E68"/>
    <w:rsid w:val="0007382B"/>
    <w:rsid w:val="0007756B"/>
    <w:rsid w:val="000827CB"/>
    <w:rsid w:val="0008329F"/>
    <w:rsid w:val="00085624"/>
    <w:rsid w:val="0008567E"/>
    <w:rsid w:val="00086B3F"/>
    <w:rsid w:val="0009165A"/>
    <w:rsid w:val="00092EC1"/>
    <w:rsid w:val="000A4F40"/>
    <w:rsid w:val="000A63F7"/>
    <w:rsid w:val="000A64D2"/>
    <w:rsid w:val="000B0708"/>
    <w:rsid w:val="000B1D78"/>
    <w:rsid w:val="000C42AC"/>
    <w:rsid w:val="000C7DD3"/>
    <w:rsid w:val="000D0694"/>
    <w:rsid w:val="000D3905"/>
    <w:rsid w:val="000D5DB5"/>
    <w:rsid w:val="000D7B03"/>
    <w:rsid w:val="000D7F46"/>
    <w:rsid w:val="000E614F"/>
    <w:rsid w:val="000F161D"/>
    <w:rsid w:val="000F64E6"/>
    <w:rsid w:val="000F6D3F"/>
    <w:rsid w:val="00110149"/>
    <w:rsid w:val="00112477"/>
    <w:rsid w:val="00122C6E"/>
    <w:rsid w:val="0013177F"/>
    <w:rsid w:val="001322C3"/>
    <w:rsid w:val="001323DE"/>
    <w:rsid w:val="001331EF"/>
    <w:rsid w:val="001340EB"/>
    <w:rsid w:val="00135471"/>
    <w:rsid w:val="0013720F"/>
    <w:rsid w:val="00140CE8"/>
    <w:rsid w:val="0014132D"/>
    <w:rsid w:val="00147976"/>
    <w:rsid w:val="001558B1"/>
    <w:rsid w:val="00161A39"/>
    <w:rsid w:val="0016425D"/>
    <w:rsid w:val="00171FE7"/>
    <w:rsid w:val="0017229B"/>
    <w:rsid w:val="00173624"/>
    <w:rsid w:val="0017495C"/>
    <w:rsid w:val="00180A57"/>
    <w:rsid w:val="00191991"/>
    <w:rsid w:val="00193F8C"/>
    <w:rsid w:val="00196F22"/>
    <w:rsid w:val="001A27A4"/>
    <w:rsid w:val="001A52D3"/>
    <w:rsid w:val="001A5923"/>
    <w:rsid w:val="001B322F"/>
    <w:rsid w:val="001B3AF2"/>
    <w:rsid w:val="001B3F28"/>
    <w:rsid w:val="001C20B7"/>
    <w:rsid w:val="001C418B"/>
    <w:rsid w:val="001C640C"/>
    <w:rsid w:val="001D00DC"/>
    <w:rsid w:val="001D411E"/>
    <w:rsid w:val="001D4E2E"/>
    <w:rsid w:val="001E62B0"/>
    <w:rsid w:val="001E74C3"/>
    <w:rsid w:val="001F306A"/>
    <w:rsid w:val="001F50A8"/>
    <w:rsid w:val="001F5473"/>
    <w:rsid w:val="001F7095"/>
    <w:rsid w:val="00201E93"/>
    <w:rsid w:val="00202198"/>
    <w:rsid w:val="0020396B"/>
    <w:rsid w:val="00215668"/>
    <w:rsid w:val="002222D7"/>
    <w:rsid w:val="00224A2D"/>
    <w:rsid w:val="002252A3"/>
    <w:rsid w:val="00226DFC"/>
    <w:rsid w:val="00245A4D"/>
    <w:rsid w:val="002479DD"/>
    <w:rsid w:val="00257D76"/>
    <w:rsid w:val="00262DAB"/>
    <w:rsid w:val="00263C7E"/>
    <w:rsid w:val="00263F9C"/>
    <w:rsid w:val="0026678D"/>
    <w:rsid w:val="002738BD"/>
    <w:rsid w:val="00273D3F"/>
    <w:rsid w:val="00275244"/>
    <w:rsid w:val="00276921"/>
    <w:rsid w:val="002777D4"/>
    <w:rsid w:val="002876EB"/>
    <w:rsid w:val="00293404"/>
    <w:rsid w:val="00296720"/>
    <w:rsid w:val="00297C70"/>
    <w:rsid w:val="00297E3C"/>
    <w:rsid w:val="002A1F96"/>
    <w:rsid w:val="002A441B"/>
    <w:rsid w:val="002A7CBF"/>
    <w:rsid w:val="002B0107"/>
    <w:rsid w:val="002C2333"/>
    <w:rsid w:val="002E2445"/>
    <w:rsid w:val="002E4C59"/>
    <w:rsid w:val="002F0C2F"/>
    <w:rsid w:val="002F0EC1"/>
    <w:rsid w:val="002F19C3"/>
    <w:rsid w:val="002F37F0"/>
    <w:rsid w:val="002F428A"/>
    <w:rsid w:val="002F681A"/>
    <w:rsid w:val="00302542"/>
    <w:rsid w:val="00302EAB"/>
    <w:rsid w:val="00307589"/>
    <w:rsid w:val="003079B7"/>
    <w:rsid w:val="003149BD"/>
    <w:rsid w:val="003175A1"/>
    <w:rsid w:val="00320942"/>
    <w:rsid w:val="003271D2"/>
    <w:rsid w:val="003376D8"/>
    <w:rsid w:val="00343AE8"/>
    <w:rsid w:val="00346D73"/>
    <w:rsid w:val="003531BB"/>
    <w:rsid w:val="00353B26"/>
    <w:rsid w:val="003600F7"/>
    <w:rsid w:val="00370502"/>
    <w:rsid w:val="00372569"/>
    <w:rsid w:val="00376F0B"/>
    <w:rsid w:val="00380059"/>
    <w:rsid w:val="00382A48"/>
    <w:rsid w:val="00383F42"/>
    <w:rsid w:val="00395410"/>
    <w:rsid w:val="003A2A6D"/>
    <w:rsid w:val="003B2BD8"/>
    <w:rsid w:val="003B6E58"/>
    <w:rsid w:val="003B70F3"/>
    <w:rsid w:val="003B72E1"/>
    <w:rsid w:val="003C2188"/>
    <w:rsid w:val="003C34B9"/>
    <w:rsid w:val="003C3F41"/>
    <w:rsid w:val="003C6EDF"/>
    <w:rsid w:val="003D234F"/>
    <w:rsid w:val="003E2773"/>
    <w:rsid w:val="003F1841"/>
    <w:rsid w:val="003F640C"/>
    <w:rsid w:val="00400FF8"/>
    <w:rsid w:val="0041377C"/>
    <w:rsid w:val="00413973"/>
    <w:rsid w:val="0042265B"/>
    <w:rsid w:val="00423BEF"/>
    <w:rsid w:val="00426E1B"/>
    <w:rsid w:val="00427BA3"/>
    <w:rsid w:val="00432173"/>
    <w:rsid w:val="00433A35"/>
    <w:rsid w:val="00441FED"/>
    <w:rsid w:val="004449D5"/>
    <w:rsid w:val="004523BC"/>
    <w:rsid w:val="00452810"/>
    <w:rsid w:val="00453723"/>
    <w:rsid w:val="00453EAD"/>
    <w:rsid w:val="0045421D"/>
    <w:rsid w:val="00455164"/>
    <w:rsid w:val="00456FFB"/>
    <w:rsid w:val="00462E35"/>
    <w:rsid w:val="00462F17"/>
    <w:rsid w:val="00463420"/>
    <w:rsid w:val="00464D6F"/>
    <w:rsid w:val="00466556"/>
    <w:rsid w:val="00472288"/>
    <w:rsid w:val="004731F0"/>
    <w:rsid w:val="00490D19"/>
    <w:rsid w:val="004917B8"/>
    <w:rsid w:val="00494F75"/>
    <w:rsid w:val="0049787A"/>
    <w:rsid w:val="004A2727"/>
    <w:rsid w:val="004A38CC"/>
    <w:rsid w:val="004A3ECD"/>
    <w:rsid w:val="004A7404"/>
    <w:rsid w:val="004B60C2"/>
    <w:rsid w:val="004C1B5A"/>
    <w:rsid w:val="004C2526"/>
    <w:rsid w:val="004C26BF"/>
    <w:rsid w:val="004C2D9E"/>
    <w:rsid w:val="004C3BCF"/>
    <w:rsid w:val="004C63A2"/>
    <w:rsid w:val="004C7BB5"/>
    <w:rsid w:val="004D6293"/>
    <w:rsid w:val="004E16D2"/>
    <w:rsid w:val="004E2B51"/>
    <w:rsid w:val="004E30C7"/>
    <w:rsid w:val="004F36FB"/>
    <w:rsid w:val="0050107D"/>
    <w:rsid w:val="00505D1E"/>
    <w:rsid w:val="00510A5B"/>
    <w:rsid w:val="00511A02"/>
    <w:rsid w:val="005176E1"/>
    <w:rsid w:val="00525D6E"/>
    <w:rsid w:val="005307AE"/>
    <w:rsid w:val="00531ED8"/>
    <w:rsid w:val="005369BC"/>
    <w:rsid w:val="005425D9"/>
    <w:rsid w:val="00543EE2"/>
    <w:rsid w:val="00545449"/>
    <w:rsid w:val="00545557"/>
    <w:rsid w:val="005505B0"/>
    <w:rsid w:val="00550FD6"/>
    <w:rsid w:val="005519BD"/>
    <w:rsid w:val="00557A24"/>
    <w:rsid w:val="00570BFB"/>
    <w:rsid w:val="00574BD8"/>
    <w:rsid w:val="00574CE5"/>
    <w:rsid w:val="00581767"/>
    <w:rsid w:val="00583C99"/>
    <w:rsid w:val="00586D7D"/>
    <w:rsid w:val="00587B07"/>
    <w:rsid w:val="00594987"/>
    <w:rsid w:val="005A2B3C"/>
    <w:rsid w:val="005A4CCF"/>
    <w:rsid w:val="005C0F73"/>
    <w:rsid w:val="005C3E4B"/>
    <w:rsid w:val="005C44B5"/>
    <w:rsid w:val="005D362F"/>
    <w:rsid w:val="005D4731"/>
    <w:rsid w:val="005D5065"/>
    <w:rsid w:val="005D513E"/>
    <w:rsid w:val="005D7416"/>
    <w:rsid w:val="005E3E6D"/>
    <w:rsid w:val="005F2052"/>
    <w:rsid w:val="005F3DD5"/>
    <w:rsid w:val="005F7ABC"/>
    <w:rsid w:val="00602F7F"/>
    <w:rsid w:val="00604A54"/>
    <w:rsid w:val="00607D79"/>
    <w:rsid w:val="0061467A"/>
    <w:rsid w:val="00623525"/>
    <w:rsid w:val="00624044"/>
    <w:rsid w:val="00627925"/>
    <w:rsid w:val="0063179A"/>
    <w:rsid w:val="00631831"/>
    <w:rsid w:val="006334CE"/>
    <w:rsid w:val="006349BB"/>
    <w:rsid w:val="006366CD"/>
    <w:rsid w:val="00641CC0"/>
    <w:rsid w:val="00642C75"/>
    <w:rsid w:val="00642D00"/>
    <w:rsid w:val="00643091"/>
    <w:rsid w:val="00646736"/>
    <w:rsid w:val="00652BC9"/>
    <w:rsid w:val="00656188"/>
    <w:rsid w:val="006627C7"/>
    <w:rsid w:val="00665BF8"/>
    <w:rsid w:val="00671131"/>
    <w:rsid w:val="006727E8"/>
    <w:rsid w:val="00674F21"/>
    <w:rsid w:val="00675FBE"/>
    <w:rsid w:val="006820FC"/>
    <w:rsid w:val="00682E5D"/>
    <w:rsid w:val="00684CEB"/>
    <w:rsid w:val="006866CF"/>
    <w:rsid w:val="00690611"/>
    <w:rsid w:val="00694856"/>
    <w:rsid w:val="00694895"/>
    <w:rsid w:val="00697269"/>
    <w:rsid w:val="006A1544"/>
    <w:rsid w:val="006A32B6"/>
    <w:rsid w:val="006A75EA"/>
    <w:rsid w:val="006B3CCD"/>
    <w:rsid w:val="006D1EE3"/>
    <w:rsid w:val="006D2C7C"/>
    <w:rsid w:val="006D5620"/>
    <w:rsid w:val="006D6D0B"/>
    <w:rsid w:val="006D70E9"/>
    <w:rsid w:val="006E1AB6"/>
    <w:rsid w:val="006E206E"/>
    <w:rsid w:val="006E517C"/>
    <w:rsid w:val="006E7B47"/>
    <w:rsid w:val="006F0DC0"/>
    <w:rsid w:val="006F59E0"/>
    <w:rsid w:val="00704AAB"/>
    <w:rsid w:val="007069D8"/>
    <w:rsid w:val="007223BC"/>
    <w:rsid w:val="00723654"/>
    <w:rsid w:val="00726AA6"/>
    <w:rsid w:val="007320AA"/>
    <w:rsid w:val="0073357C"/>
    <w:rsid w:val="00733AFF"/>
    <w:rsid w:val="007349CA"/>
    <w:rsid w:val="00734DA0"/>
    <w:rsid w:val="00742C60"/>
    <w:rsid w:val="00745118"/>
    <w:rsid w:val="0074622C"/>
    <w:rsid w:val="007505AA"/>
    <w:rsid w:val="00750BD1"/>
    <w:rsid w:val="00750D25"/>
    <w:rsid w:val="00751B60"/>
    <w:rsid w:val="00753296"/>
    <w:rsid w:val="0077615F"/>
    <w:rsid w:val="0077695B"/>
    <w:rsid w:val="00777D9A"/>
    <w:rsid w:val="00784880"/>
    <w:rsid w:val="00791C05"/>
    <w:rsid w:val="007A4C55"/>
    <w:rsid w:val="007A5B4B"/>
    <w:rsid w:val="007A63AD"/>
    <w:rsid w:val="007B10BD"/>
    <w:rsid w:val="007B1876"/>
    <w:rsid w:val="007B6265"/>
    <w:rsid w:val="007C0BFB"/>
    <w:rsid w:val="007C181E"/>
    <w:rsid w:val="007C25A0"/>
    <w:rsid w:val="007C5CD2"/>
    <w:rsid w:val="007E151F"/>
    <w:rsid w:val="007E4A43"/>
    <w:rsid w:val="007E7573"/>
    <w:rsid w:val="007F120C"/>
    <w:rsid w:val="007F241D"/>
    <w:rsid w:val="007F552D"/>
    <w:rsid w:val="007F56D0"/>
    <w:rsid w:val="007F7377"/>
    <w:rsid w:val="00800C82"/>
    <w:rsid w:val="008010C2"/>
    <w:rsid w:val="0080385D"/>
    <w:rsid w:val="00803F4F"/>
    <w:rsid w:val="008058C4"/>
    <w:rsid w:val="00811537"/>
    <w:rsid w:val="0081453E"/>
    <w:rsid w:val="00820E0D"/>
    <w:rsid w:val="00822074"/>
    <w:rsid w:val="00824F97"/>
    <w:rsid w:val="00833478"/>
    <w:rsid w:val="008335E5"/>
    <w:rsid w:val="0083616B"/>
    <w:rsid w:val="008412ED"/>
    <w:rsid w:val="00845BD7"/>
    <w:rsid w:val="00850753"/>
    <w:rsid w:val="008624EE"/>
    <w:rsid w:val="008665D3"/>
    <w:rsid w:val="00866A6F"/>
    <w:rsid w:val="00866DAB"/>
    <w:rsid w:val="008711F3"/>
    <w:rsid w:val="00873B55"/>
    <w:rsid w:val="0087723B"/>
    <w:rsid w:val="008813F1"/>
    <w:rsid w:val="00882183"/>
    <w:rsid w:val="00893CA7"/>
    <w:rsid w:val="00893EFC"/>
    <w:rsid w:val="008A1C96"/>
    <w:rsid w:val="008A2097"/>
    <w:rsid w:val="008A3B49"/>
    <w:rsid w:val="008A3CBE"/>
    <w:rsid w:val="008B2D6B"/>
    <w:rsid w:val="008B4A5A"/>
    <w:rsid w:val="008B7E79"/>
    <w:rsid w:val="008B7FC1"/>
    <w:rsid w:val="008C5051"/>
    <w:rsid w:val="008D1105"/>
    <w:rsid w:val="008E0A3E"/>
    <w:rsid w:val="008E0E8C"/>
    <w:rsid w:val="008E4015"/>
    <w:rsid w:val="008E567D"/>
    <w:rsid w:val="008E68AF"/>
    <w:rsid w:val="008E7197"/>
    <w:rsid w:val="008F3DDD"/>
    <w:rsid w:val="008F4AB7"/>
    <w:rsid w:val="009028A6"/>
    <w:rsid w:val="0090294D"/>
    <w:rsid w:val="00902E19"/>
    <w:rsid w:val="00903993"/>
    <w:rsid w:val="00917B3C"/>
    <w:rsid w:val="00924A16"/>
    <w:rsid w:val="00925D4A"/>
    <w:rsid w:val="00930196"/>
    <w:rsid w:val="00932603"/>
    <w:rsid w:val="00933AE0"/>
    <w:rsid w:val="00934434"/>
    <w:rsid w:val="00937B34"/>
    <w:rsid w:val="00941763"/>
    <w:rsid w:val="009425AF"/>
    <w:rsid w:val="00943996"/>
    <w:rsid w:val="0094661A"/>
    <w:rsid w:val="009478FB"/>
    <w:rsid w:val="0095666A"/>
    <w:rsid w:val="00962C61"/>
    <w:rsid w:val="00983F9E"/>
    <w:rsid w:val="0098593A"/>
    <w:rsid w:val="009A0DF7"/>
    <w:rsid w:val="009A4CD2"/>
    <w:rsid w:val="009A7230"/>
    <w:rsid w:val="009B3F89"/>
    <w:rsid w:val="009B7164"/>
    <w:rsid w:val="009C1077"/>
    <w:rsid w:val="009C42D4"/>
    <w:rsid w:val="009C6DE3"/>
    <w:rsid w:val="009E11DF"/>
    <w:rsid w:val="009E211D"/>
    <w:rsid w:val="009E76B0"/>
    <w:rsid w:val="00A02AEF"/>
    <w:rsid w:val="00A05668"/>
    <w:rsid w:val="00A108F5"/>
    <w:rsid w:val="00A11A80"/>
    <w:rsid w:val="00A13DE2"/>
    <w:rsid w:val="00A217E9"/>
    <w:rsid w:val="00A242D1"/>
    <w:rsid w:val="00A2451F"/>
    <w:rsid w:val="00A2500C"/>
    <w:rsid w:val="00A2557B"/>
    <w:rsid w:val="00A272A1"/>
    <w:rsid w:val="00A3239D"/>
    <w:rsid w:val="00A33F81"/>
    <w:rsid w:val="00A36709"/>
    <w:rsid w:val="00A37776"/>
    <w:rsid w:val="00A40CB5"/>
    <w:rsid w:val="00A45211"/>
    <w:rsid w:val="00A462FF"/>
    <w:rsid w:val="00A47237"/>
    <w:rsid w:val="00A54AEB"/>
    <w:rsid w:val="00A618A0"/>
    <w:rsid w:val="00A726FF"/>
    <w:rsid w:val="00A73F09"/>
    <w:rsid w:val="00A76EF9"/>
    <w:rsid w:val="00A800CA"/>
    <w:rsid w:val="00A832BF"/>
    <w:rsid w:val="00A848FC"/>
    <w:rsid w:val="00A90DDD"/>
    <w:rsid w:val="00A93728"/>
    <w:rsid w:val="00A96B2B"/>
    <w:rsid w:val="00AA010D"/>
    <w:rsid w:val="00AA106A"/>
    <w:rsid w:val="00AA121B"/>
    <w:rsid w:val="00AA1368"/>
    <w:rsid w:val="00AB0593"/>
    <w:rsid w:val="00AB1C90"/>
    <w:rsid w:val="00AB3F8E"/>
    <w:rsid w:val="00AC36B9"/>
    <w:rsid w:val="00AC4938"/>
    <w:rsid w:val="00AC584A"/>
    <w:rsid w:val="00AC74B4"/>
    <w:rsid w:val="00AD0A1E"/>
    <w:rsid w:val="00AE1052"/>
    <w:rsid w:val="00AE1FC1"/>
    <w:rsid w:val="00AE5F09"/>
    <w:rsid w:val="00AF7601"/>
    <w:rsid w:val="00B04FB4"/>
    <w:rsid w:val="00B06A1E"/>
    <w:rsid w:val="00B13734"/>
    <w:rsid w:val="00B215D7"/>
    <w:rsid w:val="00B25147"/>
    <w:rsid w:val="00B273D3"/>
    <w:rsid w:val="00B278CB"/>
    <w:rsid w:val="00B3247C"/>
    <w:rsid w:val="00B356FF"/>
    <w:rsid w:val="00B44460"/>
    <w:rsid w:val="00B46197"/>
    <w:rsid w:val="00B54BCE"/>
    <w:rsid w:val="00B60867"/>
    <w:rsid w:val="00B75554"/>
    <w:rsid w:val="00B7567F"/>
    <w:rsid w:val="00B82330"/>
    <w:rsid w:val="00B8359A"/>
    <w:rsid w:val="00B852D1"/>
    <w:rsid w:val="00B8557C"/>
    <w:rsid w:val="00B85C96"/>
    <w:rsid w:val="00B86FC7"/>
    <w:rsid w:val="00B97E42"/>
    <w:rsid w:val="00BA7F77"/>
    <w:rsid w:val="00BB18BF"/>
    <w:rsid w:val="00BB7C8E"/>
    <w:rsid w:val="00BC25D4"/>
    <w:rsid w:val="00BC5F87"/>
    <w:rsid w:val="00BE0559"/>
    <w:rsid w:val="00BF3B52"/>
    <w:rsid w:val="00BF3BEB"/>
    <w:rsid w:val="00BF529D"/>
    <w:rsid w:val="00BF5B4E"/>
    <w:rsid w:val="00C01E5D"/>
    <w:rsid w:val="00C042E4"/>
    <w:rsid w:val="00C07566"/>
    <w:rsid w:val="00C137DC"/>
    <w:rsid w:val="00C13BC4"/>
    <w:rsid w:val="00C278D6"/>
    <w:rsid w:val="00C344EE"/>
    <w:rsid w:val="00C34B74"/>
    <w:rsid w:val="00C471D1"/>
    <w:rsid w:val="00C527F5"/>
    <w:rsid w:val="00C54E99"/>
    <w:rsid w:val="00C63FAE"/>
    <w:rsid w:val="00C644E1"/>
    <w:rsid w:val="00C670CB"/>
    <w:rsid w:val="00C71A14"/>
    <w:rsid w:val="00C71C64"/>
    <w:rsid w:val="00C745C7"/>
    <w:rsid w:val="00C76091"/>
    <w:rsid w:val="00C80373"/>
    <w:rsid w:val="00C81A9C"/>
    <w:rsid w:val="00C85467"/>
    <w:rsid w:val="00C92EB3"/>
    <w:rsid w:val="00C970C2"/>
    <w:rsid w:val="00CA0318"/>
    <w:rsid w:val="00CA0A2A"/>
    <w:rsid w:val="00CA12BA"/>
    <w:rsid w:val="00CA1E3C"/>
    <w:rsid w:val="00CB35BB"/>
    <w:rsid w:val="00CB380C"/>
    <w:rsid w:val="00CB647A"/>
    <w:rsid w:val="00CB6D83"/>
    <w:rsid w:val="00CC4064"/>
    <w:rsid w:val="00CD52FE"/>
    <w:rsid w:val="00CE64E7"/>
    <w:rsid w:val="00CF0142"/>
    <w:rsid w:val="00CF2BC1"/>
    <w:rsid w:val="00D12D4E"/>
    <w:rsid w:val="00D13AB2"/>
    <w:rsid w:val="00D17C32"/>
    <w:rsid w:val="00D21725"/>
    <w:rsid w:val="00D24B91"/>
    <w:rsid w:val="00D25DF1"/>
    <w:rsid w:val="00D30760"/>
    <w:rsid w:val="00D4580A"/>
    <w:rsid w:val="00D46C87"/>
    <w:rsid w:val="00D5027E"/>
    <w:rsid w:val="00D53BFF"/>
    <w:rsid w:val="00D55B18"/>
    <w:rsid w:val="00D55FD2"/>
    <w:rsid w:val="00D562DE"/>
    <w:rsid w:val="00D56753"/>
    <w:rsid w:val="00D57CD9"/>
    <w:rsid w:val="00D603DE"/>
    <w:rsid w:val="00D6308C"/>
    <w:rsid w:val="00D648CF"/>
    <w:rsid w:val="00D6682D"/>
    <w:rsid w:val="00D66F2C"/>
    <w:rsid w:val="00D73621"/>
    <w:rsid w:val="00D76F4C"/>
    <w:rsid w:val="00D82634"/>
    <w:rsid w:val="00D83E19"/>
    <w:rsid w:val="00D95246"/>
    <w:rsid w:val="00D95E42"/>
    <w:rsid w:val="00D96E00"/>
    <w:rsid w:val="00DA522E"/>
    <w:rsid w:val="00DD0C59"/>
    <w:rsid w:val="00DD129E"/>
    <w:rsid w:val="00DD4DF8"/>
    <w:rsid w:val="00DD71D5"/>
    <w:rsid w:val="00DE1C24"/>
    <w:rsid w:val="00DE34E0"/>
    <w:rsid w:val="00DE4C9D"/>
    <w:rsid w:val="00DF234F"/>
    <w:rsid w:val="00DF2AE6"/>
    <w:rsid w:val="00DF39E3"/>
    <w:rsid w:val="00E03494"/>
    <w:rsid w:val="00E127DB"/>
    <w:rsid w:val="00E1749E"/>
    <w:rsid w:val="00E200A7"/>
    <w:rsid w:val="00E25A61"/>
    <w:rsid w:val="00E267BF"/>
    <w:rsid w:val="00E3095C"/>
    <w:rsid w:val="00E309F8"/>
    <w:rsid w:val="00E347DE"/>
    <w:rsid w:val="00E41874"/>
    <w:rsid w:val="00E4340E"/>
    <w:rsid w:val="00E522CA"/>
    <w:rsid w:val="00E53501"/>
    <w:rsid w:val="00E57592"/>
    <w:rsid w:val="00E57CFB"/>
    <w:rsid w:val="00E66019"/>
    <w:rsid w:val="00E72A13"/>
    <w:rsid w:val="00E76F34"/>
    <w:rsid w:val="00E84ACB"/>
    <w:rsid w:val="00E96DE5"/>
    <w:rsid w:val="00EA107A"/>
    <w:rsid w:val="00EA21C6"/>
    <w:rsid w:val="00EA2CB8"/>
    <w:rsid w:val="00EA3B85"/>
    <w:rsid w:val="00EA40B9"/>
    <w:rsid w:val="00EB3280"/>
    <w:rsid w:val="00EB72D2"/>
    <w:rsid w:val="00EB731D"/>
    <w:rsid w:val="00ED1288"/>
    <w:rsid w:val="00ED20C0"/>
    <w:rsid w:val="00ED65EF"/>
    <w:rsid w:val="00EE13E8"/>
    <w:rsid w:val="00EE40A2"/>
    <w:rsid w:val="00EF120E"/>
    <w:rsid w:val="00EF147C"/>
    <w:rsid w:val="00EF157B"/>
    <w:rsid w:val="00F01FF4"/>
    <w:rsid w:val="00F02AAC"/>
    <w:rsid w:val="00F05C72"/>
    <w:rsid w:val="00F10146"/>
    <w:rsid w:val="00F17CFB"/>
    <w:rsid w:val="00F2628F"/>
    <w:rsid w:val="00F26C9A"/>
    <w:rsid w:val="00F30B54"/>
    <w:rsid w:val="00F31A5B"/>
    <w:rsid w:val="00F420D6"/>
    <w:rsid w:val="00F42B7A"/>
    <w:rsid w:val="00F45AC6"/>
    <w:rsid w:val="00F520FC"/>
    <w:rsid w:val="00F549EB"/>
    <w:rsid w:val="00F67FD8"/>
    <w:rsid w:val="00F75094"/>
    <w:rsid w:val="00F76EE4"/>
    <w:rsid w:val="00F77C9C"/>
    <w:rsid w:val="00F826AA"/>
    <w:rsid w:val="00F9114D"/>
    <w:rsid w:val="00F977D7"/>
    <w:rsid w:val="00FB1A1B"/>
    <w:rsid w:val="00FB71F2"/>
    <w:rsid w:val="00FC2DDC"/>
    <w:rsid w:val="00FC4EC6"/>
    <w:rsid w:val="00FC593B"/>
    <w:rsid w:val="00FC7F1F"/>
    <w:rsid w:val="00FD4ED0"/>
    <w:rsid w:val="00FD58FF"/>
    <w:rsid w:val="00FD6F6B"/>
    <w:rsid w:val="00FF20F6"/>
    <w:rsid w:val="00FF25B8"/>
    <w:rsid w:val="00FF5E75"/>
    <w:rsid w:val="00FF6E8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2FAD4"/>
  <w15:chartTrackingRefBased/>
  <w15:docId w15:val="{5FBD98D6-341C-4891-BAF1-E24AC22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173624"/>
    <w:pPr>
      <w:tabs>
        <w:tab w:val="center" w:pos="4419"/>
        <w:tab w:val="right" w:pos="8838"/>
      </w:tabs>
      <w:spacing w:after="0" w:line="240" w:lineRule="auto"/>
    </w:pPr>
  </w:style>
  <w:style w:type="character" w:customStyle="1" w:styleId="PiedepginaCar">
    <w:name w:val="Pie de página Car"/>
    <w:basedOn w:val="Fuentedeprrafopredeter"/>
    <w:link w:val="Piedepgina"/>
    <w:rsid w:val="00173624"/>
  </w:style>
  <w:style w:type="paragraph" w:styleId="Prrafodelista">
    <w:name w:val="List Paragraph"/>
    <w:aliases w:val="Titulo de Fígura,TITULO A,Titulo parrafo,Punto,Cuadro 2-1,Footnote,List Paragraph1,Párrafo de lista2,Lista 123,Bulleted List,Fundamentacion,Cita Pie de Página,titulo,Lista vistosa - Énfasis 11,Lista media 2 - Énfasis 41,Viñeta normal,3"/>
    <w:basedOn w:val="Normal"/>
    <w:link w:val="PrrafodelistaCar"/>
    <w:uiPriority w:val="34"/>
    <w:qFormat/>
    <w:rsid w:val="00173624"/>
    <w:pPr>
      <w:spacing w:after="0" w:line="240" w:lineRule="auto"/>
      <w:ind w:left="720"/>
      <w:contextualSpacing/>
    </w:pPr>
    <w:rPr>
      <w:rFonts w:ascii="Times New Roman" w:eastAsia="Times New Roman" w:hAnsi="Times New Roman"/>
      <w:sz w:val="24"/>
      <w:szCs w:val="24"/>
      <w:lang w:eastAsia="es-PE"/>
    </w:rPr>
  </w:style>
  <w:style w:type="paragraph" w:styleId="Textonotapie">
    <w:name w:val="footnote text"/>
    <w:basedOn w:val="Normal"/>
    <w:link w:val="TextonotapieCar"/>
    <w:uiPriority w:val="99"/>
    <w:semiHidden/>
    <w:unhideWhenUsed/>
    <w:rsid w:val="00D57CD9"/>
    <w:pPr>
      <w:spacing w:after="0" w:line="240" w:lineRule="auto"/>
    </w:pPr>
    <w:rPr>
      <w:sz w:val="20"/>
      <w:szCs w:val="20"/>
    </w:rPr>
  </w:style>
  <w:style w:type="character" w:customStyle="1" w:styleId="TextonotapieCar">
    <w:name w:val="Texto nota pie Car"/>
    <w:link w:val="Textonotapie"/>
    <w:uiPriority w:val="99"/>
    <w:semiHidden/>
    <w:rsid w:val="00D57CD9"/>
    <w:rPr>
      <w:sz w:val="20"/>
      <w:szCs w:val="20"/>
    </w:rPr>
  </w:style>
  <w:style w:type="character" w:styleId="Refdenotaalpie">
    <w:name w:val="footnote reference"/>
    <w:uiPriority w:val="99"/>
    <w:semiHidden/>
    <w:unhideWhenUsed/>
    <w:rsid w:val="00D57CD9"/>
    <w:rPr>
      <w:vertAlign w:val="superscript"/>
    </w:rPr>
  </w:style>
  <w:style w:type="paragraph" w:styleId="NormalWeb">
    <w:name w:val="Normal (Web)"/>
    <w:basedOn w:val="Normal"/>
    <w:uiPriority w:val="99"/>
    <w:unhideWhenUsed/>
    <w:rsid w:val="0000227B"/>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845B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5BD7"/>
  </w:style>
  <w:style w:type="paragraph" w:styleId="Textodeglobo">
    <w:name w:val="Balloon Text"/>
    <w:basedOn w:val="Normal"/>
    <w:link w:val="TextodegloboCar"/>
    <w:uiPriority w:val="99"/>
    <w:semiHidden/>
    <w:unhideWhenUsed/>
    <w:rsid w:val="00845BD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45BD7"/>
    <w:rPr>
      <w:rFonts w:ascii="Tahoma" w:hAnsi="Tahoma" w:cs="Tahoma"/>
      <w:sz w:val="16"/>
      <w:szCs w:val="16"/>
    </w:rPr>
  </w:style>
  <w:style w:type="paragraph" w:customStyle="1" w:styleId="xmsolistparagraph">
    <w:name w:val="x_msolistparagraph"/>
    <w:basedOn w:val="Normal"/>
    <w:rsid w:val="0017495C"/>
    <w:pPr>
      <w:spacing w:before="100" w:beforeAutospacing="1" w:after="100" w:afterAutospacing="1" w:line="240" w:lineRule="auto"/>
    </w:pPr>
    <w:rPr>
      <w:rFonts w:ascii="Times New Roman" w:eastAsia="Times New Roman" w:hAnsi="Times New Roman"/>
      <w:sz w:val="24"/>
      <w:szCs w:val="24"/>
      <w:lang w:eastAsia="es-PE"/>
    </w:rPr>
  </w:style>
  <w:style w:type="character" w:styleId="Refdecomentario">
    <w:name w:val="annotation reference"/>
    <w:basedOn w:val="Fuentedeprrafopredeter"/>
    <w:uiPriority w:val="99"/>
    <w:semiHidden/>
    <w:unhideWhenUsed/>
    <w:rsid w:val="00627925"/>
    <w:rPr>
      <w:sz w:val="16"/>
      <w:szCs w:val="16"/>
    </w:rPr>
  </w:style>
  <w:style w:type="paragraph" w:styleId="Textocomentario">
    <w:name w:val="annotation text"/>
    <w:basedOn w:val="Normal"/>
    <w:link w:val="TextocomentarioCar"/>
    <w:uiPriority w:val="99"/>
    <w:unhideWhenUsed/>
    <w:rsid w:val="00627925"/>
    <w:pPr>
      <w:spacing w:line="240" w:lineRule="auto"/>
    </w:pPr>
    <w:rPr>
      <w:sz w:val="20"/>
      <w:szCs w:val="20"/>
    </w:rPr>
  </w:style>
  <w:style w:type="character" w:customStyle="1" w:styleId="TextocomentarioCar">
    <w:name w:val="Texto comentario Car"/>
    <w:basedOn w:val="Fuentedeprrafopredeter"/>
    <w:link w:val="Textocomentario"/>
    <w:uiPriority w:val="99"/>
    <w:rsid w:val="00627925"/>
    <w:rPr>
      <w:lang w:val="es-PE" w:eastAsia="en-US"/>
    </w:rPr>
  </w:style>
  <w:style w:type="paragraph" w:styleId="Asuntodelcomentario">
    <w:name w:val="annotation subject"/>
    <w:basedOn w:val="Textocomentario"/>
    <w:next w:val="Textocomentario"/>
    <w:link w:val="AsuntodelcomentarioCar"/>
    <w:uiPriority w:val="99"/>
    <w:semiHidden/>
    <w:unhideWhenUsed/>
    <w:rsid w:val="00627925"/>
    <w:rPr>
      <w:b/>
      <w:bCs/>
    </w:rPr>
  </w:style>
  <w:style w:type="character" w:customStyle="1" w:styleId="AsuntodelcomentarioCar">
    <w:name w:val="Asunto del comentario Car"/>
    <w:basedOn w:val="TextocomentarioCar"/>
    <w:link w:val="Asuntodelcomentario"/>
    <w:uiPriority w:val="99"/>
    <w:semiHidden/>
    <w:rsid w:val="00627925"/>
    <w:rPr>
      <w:b/>
      <w:bCs/>
      <w:lang w:val="es-PE" w:eastAsia="en-US"/>
    </w:rPr>
  </w:style>
  <w:style w:type="character" w:customStyle="1" w:styleId="PrrafodelistaCar">
    <w:name w:val="Párrafo de lista Car"/>
    <w:aliases w:val="Titulo de Fígura Car,TITULO A Car,Titulo parrafo Car,Punto Car,Cuadro 2-1 Car,Footnote Car,List Paragraph1 Car,Párrafo de lista2 Car,Lista 123 Car,Bulleted List Car,Fundamentacion Car,Cita Pie de Página Car,titulo Car,3 Car"/>
    <w:link w:val="Prrafodelista"/>
    <w:uiPriority w:val="34"/>
    <w:qFormat/>
    <w:locked/>
    <w:rsid w:val="00070E68"/>
    <w:rPr>
      <w:rFonts w:ascii="Times New Roman" w:eastAsia="Times New Roman" w:hAnsi="Times New Roman"/>
      <w:sz w:val="24"/>
      <w:szCs w:val="24"/>
      <w:lang w:val="es-PE" w:eastAsia="es-PE"/>
    </w:rPr>
  </w:style>
  <w:style w:type="paragraph" w:styleId="Revisin">
    <w:name w:val="Revision"/>
    <w:hidden/>
    <w:uiPriority w:val="99"/>
    <w:semiHidden/>
    <w:rsid w:val="00A800CA"/>
    <w:rPr>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04">
      <w:bodyDiv w:val="1"/>
      <w:marLeft w:val="0"/>
      <w:marRight w:val="0"/>
      <w:marTop w:val="0"/>
      <w:marBottom w:val="0"/>
      <w:divBdr>
        <w:top w:val="none" w:sz="0" w:space="0" w:color="auto"/>
        <w:left w:val="none" w:sz="0" w:space="0" w:color="auto"/>
        <w:bottom w:val="none" w:sz="0" w:space="0" w:color="auto"/>
        <w:right w:val="none" w:sz="0" w:space="0" w:color="auto"/>
      </w:divBdr>
    </w:div>
    <w:div w:id="406343733">
      <w:bodyDiv w:val="1"/>
      <w:marLeft w:val="0"/>
      <w:marRight w:val="0"/>
      <w:marTop w:val="0"/>
      <w:marBottom w:val="0"/>
      <w:divBdr>
        <w:top w:val="none" w:sz="0" w:space="0" w:color="auto"/>
        <w:left w:val="none" w:sz="0" w:space="0" w:color="auto"/>
        <w:bottom w:val="none" w:sz="0" w:space="0" w:color="auto"/>
        <w:right w:val="none" w:sz="0" w:space="0" w:color="auto"/>
      </w:divBdr>
    </w:div>
    <w:div w:id="629824183">
      <w:bodyDiv w:val="1"/>
      <w:marLeft w:val="0"/>
      <w:marRight w:val="0"/>
      <w:marTop w:val="0"/>
      <w:marBottom w:val="0"/>
      <w:divBdr>
        <w:top w:val="none" w:sz="0" w:space="0" w:color="auto"/>
        <w:left w:val="none" w:sz="0" w:space="0" w:color="auto"/>
        <w:bottom w:val="none" w:sz="0" w:space="0" w:color="auto"/>
        <w:right w:val="none" w:sz="0" w:space="0" w:color="auto"/>
      </w:divBdr>
    </w:div>
    <w:div w:id="951204311">
      <w:bodyDiv w:val="1"/>
      <w:marLeft w:val="0"/>
      <w:marRight w:val="0"/>
      <w:marTop w:val="0"/>
      <w:marBottom w:val="0"/>
      <w:divBdr>
        <w:top w:val="none" w:sz="0" w:space="0" w:color="auto"/>
        <w:left w:val="none" w:sz="0" w:space="0" w:color="auto"/>
        <w:bottom w:val="none" w:sz="0" w:space="0" w:color="auto"/>
        <w:right w:val="none" w:sz="0" w:space="0" w:color="auto"/>
      </w:divBdr>
    </w:div>
    <w:div w:id="13713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3D58B-8FE9-4FF7-965C-2045DBB2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1301</Words>
  <Characters>7159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Manzaneda Miranda Gardy Raul</cp:lastModifiedBy>
  <cp:revision>4</cp:revision>
  <cp:lastPrinted>2026-01-06T14:35:00Z</cp:lastPrinted>
  <dcterms:created xsi:type="dcterms:W3CDTF">2026-01-13T15:07:00Z</dcterms:created>
  <dcterms:modified xsi:type="dcterms:W3CDTF">2026-02-05T17:56:00Z</dcterms:modified>
</cp:coreProperties>
</file>