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BC3F9" w14:textId="77777777" w:rsidR="009A2A3D" w:rsidRPr="009A2A3D" w:rsidRDefault="009A2A3D" w:rsidP="009A2A3D">
      <w:pPr>
        <w:spacing w:after="0"/>
        <w:jc w:val="right"/>
        <w:rPr>
          <w:rFonts w:ascii="Arial" w:eastAsia="Times New Roman" w:hAnsi="Arial" w:cs="Arial"/>
          <w:b/>
          <w:bCs/>
          <w:color w:val="222222"/>
          <w:sz w:val="24"/>
          <w:szCs w:val="24"/>
          <w:lang w:eastAsia="es-PE"/>
        </w:rPr>
      </w:pPr>
    </w:p>
    <w:p w14:paraId="763EADF9" w14:textId="53839E91" w:rsidR="00740AAC" w:rsidRPr="009A4A53" w:rsidRDefault="00740AAC" w:rsidP="00740AAC">
      <w:pPr>
        <w:spacing w:after="0"/>
        <w:jc w:val="center"/>
        <w:rPr>
          <w:rFonts w:ascii="Arial" w:eastAsia="Times New Roman" w:hAnsi="Arial" w:cs="Arial"/>
          <w:b/>
          <w:bCs/>
          <w:color w:val="222222"/>
          <w:sz w:val="36"/>
          <w:szCs w:val="36"/>
          <w:lang w:eastAsia="es-PE"/>
        </w:rPr>
      </w:pPr>
      <w:r w:rsidRPr="000D79BF">
        <w:rPr>
          <w:rFonts w:ascii="Arial" w:eastAsia="Times New Roman" w:hAnsi="Arial" w:cs="Arial"/>
          <w:b/>
          <w:bCs/>
          <w:color w:val="222222"/>
          <w:sz w:val="36"/>
          <w:szCs w:val="36"/>
          <w:lang w:eastAsia="es-PE"/>
        </w:rPr>
        <w:t>SUNAT</w:t>
      </w:r>
      <w:r w:rsidR="00F32C59" w:rsidRPr="000D79BF">
        <w:rPr>
          <w:rFonts w:ascii="Arial" w:eastAsia="Times New Roman" w:hAnsi="Arial" w:cs="Arial"/>
          <w:b/>
          <w:bCs/>
          <w:color w:val="222222"/>
          <w:sz w:val="36"/>
          <w:szCs w:val="36"/>
          <w:lang w:eastAsia="es-PE"/>
        </w:rPr>
        <w:t xml:space="preserve"> </w:t>
      </w:r>
      <w:r w:rsidR="00AC63C1">
        <w:rPr>
          <w:rFonts w:ascii="Arial" w:eastAsia="Times New Roman" w:hAnsi="Arial" w:cs="Arial"/>
          <w:b/>
          <w:bCs/>
          <w:color w:val="222222"/>
          <w:sz w:val="36"/>
          <w:szCs w:val="36"/>
          <w:lang w:eastAsia="es-PE"/>
        </w:rPr>
        <w:t xml:space="preserve">ACTUALIZA </w:t>
      </w:r>
      <w:r w:rsidR="001E180D">
        <w:rPr>
          <w:rFonts w:ascii="Arial" w:eastAsia="Times New Roman" w:hAnsi="Arial" w:cs="Arial"/>
          <w:b/>
          <w:bCs/>
          <w:color w:val="222222"/>
          <w:sz w:val="36"/>
          <w:szCs w:val="36"/>
          <w:lang w:eastAsia="es-PE"/>
        </w:rPr>
        <w:t xml:space="preserve">CATÁLOGO DE ESQUEMAS DE </w:t>
      </w:r>
      <w:r w:rsidR="00F32C59" w:rsidRPr="000D79BF">
        <w:rPr>
          <w:rFonts w:ascii="Arial" w:eastAsia="Times New Roman" w:hAnsi="Arial" w:cs="Arial"/>
          <w:b/>
          <w:bCs/>
          <w:color w:val="222222"/>
          <w:sz w:val="36"/>
          <w:szCs w:val="36"/>
          <w:lang w:eastAsia="es-PE"/>
        </w:rPr>
        <w:t>ALTO RIESGO FISCAL</w:t>
      </w:r>
    </w:p>
    <w:p w14:paraId="5DA52BC1" w14:textId="77777777" w:rsidR="00740AAC" w:rsidRPr="00B123BF" w:rsidRDefault="00740AAC" w:rsidP="005303C5">
      <w:pPr>
        <w:spacing w:after="0"/>
        <w:jc w:val="both"/>
        <w:rPr>
          <w:rFonts w:ascii="Arial" w:eastAsia="Times New Roman" w:hAnsi="Arial" w:cs="Arial"/>
          <w:color w:val="222222"/>
          <w:lang w:eastAsia="es-PE"/>
        </w:rPr>
      </w:pPr>
    </w:p>
    <w:p w14:paraId="587E6084" w14:textId="6C42392C" w:rsidR="00A658A3" w:rsidRDefault="005303C5" w:rsidP="005303C5">
      <w:pPr>
        <w:pStyle w:val="Prrafodelista"/>
        <w:numPr>
          <w:ilvl w:val="0"/>
          <w:numId w:val="5"/>
        </w:numPr>
        <w:spacing w:after="0"/>
        <w:jc w:val="both"/>
        <w:rPr>
          <w:rFonts w:ascii="Arial" w:eastAsia="Times New Roman" w:hAnsi="Arial" w:cs="Arial"/>
          <w:b/>
          <w:bCs/>
          <w:i/>
          <w:iCs/>
          <w:color w:val="222222"/>
          <w:lang w:eastAsia="es-PE"/>
        </w:rPr>
      </w:pPr>
      <w:r>
        <w:rPr>
          <w:rFonts w:ascii="Arial" w:eastAsia="Times New Roman" w:hAnsi="Arial" w:cs="Arial"/>
          <w:b/>
          <w:bCs/>
          <w:i/>
          <w:iCs/>
          <w:color w:val="222222"/>
          <w:lang w:eastAsia="es-PE"/>
        </w:rPr>
        <w:t xml:space="preserve">Incluye </w:t>
      </w:r>
      <w:r w:rsidR="00A658A3">
        <w:rPr>
          <w:rFonts w:ascii="Arial" w:eastAsia="Times New Roman" w:hAnsi="Arial" w:cs="Arial"/>
          <w:b/>
          <w:bCs/>
          <w:i/>
          <w:iCs/>
          <w:color w:val="222222"/>
          <w:lang w:eastAsia="es-PE"/>
        </w:rPr>
        <w:t>11 nuevos esquemas de alto riesgo fiscal.</w:t>
      </w:r>
    </w:p>
    <w:p w14:paraId="7C349AFE" w14:textId="77777777" w:rsidR="00B40D9C" w:rsidRPr="00B40D9C" w:rsidRDefault="00B40D9C" w:rsidP="005303C5">
      <w:pPr>
        <w:pStyle w:val="Prrafodelista"/>
        <w:spacing w:after="0"/>
        <w:jc w:val="both"/>
        <w:rPr>
          <w:rFonts w:ascii="Arial" w:eastAsia="Times New Roman" w:hAnsi="Arial" w:cs="Arial"/>
          <w:b/>
          <w:bCs/>
          <w:i/>
          <w:iCs/>
          <w:color w:val="222222"/>
          <w:sz w:val="8"/>
          <w:szCs w:val="8"/>
          <w:lang w:eastAsia="es-PE"/>
        </w:rPr>
      </w:pPr>
    </w:p>
    <w:p w14:paraId="06A67E9A" w14:textId="4EF39C7C" w:rsidR="00A658A3" w:rsidRPr="00A658A3" w:rsidRDefault="00A658A3" w:rsidP="005303C5">
      <w:pPr>
        <w:pStyle w:val="Prrafodelista"/>
        <w:numPr>
          <w:ilvl w:val="0"/>
          <w:numId w:val="5"/>
        </w:numPr>
        <w:spacing w:after="0"/>
        <w:jc w:val="both"/>
        <w:rPr>
          <w:rFonts w:ascii="Arial" w:eastAsia="Times New Roman" w:hAnsi="Arial" w:cs="Arial"/>
          <w:b/>
          <w:bCs/>
          <w:i/>
          <w:iCs/>
          <w:color w:val="222222"/>
          <w:lang w:eastAsia="es-PE"/>
        </w:rPr>
      </w:pPr>
      <w:r w:rsidRPr="00A658A3">
        <w:rPr>
          <w:rFonts w:ascii="Arial" w:eastAsia="Times New Roman" w:hAnsi="Arial" w:cs="Arial"/>
          <w:b/>
          <w:bCs/>
          <w:i/>
          <w:iCs/>
          <w:color w:val="222222"/>
          <w:lang w:eastAsia="es-PE"/>
        </w:rPr>
        <w:t xml:space="preserve">Desde hoy, la versión 4.0 del catálogo, que reúne un total de 35 esquemas, está disponible en el portal </w:t>
      </w:r>
      <w:r w:rsidR="005303C5">
        <w:rPr>
          <w:rFonts w:ascii="Arial" w:eastAsia="Times New Roman" w:hAnsi="Arial" w:cs="Arial"/>
          <w:b/>
          <w:bCs/>
          <w:i/>
          <w:iCs/>
          <w:color w:val="222222"/>
          <w:lang w:eastAsia="es-PE"/>
        </w:rPr>
        <w:t xml:space="preserve">institucional </w:t>
      </w:r>
      <w:r w:rsidRPr="00A658A3">
        <w:rPr>
          <w:rFonts w:ascii="Arial" w:eastAsia="Times New Roman" w:hAnsi="Arial" w:cs="Arial"/>
          <w:b/>
          <w:bCs/>
          <w:i/>
          <w:iCs/>
          <w:color w:val="222222"/>
          <w:lang w:eastAsia="es-PE"/>
        </w:rPr>
        <w:t>de la SUNAT.</w:t>
      </w:r>
    </w:p>
    <w:p w14:paraId="5E30C7AD" w14:textId="77777777" w:rsidR="005303C5" w:rsidRDefault="005303C5" w:rsidP="00AE056C">
      <w:pPr>
        <w:spacing w:after="0" w:line="240" w:lineRule="auto"/>
        <w:jc w:val="both"/>
        <w:rPr>
          <w:rFonts w:ascii="Arial" w:hAnsi="Arial" w:cs="Arial"/>
        </w:rPr>
      </w:pPr>
    </w:p>
    <w:p w14:paraId="61EA48E4" w14:textId="514E2C15" w:rsidR="007E101C" w:rsidRDefault="007E101C" w:rsidP="00AE056C">
      <w:pPr>
        <w:spacing w:after="0" w:line="240" w:lineRule="auto"/>
        <w:jc w:val="both"/>
        <w:rPr>
          <w:rFonts w:ascii="Arial" w:hAnsi="Arial" w:cs="Arial"/>
          <w:lang w:val="es-ES"/>
        </w:rPr>
      </w:pPr>
      <w:r w:rsidRPr="007E101C">
        <w:rPr>
          <w:rFonts w:ascii="Arial" w:hAnsi="Arial" w:cs="Arial"/>
        </w:rPr>
        <w:t xml:space="preserve">La SUNAT, en el marco de su compromiso por promover el cumplimiento voluntario de las obligaciones tributarias y </w:t>
      </w:r>
      <w:r w:rsidRPr="00637C30">
        <w:rPr>
          <w:rFonts w:ascii="Arial" w:hAnsi="Arial" w:cs="Arial"/>
          <w:lang w:val="es-ES"/>
        </w:rPr>
        <w:t>en línea con el objetivo estratégico de mejorar el cumplimiento tributario,</w:t>
      </w:r>
      <w:r>
        <w:rPr>
          <w:rFonts w:ascii="Arial" w:hAnsi="Arial" w:cs="Arial"/>
          <w:lang w:val="es-ES"/>
        </w:rPr>
        <w:t xml:space="preserve"> </w:t>
      </w:r>
      <w:r w:rsidRPr="007E101C">
        <w:rPr>
          <w:rFonts w:ascii="Arial" w:hAnsi="Arial" w:cs="Arial"/>
        </w:rPr>
        <w:t xml:space="preserve">ha </w:t>
      </w:r>
      <w:r>
        <w:rPr>
          <w:rFonts w:ascii="Arial" w:hAnsi="Arial" w:cs="Arial"/>
        </w:rPr>
        <w:t>publicado</w:t>
      </w:r>
      <w:r w:rsidRPr="007E101C">
        <w:rPr>
          <w:rFonts w:ascii="Arial" w:hAnsi="Arial" w:cs="Arial"/>
        </w:rPr>
        <w:t xml:space="preserve"> </w:t>
      </w:r>
      <w:r>
        <w:rPr>
          <w:rFonts w:ascii="Arial" w:hAnsi="Arial" w:cs="Arial"/>
        </w:rPr>
        <w:t>la versión 4.0</w:t>
      </w:r>
      <w:r w:rsidRPr="007E101C">
        <w:rPr>
          <w:rFonts w:ascii="Arial" w:hAnsi="Arial" w:cs="Arial"/>
        </w:rPr>
        <w:t xml:space="preserve"> del Catálogo de Esquemas de Alto Riesgo Fiscal. </w:t>
      </w:r>
      <w:r w:rsidR="005303C5">
        <w:rPr>
          <w:rFonts w:ascii="Arial" w:hAnsi="Arial" w:cs="Arial"/>
        </w:rPr>
        <w:t>S</w:t>
      </w:r>
      <w:r w:rsidRPr="007E101C">
        <w:rPr>
          <w:rFonts w:ascii="Arial" w:hAnsi="Arial" w:cs="Arial"/>
        </w:rPr>
        <w:t xml:space="preserve">e han añadido </w:t>
      </w:r>
      <w:r w:rsidR="005303C5">
        <w:rPr>
          <w:rFonts w:ascii="Arial" w:hAnsi="Arial" w:cs="Arial"/>
        </w:rPr>
        <w:t>11</w:t>
      </w:r>
      <w:r w:rsidRPr="007E101C">
        <w:rPr>
          <w:rFonts w:ascii="Arial" w:hAnsi="Arial" w:cs="Arial"/>
        </w:rPr>
        <w:t xml:space="preserve"> mecanismos que podrían ser utilizados para obtener beneficios de manera indebida, reforzando así la vigilancia y prevención frente a prácticas que afectan la integridad del sistema fiscal.</w:t>
      </w:r>
    </w:p>
    <w:p w14:paraId="3D4C6CC1" w14:textId="77777777" w:rsidR="00817B7D" w:rsidRDefault="00817B7D" w:rsidP="00AE056C">
      <w:pPr>
        <w:spacing w:after="0" w:line="240" w:lineRule="auto"/>
        <w:jc w:val="both"/>
        <w:rPr>
          <w:rFonts w:ascii="Arial" w:hAnsi="Arial" w:cs="Arial"/>
          <w:lang w:val="es-ES"/>
        </w:rPr>
      </w:pPr>
    </w:p>
    <w:p w14:paraId="12CB6FA6" w14:textId="09714DB3" w:rsidR="00A06E54" w:rsidRPr="001578A8" w:rsidRDefault="007E101C" w:rsidP="00A06E54">
      <w:pPr>
        <w:spacing w:after="0" w:line="240" w:lineRule="auto"/>
        <w:jc w:val="both"/>
        <w:rPr>
          <w:rFonts w:ascii="Arial" w:eastAsia="Times New Roman" w:hAnsi="Arial" w:cs="Arial"/>
          <w:color w:val="222222"/>
          <w:lang w:eastAsia="es-PE"/>
        </w:rPr>
      </w:pPr>
      <w:r>
        <w:rPr>
          <w:rFonts w:ascii="Arial" w:hAnsi="Arial" w:cs="Arial"/>
          <w:lang w:val="es-ES"/>
        </w:rPr>
        <w:t xml:space="preserve">Los esquemas incorporados describen </w:t>
      </w:r>
      <w:r w:rsidR="00032FFC" w:rsidRPr="00637C30">
        <w:rPr>
          <w:rFonts w:ascii="Arial" w:hAnsi="Arial" w:cs="Arial"/>
          <w:lang w:val="es-ES"/>
        </w:rPr>
        <w:t xml:space="preserve">situaciones </w:t>
      </w:r>
      <w:r>
        <w:rPr>
          <w:rFonts w:ascii="Arial" w:hAnsi="Arial" w:cs="Arial"/>
          <w:lang w:val="es-ES"/>
        </w:rPr>
        <w:t>de diversa naturaleza</w:t>
      </w:r>
      <w:r w:rsidR="00A06E54">
        <w:rPr>
          <w:rFonts w:ascii="Arial" w:hAnsi="Arial" w:cs="Arial"/>
          <w:lang w:val="es-ES"/>
        </w:rPr>
        <w:t xml:space="preserve"> que, de acuerdo con su evaluación, podrían configurar supuestos </w:t>
      </w:r>
      <w:r w:rsidR="00A06E54" w:rsidRPr="00A06E54">
        <w:rPr>
          <w:rFonts w:ascii="Arial" w:hAnsi="Arial" w:cs="Arial"/>
          <w:lang w:val="es-ES"/>
        </w:rPr>
        <w:t xml:space="preserve">de elusión tributaria, simulación o indebida </w:t>
      </w:r>
      <w:r w:rsidR="00A06E54">
        <w:rPr>
          <w:rFonts w:ascii="Arial" w:hAnsi="Arial" w:cs="Arial"/>
          <w:lang w:val="es-ES"/>
        </w:rPr>
        <w:t>utilización</w:t>
      </w:r>
      <w:r w:rsidR="00A06E54" w:rsidRPr="00A06E54">
        <w:rPr>
          <w:rFonts w:ascii="Arial" w:hAnsi="Arial" w:cs="Arial"/>
          <w:lang w:val="es-ES"/>
        </w:rPr>
        <w:t xml:space="preserve"> de beneficios fiscales, resultando aplicable, de </w:t>
      </w:r>
      <w:r w:rsidR="00A06E54" w:rsidRPr="001578A8">
        <w:rPr>
          <w:rFonts w:ascii="Arial" w:hAnsi="Arial" w:cs="Arial"/>
          <w:lang w:val="es-ES"/>
        </w:rPr>
        <w:t xml:space="preserve">corresponder, la Norma XVI del Código Tributario, así como </w:t>
      </w:r>
      <w:r w:rsidR="00A06E54" w:rsidRPr="001578A8">
        <w:rPr>
          <w:rFonts w:ascii="Arial" w:hAnsi="Arial" w:cs="Arial"/>
        </w:rPr>
        <w:t xml:space="preserve">normas anti elusivas específicas o </w:t>
      </w:r>
      <w:r w:rsidR="00D53C1F" w:rsidRPr="001578A8">
        <w:rPr>
          <w:rFonts w:ascii="Arial" w:hAnsi="Arial" w:cs="Arial"/>
        </w:rPr>
        <w:t xml:space="preserve">las disposiciones </w:t>
      </w:r>
      <w:r w:rsidR="00A06E54" w:rsidRPr="001578A8">
        <w:rPr>
          <w:rFonts w:ascii="Arial" w:hAnsi="Arial" w:cs="Arial"/>
        </w:rPr>
        <w:t>sobre precios de transferencia reguladas en la Ley del Impuesto a la Renta.</w:t>
      </w:r>
    </w:p>
    <w:p w14:paraId="3029A9DD" w14:textId="77777777" w:rsidR="00A06E54" w:rsidRPr="001578A8" w:rsidRDefault="00A06E54" w:rsidP="00AE056C">
      <w:pPr>
        <w:spacing w:after="0" w:line="240" w:lineRule="auto"/>
        <w:jc w:val="both"/>
        <w:rPr>
          <w:rFonts w:ascii="Arial" w:hAnsi="Arial" w:cs="Arial"/>
          <w:lang w:val="es-ES"/>
        </w:rPr>
      </w:pPr>
    </w:p>
    <w:p w14:paraId="6425B190" w14:textId="3C94CBA0" w:rsidR="00032FFC" w:rsidRPr="00637C30" w:rsidRDefault="005303C5" w:rsidP="00032FFC">
      <w:pPr>
        <w:spacing w:after="0" w:line="240" w:lineRule="auto"/>
        <w:jc w:val="both"/>
        <w:rPr>
          <w:rFonts w:ascii="Arial" w:hAnsi="Arial" w:cs="Arial"/>
          <w:lang w:val="es-ES"/>
        </w:rPr>
      </w:pPr>
      <w:r>
        <w:rPr>
          <w:rFonts w:ascii="Arial" w:hAnsi="Arial" w:cs="Arial"/>
          <w:lang w:val="es-ES"/>
        </w:rPr>
        <w:t>E</w:t>
      </w:r>
      <w:r w:rsidR="00A06E54" w:rsidRPr="001578A8">
        <w:rPr>
          <w:rFonts w:ascii="Arial" w:hAnsi="Arial" w:cs="Arial"/>
          <w:lang w:val="es-ES"/>
        </w:rPr>
        <w:t xml:space="preserve">sta actualización del catálogo tiene como finalidad poner a disposición de los contribuyentes, asesores tributarios, académicos y del público en general información preventiva y orientadora, a través de una </w:t>
      </w:r>
      <w:r w:rsidR="00D53C1F" w:rsidRPr="001578A8">
        <w:rPr>
          <w:rFonts w:ascii="Arial" w:hAnsi="Arial" w:cs="Arial"/>
          <w:lang w:val="es-ES"/>
        </w:rPr>
        <w:t xml:space="preserve">identificación y </w:t>
      </w:r>
      <w:r w:rsidR="00A06E54" w:rsidRPr="001578A8">
        <w:rPr>
          <w:rFonts w:ascii="Arial" w:hAnsi="Arial" w:cs="Arial"/>
          <w:lang w:val="es-ES"/>
        </w:rPr>
        <w:t>caracterización general de esquemas considerados de alto riesgo, con el propósito de evitar su</w:t>
      </w:r>
      <w:r w:rsidR="00A06E54" w:rsidRPr="00A06E54">
        <w:rPr>
          <w:rFonts w:ascii="Arial" w:hAnsi="Arial" w:cs="Arial"/>
          <w:lang w:val="es-ES"/>
        </w:rPr>
        <w:t xml:space="preserve"> utilización y promover el cumplimiento oportuno y voluntario de las obligaciones tributarias.</w:t>
      </w:r>
    </w:p>
    <w:p w14:paraId="16A36946" w14:textId="77777777" w:rsidR="007326B9" w:rsidRPr="00881C79" w:rsidRDefault="007326B9" w:rsidP="00AE056C">
      <w:pPr>
        <w:spacing w:after="0" w:line="240" w:lineRule="auto"/>
        <w:jc w:val="both"/>
        <w:rPr>
          <w:rFonts w:ascii="Arial" w:eastAsia="Times New Roman" w:hAnsi="Arial" w:cs="Arial"/>
          <w:color w:val="222222"/>
          <w:lang w:eastAsia="es-PE"/>
        </w:rPr>
      </w:pPr>
    </w:p>
    <w:p w14:paraId="04BE54CE" w14:textId="097B91AB" w:rsidR="00740AAC" w:rsidRPr="00881C79" w:rsidRDefault="00FF20EA" w:rsidP="00740AAC">
      <w:pPr>
        <w:spacing w:after="0"/>
        <w:jc w:val="both"/>
        <w:rPr>
          <w:rFonts w:ascii="Arial" w:eastAsia="Times New Roman" w:hAnsi="Arial" w:cs="Arial"/>
          <w:b/>
          <w:color w:val="222222"/>
          <w:lang w:eastAsia="es-PE"/>
        </w:rPr>
      </w:pPr>
      <w:r w:rsidRPr="00881C79">
        <w:rPr>
          <w:rFonts w:ascii="Arial" w:eastAsia="Times New Roman" w:hAnsi="Arial" w:cs="Arial"/>
          <w:b/>
          <w:color w:val="222222"/>
          <w:lang w:eastAsia="es-PE"/>
        </w:rPr>
        <w:t xml:space="preserve">Esquemas </w:t>
      </w:r>
      <w:r w:rsidR="00A06E54">
        <w:rPr>
          <w:rFonts w:ascii="Arial" w:eastAsia="Times New Roman" w:hAnsi="Arial" w:cs="Arial"/>
          <w:b/>
          <w:color w:val="222222"/>
          <w:lang w:eastAsia="es-PE"/>
        </w:rPr>
        <w:t>incorporados</w:t>
      </w:r>
      <w:r w:rsidRPr="00881C79">
        <w:rPr>
          <w:rFonts w:ascii="Arial" w:eastAsia="Times New Roman" w:hAnsi="Arial" w:cs="Arial"/>
          <w:b/>
          <w:color w:val="222222"/>
          <w:lang w:eastAsia="es-PE"/>
        </w:rPr>
        <w:t xml:space="preserve"> </w:t>
      </w:r>
    </w:p>
    <w:p w14:paraId="3F81052F" w14:textId="77777777" w:rsidR="001E3505" w:rsidRDefault="001E3505" w:rsidP="00740AAC">
      <w:pPr>
        <w:spacing w:after="0"/>
        <w:jc w:val="both"/>
        <w:rPr>
          <w:rFonts w:ascii="Arial" w:eastAsia="Times New Roman" w:hAnsi="Arial" w:cs="Arial"/>
          <w:color w:val="222222"/>
          <w:lang w:eastAsia="es-PE"/>
        </w:rPr>
      </w:pPr>
    </w:p>
    <w:p w14:paraId="66FA783A" w14:textId="04933253" w:rsidR="00E74B85" w:rsidRDefault="00E74B85" w:rsidP="00740AAC">
      <w:pPr>
        <w:spacing w:after="0"/>
        <w:jc w:val="both"/>
        <w:rPr>
          <w:rFonts w:ascii="Arial" w:eastAsia="Times New Roman" w:hAnsi="Arial" w:cs="Arial"/>
          <w:color w:val="222222"/>
          <w:lang w:eastAsia="es-PE"/>
        </w:rPr>
      </w:pPr>
      <w:r w:rsidRPr="00E74B85">
        <w:rPr>
          <w:rFonts w:ascii="Arial" w:eastAsia="Times New Roman" w:hAnsi="Arial" w:cs="Arial"/>
          <w:color w:val="222222"/>
          <w:lang w:eastAsia="es-PE"/>
        </w:rPr>
        <w:t>L</w:t>
      </w:r>
      <w:r>
        <w:rPr>
          <w:rFonts w:ascii="Arial" w:eastAsia="Times New Roman" w:hAnsi="Arial" w:cs="Arial"/>
          <w:color w:val="222222"/>
          <w:lang w:eastAsia="es-PE"/>
        </w:rPr>
        <w:t>a</w:t>
      </w:r>
      <w:r w:rsidRPr="00E74B85">
        <w:rPr>
          <w:rFonts w:ascii="Arial" w:eastAsia="Times New Roman" w:hAnsi="Arial" w:cs="Arial"/>
          <w:color w:val="222222"/>
          <w:lang w:eastAsia="es-PE"/>
        </w:rPr>
        <w:t xml:space="preserve">s </w:t>
      </w:r>
      <w:r>
        <w:rPr>
          <w:rFonts w:ascii="Arial" w:eastAsia="Times New Roman" w:hAnsi="Arial" w:cs="Arial"/>
          <w:color w:val="222222"/>
          <w:lang w:eastAsia="es-PE"/>
        </w:rPr>
        <w:t xml:space="preserve">modalidades </w:t>
      </w:r>
      <w:r w:rsidRPr="00E74B85">
        <w:rPr>
          <w:rFonts w:ascii="Arial" w:eastAsia="Times New Roman" w:hAnsi="Arial" w:cs="Arial"/>
          <w:color w:val="222222"/>
          <w:lang w:eastAsia="es-PE"/>
        </w:rPr>
        <w:t xml:space="preserve">que </w:t>
      </w:r>
      <w:r>
        <w:rPr>
          <w:rFonts w:ascii="Arial" w:eastAsia="Times New Roman" w:hAnsi="Arial" w:cs="Arial"/>
          <w:color w:val="222222"/>
          <w:lang w:eastAsia="es-PE"/>
        </w:rPr>
        <w:t xml:space="preserve">se incorporan al catálogo en su versión </w:t>
      </w:r>
      <w:r w:rsidR="00A06E54">
        <w:rPr>
          <w:rFonts w:ascii="Arial" w:eastAsia="Times New Roman" w:hAnsi="Arial" w:cs="Arial"/>
          <w:color w:val="222222"/>
          <w:lang w:eastAsia="es-PE"/>
        </w:rPr>
        <w:t>4</w:t>
      </w:r>
      <w:r>
        <w:rPr>
          <w:rFonts w:ascii="Arial" w:eastAsia="Times New Roman" w:hAnsi="Arial" w:cs="Arial"/>
          <w:color w:val="222222"/>
          <w:lang w:eastAsia="es-PE"/>
        </w:rPr>
        <w:t>.0 s</w:t>
      </w:r>
      <w:r w:rsidRPr="00E74B85">
        <w:rPr>
          <w:rFonts w:ascii="Arial" w:eastAsia="Times New Roman" w:hAnsi="Arial" w:cs="Arial"/>
          <w:color w:val="222222"/>
          <w:lang w:eastAsia="es-PE"/>
        </w:rPr>
        <w:t>on l</w:t>
      </w:r>
      <w:r>
        <w:rPr>
          <w:rFonts w:ascii="Arial" w:eastAsia="Times New Roman" w:hAnsi="Arial" w:cs="Arial"/>
          <w:color w:val="222222"/>
          <w:lang w:eastAsia="es-PE"/>
        </w:rPr>
        <w:t>a</w:t>
      </w:r>
      <w:r w:rsidRPr="00E74B85">
        <w:rPr>
          <w:rFonts w:ascii="Arial" w:eastAsia="Times New Roman" w:hAnsi="Arial" w:cs="Arial"/>
          <w:color w:val="222222"/>
          <w:lang w:eastAsia="es-PE"/>
        </w:rPr>
        <w:t>s siguientes</w:t>
      </w:r>
      <w:r>
        <w:rPr>
          <w:rFonts w:ascii="Arial" w:eastAsia="Times New Roman" w:hAnsi="Arial" w:cs="Arial"/>
          <w:color w:val="222222"/>
          <w:lang w:eastAsia="es-PE"/>
        </w:rPr>
        <w:t>:</w:t>
      </w:r>
    </w:p>
    <w:p w14:paraId="7459F84F" w14:textId="77777777" w:rsidR="00E74B85" w:rsidRDefault="00E74B85" w:rsidP="00740AAC">
      <w:pPr>
        <w:spacing w:after="0"/>
        <w:jc w:val="both"/>
        <w:rPr>
          <w:rFonts w:ascii="Arial" w:eastAsia="Times New Roman" w:hAnsi="Arial" w:cs="Arial"/>
          <w:color w:val="222222"/>
          <w:lang w:eastAsia="es-PE"/>
        </w:rPr>
      </w:pPr>
    </w:p>
    <w:p w14:paraId="1DA803FE" w14:textId="6070CB3D"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 xml:space="preserve">Construcción de campus universitario a través de empresa vinculada sin sustancia </w:t>
      </w:r>
      <w:r>
        <w:rPr>
          <w:rFonts w:ascii="Arial" w:hAnsi="Arial" w:cs="Arial"/>
        </w:rPr>
        <w:t>y deducción de gastos por arrendamiento</w:t>
      </w:r>
      <w:r w:rsidR="005303C5">
        <w:rPr>
          <w:rFonts w:ascii="Arial" w:hAnsi="Arial" w:cs="Arial"/>
        </w:rPr>
        <w:t>.</w:t>
      </w:r>
    </w:p>
    <w:p w14:paraId="51ADE743" w14:textId="6231CC0F"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Línea de crédito comercial bajo la apariencia de préstamos de una Cooperativa de Ahorro y Crédito</w:t>
      </w:r>
      <w:r w:rsidR="005303C5">
        <w:rPr>
          <w:rFonts w:ascii="Arial" w:hAnsi="Arial" w:cs="Arial"/>
        </w:rPr>
        <w:t>.</w:t>
      </w:r>
    </w:p>
    <w:p w14:paraId="178DD3D4" w14:textId="2B6E4C25"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Compra apalancada de acciones (Leveraged Buy Out – LBO) con fusión inversa y traslado de gastos financieros</w:t>
      </w:r>
      <w:r w:rsidR="005303C5">
        <w:rPr>
          <w:rFonts w:ascii="Arial" w:hAnsi="Arial" w:cs="Arial"/>
        </w:rPr>
        <w:t>.</w:t>
      </w:r>
    </w:p>
    <w:p w14:paraId="3704215E" w14:textId="416BE21C"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Enajenación directa de acciones mediante capitalización de prima</w:t>
      </w:r>
      <w:r w:rsidR="005303C5">
        <w:rPr>
          <w:rFonts w:ascii="Arial" w:hAnsi="Arial" w:cs="Arial"/>
        </w:rPr>
        <w:t>.</w:t>
      </w:r>
    </w:p>
    <w:p w14:paraId="3480D337" w14:textId="62CE2EA0"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Préstamo encubierto por contribución a contrato de asociación en participación</w:t>
      </w:r>
      <w:r w:rsidR="005303C5">
        <w:rPr>
          <w:rFonts w:ascii="Arial" w:hAnsi="Arial" w:cs="Arial"/>
        </w:rPr>
        <w:t>.</w:t>
      </w:r>
    </w:p>
    <w:p w14:paraId="4D33A412" w14:textId="1ADFA3E4"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Distribución de dividendos mediante capitalización de utilidades y posterior venta de acciones liberadas</w:t>
      </w:r>
      <w:r w:rsidR="005303C5">
        <w:rPr>
          <w:rFonts w:ascii="Arial" w:hAnsi="Arial" w:cs="Arial"/>
        </w:rPr>
        <w:t>.</w:t>
      </w:r>
    </w:p>
    <w:p w14:paraId="512A1E21" w14:textId="109F2DA9"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Transferencia de inmuebles bajo un esquema de escisión y extinción del derecho de superficie</w:t>
      </w:r>
      <w:r w:rsidR="005303C5">
        <w:rPr>
          <w:rFonts w:ascii="Arial" w:hAnsi="Arial" w:cs="Arial"/>
        </w:rPr>
        <w:t>.</w:t>
      </w:r>
    </w:p>
    <w:p w14:paraId="4AEE2D50" w14:textId="45A758FA"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Transferencias de inmueble para posterior enajenación a fin de disminuir la carga fiscal</w:t>
      </w:r>
      <w:r w:rsidR="005303C5">
        <w:rPr>
          <w:rFonts w:ascii="Arial" w:hAnsi="Arial" w:cs="Arial"/>
        </w:rPr>
        <w:t>.</w:t>
      </w:r>
    </w:p>
    <w:p w14:paraId="2E4D3F6A" w14:textId="400D4B95"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Préstamo dinerario bajo apariencia de aporte de capital en sociedad interpuesta y posterior reorganización societaria</w:t>
      </w:r>
      <w:r w:rsidR="005303C5">
        <w:rPr>
          <w:rFonts w:ascii="Arial" w:hAnsi="Arial" w:cs="Arial"/>
        </w:rPr>
        <w:t>.</w:t>
      </w:r>
    </w:p>
    <w:p w14:paraId="648687D1" w14:textId="59196805"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Uso de arrendamiento financiero para depreciación acelerada y transferencia de inmueble a accionistas para su posterior arrendamiento</w:t>
      </w:r>
      <w:r w:rsidR="005303C5">
        <w:rPr>
          <w:rFonts w:ascii="Arial" w:hAnsi="Arial" w:cs="Arial"/>
        </w:rPr>
        <w:t>.</w:t>
      </w:r>
    </w:p>
    <w:p w14:paraId="1815539D" w14:textId="3EB8804D" w:rsidR="00A06E54" w:rsidRPr="00A06E54" w:rsidRDefault="00A06E54" w:rsidP="005303C5">
      <w:pPr>
        <w:pStyle w:val="Prrafodelista"/>
        <w:numPr>
          <w:ilvl w:val="0"/>
          <w:numId w:val="7"/>
        </w:numPr>
        <w:spacing w:after="0" w:line="240" w:lineRule="auto"/>
        <w:jc w:val="both"/>
        <w:rPr>
          <w:rFonts w:ascii="Arial" w:hAnsi="Arial" w:cs="Arial"/>
        </w:rPr>
      </w:pPr>
      <w:r w:rsidRPr="00A06E54">
        <w:rPr>
          <w:rFonts w:ascii="Arial" w:hAnsi="Arial" w:cs="Arial"/>
        </w:rPr>
        <w:t>Préstamo dinerario bajo la apariencia de aporte de capital en trámite</w:t>
      </w:r>
      <w:r w:rsidR="005303C5">
        <w:rPr>
          <w:rFonts w:ascii="Arial" w:hAnsi="Arial" w:cs="Arial"/>
        </w:rPr>
        <w:t>.</w:t>
      </w:r>
    </w:p>
    <w:p w14:paraId="72152209" w14:textId="77777777" w:rsidR="001E3505" w:rsidRDefault="001E3505" w:rsidP="00AE056C">
      <w:pPr>
        <w:spacing w:after="0" w:line="240" w:lineRule="auto"/>
        <w:jc w:val="both"/>
        <w:rPr>
          <w:rFonts w:ascii="Arial" w:eastAsia="Times New Roman" w:hAnsi="Arial" w:cs="Arial"/>
          <w:color w:val="222222"/>
          <w:lang w:eastAsia="es-PE"/>
        </w:rPr>
      </w:pPr>
    </w:p>
    <w:p w14:paraId="6CDBE51A" w14:textId="77777777" w:rsidR="005303C5" w:rsidRDefault="006B26B1" w:rsidP="006B26B1">
      <w:pPr>
        <w:spacing w:after="0" w:line="240" w:lineRule="auto"/>
        <w:jc w:val="both"/>
        <w:rPr>
          <w:rFonts w:ascii="Arial" w:eastAsia="Times New Roman" w:hAnsi="Arial" w:cs="Arial"/>
          <w:color w:val="222222"/>
          <w:lang w:eastAsia="es-PE"/>
        </w:rPr>
      </w:pPr>
      <w:r>
        <w:rPr>
          <w:rFonts w:ascii="Arial" w:eastAsia="Times New Roman" w:hAnsi="Arial" w:cs="Arial"/>
          <w:color w:val="222222"/>
          <w:lang w:eastAsia="es-PE"/>
        </w:rPr>
        <w:t>Uno de los esque</w:t>
      </w:r>
      <w:r w:rsidRPr="006B26B1">
        <w:rPr>
          <w:rFonts w:ascii="Arial" w:eastAsia="Times New Roman" w:hAnsi="Arial" w:cs="Arial"/>
          <w:color w:val="222222"/>
          <w:lang w:eastAsia="es-PE"/>
        </w:rPr>
        <w:t>ma</w:t>
      </w:r>
      <w:r>
        <w:rPr>
          <w:rFonts w:ascii="Arial" w:eastAsia="Times New Roman" w:hAnsi="Arial" w:cs="Arial"/>
          <w:color w:val="222222"/>
          <w:lang w:eastAsia="es-PE"/>
        </w:rPr>
        <w:t>s incorporados es el</w:t>
      </w:r>
      <w:r w:rsidRPr="006B26B1">
        <w:rPr>
          <w:rFonts w:ascii="Arial" w:eastAsia="Times New Roman" w:hAnsi="Arial" w:cs="Arial"/>
          <w:color w:val="222222"/>
          <w:lang w:eastAsia="es-PE"/>
        </w:rPr>
        <w:t xml:space="preserve"> denominado “Línea de crédito comercial bajo la apariencia de préstamos de una Cooperativa de Ahorro y Crédito”. </w:t>
      </w:r>
      <w:r w:rsidR="005303C5">
        <w:rPr>
          <w:rFonts w:ascii="Arial" w:eastAsia="Times New Roman" w:hAnsi="Arial" w:cs="Arial"/>
          <w:color w:val="222222"/>
          <w:lang w:eastAsia="es-PE"/>
        </w:rPr>
        <w:t>En este l</w:t>
      </w:r>
      <w:r w:rsidRPr="006B26B1">
        <w:rPr>
          <w:rFonts w:ascii="Arial" w:eastAsia="Times New Roman" w:hAnsi="Arial" w:cs="Arial"/>
          <w:color w:val="222222"/>
          <w:lang w:eastAsia="es-PE"/>
        </w:rPr>
        <w:t xml:space="preserve">a empresa </w:t>
      </w:r>
      <w:r w:rsidRPr="006B26B1">
        <w:rPr>
          <w:rFonts w:ascii="Arial" w:eastAsia="Times New Roman" w:hAnsi="Arial" w:cs="Arial"/>
          <w:color w:val="222222"/>
          <w:lang w:eastAsia="es-PE"/>
        </w:rPr>
        <w:lastRenderedPageBreak/>
        <w:t xml:space="preserve">y sus accionistas constituyeron </w:t>
      </w:r>
      <w:r w:rsidRPr="001578A8">
        <w:rPr>
          <w:rFonts w:ascii="Arial" w:eastAsia="Times New Roman" w:hAnsi="Arial" w:cs="Arial"/>
          <w:color w:val="222222"/>
          <w:lang w:eastAsia="es-PE"/>
        </w:rPr>
        <w:t>una cooperativa bajo su control, mediante la cual ofrecían a sus clientes una tarjeta que les permitía</w:t>
      </w:r>
      <w:r w:rsidR="00D53C1F" w:rsidRPr="001578A8">
        <w:rPr>
          <w:rFonts w:ascii="Arial" w:eastAsia="Times New Roman" w:hAnsi="Arial" w:cs="Arial"/>
          <w:color w:val="222222"/>
          <w:lang w:eastAsia="es-PE"/>
        </w:rPr>
        <w:t xml:space="preserve"> financiar</w:t>
      </w:r>
      <w:r w:rsidRPr="001578A8">
        <w:rPr>
          <w:rFonts w:ascii="Arial" w:eastAsia="Times New Roman" w:hAnsi="Arial" w:cs="Arial"/>
          <w:color w:val="222222"/>
          <w:lang w:eastAsia="es-PE"/>
        </w:rPr>
        <w:t xml:space="preserve"> compras</w:t>
      </w:r>
      <w:r w:rsidR="00D53C1F" w:rsidRPr="001578A8">
        <w:rPr>
          <w:rFonts w:ascii="Arial" w:eastAsia="Times New Roman" w:hAnsi="Arial" w:cs="Arial"/>
          <w:color w:val="222222"/>
          <w:lang w:eastAsia="es-PE"/>
        </w:rPr>
        <w:t xml:space="preserve"> realizadas</w:t>
      </w:r>
      <w:r w:rsidRPr="001578A8">
        <w:rPr>
          <w:rFonts w:ascii="Arial" w:eastAsia="Times New Roman" w:hAnsi="Arial" w:cs="Arial"/>
          <w:color w:val="222222"/>
          <w:lang w:eastAsia="es-PE"/>
        </w:rPr>
        <w:t xml:space="preserve"> en sus tiendas, </w:t>
      </w:r>
      <w:r w:rsidR="000F5682" w:rsidRPr="001578A8">
        <w:rPr>
          <w:rFonts w:ascii="Arial" w:eastAsia="Times New Roman" w:hAnsi="Arial" w:cs="Arial"/>
          <w:color w:val="222222"/>
          <w:lang w:eastAsia="es-PE"/>
        </w:rPr>
        <w:t>con pagos fraccionados e</w:t>
      </w:r>
      <w:r w:rsidRPr="001578A8">
        <w:rPr>
          <w:rFonts w:ascii="Arial" w:eastAsia="Times New Roman" w:hAnsi="Arial" w:cs="Arial"/>
          <w:color w:val="222222"/>
          <w:lang w:eastAsia="es-PE"/>
        </w:rPr>
        <w:t xml:space="preserve"> intereses. </w:t>
      </w:r>
    </w:p>
    <w:p w14:paraId="1BB44A70" w14:textId="77777777" w:rsidR="005303C5" w:rsidRDefault="005303C5" w:rsidP="006B26B1">
      <w:pPr>
        <w:spacing w:after="0" w:line="240" w:lineRule="auto"/>
        <w:jc w:val="both"/>
        <w:rPr>
          <w:rFonts w:ascii="Arial" w:eastAsia="Times New Roman" w:hAnsi="Arial" w:cs="Arial"/>
          <w:color w:val="222222"/>
          <w:lang w:eastAsia="es-PE"/>
        </w:rPr>
      </w:pPr>
    </w:p>
    <w:p w14:paraId="0CF7B246" w14:textId="298746A8" w:rsidR="006B26B1" w:rsidRPr="006B26B1" w:rsidRDefault="006B26B1" w:rsidP="006B26B1">
      <w:pPr>
        <w:spacing w:after="0" w:line="240" w:lineRule="auto"/>
        <w:jc w:val="both"/>
        <w:rPr>
          <w:rFonts w:ascii="Arial" w:eastAsia="Times New Roman" w:hAnsi="Arial" w:cs="Arial"/>
          <w:color w:val="222222"/>
          <w:lang w:eastAsia="es-PE"/>
        </w:rPr>
      </w:pPr>
      <w:r w:rsidRPr="001578A8">
        <w:rPr>
          <w:rFonts w:ascii="Arial" w:eastAsia="Times New Roman" w:hAnsi="Arial" w:cs="Arial"/>
          <w:color w:val="222222"/>
          <w:lang w:eastAsia="es-PE"/>
        </w:rPr>
        <w:t xml:space="preserve">Formalmente, los clientes eran inscritos como socios </w:t>
      </w:r>
      <w:r w:rsidR="000F5682" w:rsidRPr="001578A8">
        <w:rPr>
          <w:rFonts w:ascii="Arial" w:eastAsia="Times New Roman" w:hAnsi="Arial" w:cs="Arial"/>
          <w:color w:val="222222"/>
          <w:lang w:eastAsia="es-PE"/>
        </w:rPr>
        <w:t xml:space="preserve">mediante </w:t>
      </w:r>
      <w:r w:rsidRPr="001578A8">
        <w:rPr>
          <w:rFonts w:ascii="Arial" w:eastAsia="Times New Roman" w:hAnsi="Arial" w:cs="Arial"/>
          <w:color w:val="222222"/>
          <w:lang w:eastAsia="es-PE"/>
        </w:rPr>
        <w:t>aportes mínimos, aunque sin</w:t>
      </w:r>
      <w:r w:rsidR="000F5682" w:rsidRPr="001578A8">
        <w:rPr>
          <w:rFonts w:ascii="Arial" w:eastAsia="Times New Roman" w:hAnsi="Arial" w:cs="Arial"/>
          <w:color w:val="222222"/>
          <w:lang w:eastAsia="es-PE"/>
        </w:rPr>
        <w:t xml:space="preserve"> el</w:t>
      </w:r>
      <w:r w:rsidRPr="001578A8">
        <w:rPr>
          <w:rFonts w:ascii="Arial" w:eastAsia="Times New Roman" w:hAnsi="Arial" w:cs="Arial"/>
          <w:color w:val="222222"/>
          <w:lang w:eastAsia="es-PE"/>
        </w:rPr>
        <w:t xml:space="preserve"> </w:t>
      </w:r>
      <w:r w:rsidR="002B675E" w:rsidRPr="001578A8">
        <w:rPr>
          <w:rFonts w:ascii="Arial" w:eastAsia="Times New Roman" w:hAnsi="Arial" w:cs="Arial"/>
          <w:color w:val="222222"/>
          <w:lang w:eastAsia="es-PE"/>
        </w:rPr>
        <w:t xml:space="preserve">cumplimiento efectivo de los </w:t>
      </w:r>
      <w:r w:rsidRPr="001578A8">
        <w:rPr>
          <w:rFonts w:ascii="Arial" w:eastAsia="Times New Roman" w:hAnsi="Arial" w:cs="Arial"/>
          <w:color w:val="222222"/>
          <w:lang w:eastAsia="es-PE"/>
        </w:rPr>
        <w:t>requisitos estatutarios ni participar en la gestión</w:t>
      </w:r>
      <w:r w:rsidR="002B675E" w:rsidRPr="001578A8">
        <w:rPr>
          <w:rFonts w:ascii="Arial" w:eastAsia="Times New Roman" w:hAnsi="Arial" w:cs="Arial"/>
          <w:color w:val="222222"/>
          <w:lang w:eastAsia="es-PE"/>
        </w:rPr>
        <w:t xml:space="preserve"> cooperativa</w:t>
      </w:r>
      <w:r w:rsidRPr="001578A8">
        <w:rPr>
          <w:rFonts w:ascii="Arial" w:eastAsia="Times New Roman" w:hAnsi="Arial" w:cs="Arial"/>
          <w:color w:val="222222"/>
          <w:lang w:eastAsia="es-PE"/>
        </w:rPr>
        <w:t xml:space="preserve">. Los pagos </w:t>
      </w:r>
      <w:r w:rsidR="002B675E" w:rsidRPr="001578A8">
        <w:rPr>
          <w:rFonts w:ascii="Arial" w:eastAsia="Times New Roman" w:hAnsi="Arial" w:cs="Arial"/>
          <w:color w:val="222222"/>
          <w:lang w:eastAsia="es-PE"/>
        </w:rPr>
        <w:t xml:space="preserve">de las cuotas </w:t>
      </w:r>
      <w:r w:rsidRPr="001578A8">
        <w:rPr>
          <w:rFonts w:ascii="Arial" w:eastAsia="Times New Roman" w:hAnsi="Arial" w:cs="Arial"/>
          <w:color w:val="222222"/>
          <w:lang w:eastAsia="es-PE"/>
        </w:rPr>
        <w:t>se realizaban en los locales de la empresa</w:t>
      </w:r>
      <w:r w:rsidR="002B675E" w:rsidRPr="001578A8">
        <w:rPr>
          <w:rFonts w:ascii="Arial" w:eastAsia="Times New Roman" w:hAnsi="Arial" w:cs="Arial"/>
          <w:color w:val="222222"/>
          <w:lang w:eastAsia="es-PE"/>
        </w:rPr>
        <w:t>,</w:t>
      </w:r>
      <w:r w:rsidRPr="001578A8">
        <w:rPr>
          <w:rFonts w:ascii="Arial" w:eastAsia="Times New Roman" w:hAnsi="Arial" w:cs="Arial"/>
          <w:color w:val="222222"/>
          <w:lang w:eastAsia="es-PE"/>
        </w:rPr>
        <w:t xml:space="preserve"> </w:t>
      </w:r>
      <w:r w:rsidR="002B675E" w:rsidRPr="001578A8">
        <w:rPr>
          <w:rFonts w:ascii="Arial" w:eastAsia="Times New Roman" w:hAnsi="Arial" w:cs="Arial"/>
          <w:color w:val="222222"/>
          <w:lang w:eastAsia="es-PE"/>
        </w:rPr>
        <w:t xml:space="preserve">mientras que </w:t>
      </w:r>
      <w:r w:rsidRPr="001578A8">
        <w:rPr>
          <w:rFonts w:ascii="Arial" w:eastAsia="Times New Roman" w:hAnsi="Arial" w:cs="Arial"/>
          <w:color w:val="222222"/>
          <w:lang w:eastAsia="es-PE"/>
        </w:rPr>
        <w:t xml:space="preserve">los intereses eran declarados </w:t>
      </w:r>
      <w:r w:rsidR="002B675E" w:rsidRPr="001578A8">
        <w:rPr>
          <w:rFonts w:ascii="Arial" w:eastAsia="Times New Roman" w:hAnsi="Arial" w:cs="Arial"/>
          <w:color w:val="222222"/>
          <w:lang w:eastAsia="es-PE"/>
        </w:rPr>
        <w:t xml:space="preserve">como ingreso </w:t>
      </w:r>
      <w:r w:rsidRPr="001578A8">
        <w:rPr>
          <w:rFonts w:ascii="Arial" w:eastAsia="Times New Roman" w:hAnsi="Arial" w:cs="Arial"/>
          <w:color w:val="222222"/>
          <w:lang w:eastAsia="es-PE"/>
        </w:rPr>
        <w:t>por la cooperativa.</w:t>
      </w:r>
    </w:p>
    <w:p w14:paraId="157ED510" w14:textId="77777777" w:rsidR="006B26B1" w:rsidRPr="006B26B1" w:rsidRDefault="006B26B1" w:rsidP="006B26B1">
      <w:pPr>
        <w:spacing w:after="0" w:line="240" w:lineRule="auto"/>
        <w:jc w:val="both"/>
        <w:rPr>
          <w:rFonts w:ascii="Arial" w:eastAsia="Times New Roman" w:hAnsi="Arial" w:cs="Arial"/>
          <w:color w:val="222222"/>
          <w:lang w:eastAsia="es-PE"/>
        </w:rPr>
      </w:pPr>
    </w:p>
    <w:p w14:paraId="4A644ACD" w14:textId="58749184" w:rsidR="006B26B1" w:rsidRDefault="006B26B1" w:rsidP="006B26B1">
      <w:pPr>
        <w:spacing w:after="0" w:line="240" w:lineRule="auto"/>
        <w:jc w:val="both"/>
        <w:rPr>
          <w:rFonts w:ascii="Arial" w:eastAsia="Times New Roman" w:hAnsi="Arial" w:cs="Arial"/>
          <w:color w:val="222222"/>
          <w:lang w:eastAsia="es-PE"/>
        </w:rPr>
      </w:pPr>
      <w:r w:rsidRPr="006B26B1">
        <w:rPr>
          <w:rFonts w:ascii="Arial" w:eastAsia="Times New Roman" w:hAnsi="Arial" w:cs="Arial"/>
          <w:color w:val="222222"/>
          <w:lang w:eastAsia="es-PE"/>
        </w:rPr>
        <w:t>En la práctica, la cooperativa no desarrollaba actividad cooperativa real</w:t>
      </w:r>
      <w:r>
        <w:rPr>
          <w:rFonts w:ascii="Arial" w:eastAsia="Times New Roman" w:hAnsi="Arial" w:cs="Arial"/>
          <w:color w:val="222222"/>
          <w:lang w:eastAsia="es-PE"/>
        </w:rPr>
        <w:t>,</w:t>
      </w:r>
      <w:r w:rsidRPr="006B26B1">
        <w:rPr>
          <w:rFonts w:ascii="Arial" w:eastAsia="Times New Roman" w:hAnsi="Arial" w:cs="Arial"/>
          <w:color w:val="222222"/>
          <w:lang w:eastAsia="es-PE"/>
        </w:rPr>
        <w:t xml:space="preserve"> los clientes desconocían su condición de socios, no intervenían en la administración ni recibían educación financiera. Los ingresos por intereses se canalizaban a través de la cooperativa como mecanismo de intermediación tributaria, permitiendo a la empresa evitar el pago del 29.5% de IR y del 18% de IGV aplicables a operaciones de financiamiento comercial. La finalidad principal de esta estructura fue obtener una ventaja fiscal indebida.</w:t>
      </w:r>
    </w:p>
    <w:p w14:paraId="6F2AE726" w14:textId="77777777" w:rsidR="006B26B1" w:rsidRDefault="006B26B1" w:rsidP="00634A20">
      <w:pPr>
        <w:spacing w:after="0" w:line="240" w:lineRule="auto"/>
        <w:jc w:val="both"/>
        <w:rPr>
          <w:rFonts w:ascii="Arial" w:eastAsia="Times New Roman" w:hAnsi="Arial" w:cs="Arial"/>
          <w:color w:val="222222"/>
          <w:lang w:eastAsia="es-PE"/>
        </w:rPr>
      </w:pPr>
    </w:p>
    <w:p w14:paraId="58B66477" w14:textId="6E986162" w:rsidR="00857F33" w:rsidRPr="00857F33" w:rsidRDefault="006B26B1" w:rsidP="00857F33">
      <w:pPr>
        <w:spacing w:after="0" w:line="240" w:lineRule="auto"/>
        <w:jc w:val="both"/>
        <w:rPr>
          <w:rFonts w:ascii="Arial" w:eastAsia="Times New Roman" w:hAnsi="Arial" w:cs="Arial"/>
          <w:color w:val="222222"/>
          <w:lang w:eastAsia="es-PE"/>
        </w:rPr>
      </w:pPr>
      <w:r w:rsidRPr="00857F33">
        <w:rPr>
          <w:rFonts w:ascii="Arial" w:eastAsia="Times New Roman" w:hAnsi="Arial" w:cs="Arial"/>
          <w:color w:val="222222"/>
          <w:lang w:eastAsia="es-PE"/>
        </w:rPr>
        <w:t xml:space="preserve">Al respecto, según la base de datos de SUNAT, se ha identificado </w:t>
      </w:r>
      <w:r w:rsidR="00856F58" w:rsidRPr="00857F33">
        <w:rPr>
          <w:rFonts w:ascii="Arial" w:eastAsia="Times New Roman" w:hAnsi="Arial" w:cs="Arial"/>
          <w:color w:val="222222"/>
          <w:lang w:eastAsia="es-PE"/>
        </w:rPr>
        <w:t>alrededor de 40</w:t>
      </w:r>
      <w:r w:rsidRPr="00857F33">
        <w:rPr>
          <w:rFonts w:ascii="Arial" w:eastAsia="Times New Roman" w:hAnsi="Arial" w:cs="Arial"/>
          <w:color w:val="222222"/>
          <w:lang w:eastAsia="es-PE"/>
        </w:rPr>
        <w:t xml:space="preserve"> Cooperativa</w:t>
      </w:r>
      <w:r w:rsidR="00856F58" w:rsidRPr="00857F33">
        <w:rPr>
          <w:rFonts w:ascii="Arial" w:eastAsia="Times New Roman" w:hAnsi="Arial" w:cs="Arial"/>
          <w:color w:val="222222"/>
          <w:lang w:eastAsia="es-PE"/>
        </w:rPr>
        <w:t>s</w:t>
      </w:r>
      <w:r w:rsidRPr="00857F33">
        <w:rPr>
          <w:rFonts w:ascii="Arial" w:eastAsia="Times New Roman" w:hAnsi="Arial" w:cs="Arial"/>
          <w:color w:val="222222"/>
          <w:lang w:eastAsia="es-PE"/>
        </w:rPr>
        <w:t xml:space="preserve"> de Ahorro y Crédito</w:t>
      </w:r>
      <w:r w:rsidR="00856F58" w:rsidRPr="00857F33">
        <w:rPr>
          <w:rFonts w:ascii="Arial" w:eastAsia="Times New Roman" w:hAnsi="Arial" w:cs="Arial"/>
          <w:color w:val="222222"/>
          <w:lang w:eastAsia="es-PE"/>
        </w:rPr>
        <w:t xml:space="preserve"> que</w:t>
      </w:r>
      <w:r w:rsidRPr="00857F33">
        <w:rPr>
          <w:rFonts w:ascii="Arial" w:eastAsia="Times New Roman" w:hAnsi="Arial" w:cs="Arial"/>
          <w:color w:val="222222"/>
          <w:lang w:eastAsia="es-PE"/>
        </w:rPr>
        <w:t xml:space="preserve"> mantienen </w:t>
      </w:r>
      <w:r w:rsidR="00856F58" w:rsidRPr="00857F33">
        <w:rPr>
          <w:rFonts w:ascii="Arial" w:eastAsia="Times New Roman" w:hAnsi="Arial" w:cs="Arial"/>
          <w:color w:val="222222"/>
          <w:lang w:eastAsia="es-PE"/>
        </w:rPr>
        <w:t>aproximadamente</w:t>
      </w:r>
      <w:r w:rsidRPr="00857F33">
        <w:rPr>
          <w:rFonts w:ascii="Arial" w:eastAsia="Times New Roman" w:hAnsi="Arial" w:cs="Arial"/>
          <w:color w:val="222222"/>
          <w:lang w:eastAsia="es-PE"/>
        </w:rPr>
        <w:t xml:space="preserve"> S/ 3</w:t>
      </w:r>
      <w:r w:rsidR="00856F58" w:rsidRPr="00857F33">
        <w:rPr>
          <w:rFonts w:ascii="Arial" w:eastAsia="Times New Roman" w:hAnsi="Arial" w:cs="Arial"/>
          <w:color w:val="222222"/>
          <w:lang w:eastAsia="es-PE"/>
        </w:rPr>
        <w:t>1</w:t>
      </w:r>
      <w:r w:rsidRPr="00857F33">
        <w:rPr>
          <w:rFonts w:ascii="Arial" w:eastAsia="Times New Roman" w:hAnsi="Arial" w:cs="Arial"/>
          <w:color w:val="222222"/>
          <w:lang w:eastAsia="es-PE"/>
        </w:rPr>
        <w:t xml:space="preserve"> millones en créditos otorgados</w:t>
      </w:r>
      <w:r w:rsidR="00857F33" w:rsidRPr="00857F33">
        <w:rPr>
          <w:rFonts w:ascii="Arial" w:eastAsia="Times New Roman" w:hAnsi="Arial" w:cs="Arial"/>
          <w:color w:val="222222"/>
          <w:lang w:eastAsia="es-PE"/>
        </w:rPr>
        <w:t>, lo que da cuenta de las operaciones realizadas por dichas entidades y de la necesidad de un análisis riguroso para asegurar el cumplimiento de las obligaciones tributarias correspondientes.</w:t>
      </w:r>
    </w:p>
    <w:p w14:paraId="7E9CE546" w14:textId="77777777" w:rsidR="006B26B1" w:rsidRDefault="006B26B1" w:rsidP="00634A20">
      <w:pPr>
        <w:spacing w:after="0" w:line="240" w:lineRule="auto"/>
        <w:jc w:val="both"/>
        <w:rPr>
          <w:rFonts w:ascii="Arial" w:eastAsia="Times New Roman" w:hAnsi="Arial" w:cs="Arial"/>
          <w:color w:val="222222"/>
          <w:lang w:eastAsia="es-PE"/>
        </w:rPr>
      </w:pPr>
    </w:p>
    <w:p w14:paraId="709DA62B" w14:textId="77777777" w:rsidR="005303C5" w:rsidRDefault="00A10DA4" w:rsidP="00FE2CB7">
      <w:pPr>
        <w:spacing w:after="0" w:line="240" w:lineRule="auto"/>
        <w:jc w:val="both"/>
        <w:rPr>
          <w:rFonts w:ascii="Arial" w:eastAsia="Times New Roman" w:hAnsi="Arial" w:cs="Arial"/>
          <w:color w:val="222222"/>
          <w:lang w:eastAsia="es-PE"/>
        </w:rPr>
      </w:pPr>
      <w:r w:rsidRPr="00857F33">
        <w:rPr>
          <w:rFonts w:ascii="Arial" w:eastAsia="Times New Roman" w:hAnsi="Arial" w:cs="Arial"/>
          <w:color w:val="222222"/>
          <w:lang w:eastAsia="es-PE"/>
        </w:rPr>
        <w:t>Otra modalidad identificada</w:t>
      </w:r>
      <w:r w:rsidR="0036144B" w:rsidRPr="00857F33">
        <w:rPr>
          <w:rFonts w:ascii="Arial" w:eastAsia="Times New Roman" w:hAnsi="Arial" w:cs="Arial"/>
          <w:color w:val="222222"/>
          <w:lang w:eastAsia="es-PE"/>
        </w:rPr>
        <w:t xml:space="preserve"> </w:t>
      </w:r>
      <w:r w:rsidR="005303C5">
        <w:rPr>
          <w:rFonts w:ascii="Arial" w:eastAsia="Times New Roman" w:hAnsi="Arial" w:cs="Arial"/>
          <w:color w:val="222222"/>
          <w:lang w:eastAsia="es-PE"/>
        </w:rPr>
        <w:t>(e</w:t>
      </w:r>
      <w:r w:rsidR="0036144B" w:rsidRPr="00857F33">
        <w:rPr>
          <w:rFonts w:ascii="Arial" w:eastAsia="Times New Roman" w:hAnsi="Arial" w:cs="Arial"/>
          <w:color w:val="222222"/>
          <w:lang w:eastAsia="es-PE"/>
        </w:rPr>
        <w:t>squema 25</w:t>
      </w:r>
      <w:r w:rsidR="005303C5">
        <w:rPr>
          <w:rFonts w:ascii="Arial" w:eastAsia="Times New Roman" w:hAnsi="Arial" w:cs="Arial"/>
          <w:color w:val="222222"/>
          <w:lang w:eastAsia="es-PE"/>
        </w:rPr>
        <w:t>)</w:t>
      </w:r>
      <w:r w:rsidRPr="00857F33">
        <w:rPr>
          <w:rFonts w:ascii="Arial" w:eastAsia="Times New Roman" w:hAnsi="Arial" w:cs="Arial"/>
          <w:color w:val="222222"/>
          <w:lang w:eastAsia="es-PE"/>
        </w:rPr>
        <w:t xml:space="preserve"> </w:t>
      </w:r>
      <w:r w:rsidR="0036144B" w:rsidRPr="00857F33">
        <w:rPr>
          <w:rFonts w:ascii="Arial" w:eastAsia="Times New Roman" w:hAnsi="Arial" w:cs="Arial"/>
          <w:color w:val="222222"/>
          <w:lang w:eastAsia="es-PE"/>
        </w:rPr>
        <w:t xml:space="preserve">está relacionada con </w:t>
      </w:r>
      <w:r w:rsidR="00C74347" w:rsidRPr="00857F33">
        <w:rPr>
          <w:rFonts w:ascii="Arial" w:eastAsia="Times New Roman" w:hAnsi="Arial" w:cs="Arial"/>
          <w:color w:val="222222"/>
          <w:lang w:eastAsia="es-PE"/>
        </w:rPr>
        <w:t>la construcción de un campus universitario a través de una empresa vinculada</w:t>
      </w:r>
      <w:r w:rsidR="00C74347" w:rsidRPr="00C74347">
        <w:rPr>
          <w:rFonts w:ascii="Arial" w:eastAsia="Times New Roman" w:hAnsi="Arial" w:cs="Arial"/>
          <w:color w:val="222222"/>
          <w:lang w:eastAsia="es-PE"/>
        </w:rPr>
        <w:t xml:space="preserve"> creada específicamente para adquirir los terrenos y ejecutar un proyecto inmobiliario (campus universitario). </w:t>
      </w:r>
    </w:p>
    <w:p w14:paraId="7ABCF166" w14:textId="77777777" w:rsidR="005303C5" w:rsidRDefault="005303C5" w:rsidP="00FE2CB7">
      <w:pPr>
        <w:spacing w:after="0" w:line="240" w:lineRule="auto"/>
        <w:jc w:val="both"/>
        <w:rPr>
          <w:rFonts w:ascii="Arial" w:eastAsia="Times New Roman" w:hAnsi="Arial" w:cs="Arial"/>
          <w:color w:val="222222"/>
          <w:lang w:eastAsia="es-PE"/>
        </w:rPr>
      </w:pPr>
    </w:p>
    <w:p w14:paraId="1B923577" w14:textId="56296E83" w:rsidR="00FE2CB7" w:rsidRPr="00FE2CB7" w:rsidRDefault="00C74347" w:rsidP="00FE2CB7">
      <w:pPr>
        <w:spacing w:after="0" w:line="240" w:lineRule="auto"/>
        <w:jc w:val="both"/>
        <w:rPr>
          <w:rFonts w:ascii="Arial" w:eastAsia="Times New Roman" w:hAnsi="Arial" w:cs="Arial"/>
          <w:color w:val="000000" w:themeColor="text1"/>
          <w:lang w:eastAsia="es-PE"/>
        </w:rPr>
      </w:pPr>
      <w:r w:rsidRPr="00C74347">
        <w:rPr>
          <w:rFonts w:ascii="Arial" w:eastAsia="Times New Roman" w:hAnsi="Arial" w:cs="Arial"/>
          <w:color w:val="222222"/>
          <w:lang w:eastAsia="es-PE"/>
        </w:rPr>
        <w:t xml:space="preserve">Si bien esta empresa vinculada se mostraba como propietaria del inmueble y responsable de la construcción, las actividades esenciales eran realizadas por la universidad, que gestionaba la adquisición de los terrenos, coordinaba la construcción, asumía </w:t>
      </w:r>
      <w:r w:rsidRPr="00FE2CB7">
        <w:rPr>
          <w:rFonts w:ascii="Arial" w:eastAsia="Times New Roman" w:hAnsi="Arial" w:cs="Arial"/>
          <w:color w:val="222222"/>
          <w:lang w:eastAsia="es-PE"/>
        </w:rPr>
        <w:t xml:space="preserve">obligaciones frente a la entidad financiera y utilizaba su propio personal para el </w:t>
      </w:r>
      <w:r w:rsidRPr="00FE2CB7">
        <w:rPr>
          <w:rFonts w:ascii="Arial" w:eastAsia="Times New Roman" w:hAnsi="Arial" w:cs="Arial"/>
          <w:color w:val="000000" w:themeColor="text1"/>
          <w:lang w:eastAsia="es-PE"/>
        </w:rPr>
        <w:t>proyecto.</w:t>
      </w:r>
      <w:r w:rsidR="0036144B" w:rsidRPr="00FE2CB7">
        <w:rPr>
          <w:rFonts w:ascii="Arial" w:eastAsia="Times New Roman" w:hAnsi="Arial" w:cs="Arial"/>
          <w:color w:val="000000" w:themeColor="text1"/>
          <w:lang w:eastAsia="es-PE"/>
        </w:rPr>
        <w:t xml:space="preserve"> </w:t>
      </w:r>
      <w:r w:rsidR="00FE2CB7" w:rsidRPr="00FE2CB7">
        <w:rPr>
          <w:rFonts w:ascii="Arial" w:eastAsia="Times New Roman" w:hAnsi="Arial" w:cs="Arial"/>
          <w:color w:val="000000" w:themeColor="text1"/>
          <w:lang w:eastAsia="es-PE"/>
        </w:rPr>
        <w:t>Concluida la construcción, la empresa arrendó el inmueble a la universidad</w:t>
      </w:r>
      <w:r w:rsidR="005303C5">
        <w:rPr>
          <w:rFonts w:ascii="Arial" w:eastAsia="Times New Roman" w:hAnsi="Arial" w:cs="Arial"/>
          <w:color w:val="000000" w:themeColor="text1"/>
          <w:lang w:eastAsia="es-PE"/>
        </w:rPr>
        <w:t>.</w:t>
      </w:r>
    </w:p>
    <w:p w14:paraId="6A5445D0" w14:textId="5319DA31" w:rsidR="00C74347" w:rsidRPr="00FE2CB7" w:rsidRDefault="00C74347" w:rsidP="00C74347">
      <w:pPr>
        <w:spacing w:after="0" w:line="240" w:lineRule="auto"/>
        <w:jc w:val="both"/>
        <w:rPr>
          <w:rFonts w:ascii="Arial" w:eastAsia="Times New Roman" w:hAnsi="Arial" w:cs="Arial"/>
          <w:color w:val="000000" w:themeColor="text1"/>
          <w:lang w:eastAsia="es-PE"/>
        </w:rPr>
      </w:pPr>
    </w:p>
    <w:p w14:paraId="06BEC293" w14:textId="30FB4CB3" w:rsidR="006B26B1" w:rsidRPr="00FE2CB7" w:rsidRDefault="00C74347" w:rsidP="00C74347">
      <w:pPr>
        <w:spacing w:after="0" w:line="240" w:lineRule="auto"/>
        <w:jc w:val="both"/>
        <w:rPr>
          <w:rFonts w:ascii="Arial" w:eastAsia="Times New Roman" w:hAnsi="Arial" w:cs="Arial"/>
          <w:color w:val="000000" w:themeColor="text1"/>
          <w:lang w:eastAsia="es-PE"/>
        </w:rPr>
      </w:pPr>
      <w:r w:rsidRPr="00FE2CB7">
        <w:rPr>
          <w:rFonts w:ascii="Arial" w:eastAsia="Times New Roman" w:hAnsi="Arial" w:cs="Arial"/>
          <w:color w:val="000000" w:themeColor="text1"/>
          <w:lang w:eastAsia="es-PE"/>
        </w:rPr>
        <w:t xml:space="preserve">En la práctica, la empresa vinculada carecía de recursos, personal y </w:t>
      </w:r>
      <w:r w:rsidR="00FE2CB7" w:rsidRPr="00FE2CB7">
        <w:rPr>
          <w:rFonts w:ascii="Arial" w:eastAsia="Times New Roman" w:hAnsi="Arial" w:cs="Arial"/>
          <w:color w:val="000000" w:themeColor="text1"/>
          <w:lang w:eastAsia="es-PE"/>
        </w:rPr>
        <w:t xml:space="preserve">medios </w:t>
      </w:r>
      <w:r w:rsidRPr="00FE2CB7">
        <w:rPr>
          <w:rFonts w:ascii="Arial" w:eastAsia="Times New Roman" w:hAnsi="Arial" w:cs="Arial"/>
          <w:color w:val="000000" w:themeColor="text1"/>
          <w:lang w:eastAsia="es-PE"/>
        </w:rPr>
        <w:t>suficiente</w:t>
      </w:r>
      <w:r w:rsidR="00FE2CB7" w:rsidRPr="00FE2CB7">
        <w:rPr>
          <w:rFonts w:ascii="Arial" w:eastAsia="Times New Roman" w:hAnsi="Arial" w:cs="Arial"/>
          <w:color w:val="000000" w:themeColor="text1"/>
          <w:lang w:eastAsia="es-PE"/>
        </w:rPr>
        <w:t>s</w:t>
      </w:r>
      <w:r w:rsidRPr="00FE2CB7">
        <w:rPr>
          <w:rFonts w:ascii="Arial" w:eastAsia="Times New Roman" w:hAnsi="Arial" w:cs="Arial"/>
          <w:color w:val="000000" w:themeColor="text1"/>
          <w:lang w:eastAsia="es-PE"/>
        </w:rPr>
        <w:t xml:space="preserve"> para ejecutar el proyecto de manera autónoma. Así, este esquema permitió que la universidad dedujera pagos periódicos por el arrendamiento del campus, en lugar de reconocer la depreciación de la edificación (no incluye terreno), generando una reducción significativa </w:t>
      </w:r>
      <w:r w:rsidR="005303C5">
        <w:rPr>
          <w:rFonts w:ascii="Arial" w:eastAsia="Times New Roman" w:hAnsi="Arial" w:cs="Arial"/>
          <w:color w:val="000000" w:themeColor="text1"/>
          <w:lang w:eastAsia="es-PE"/>
        </w:rPr>
        <w:t xml:space="preserve">de </w:t>
      </w:r>
      <w:r w:rsidRPr="00FE2CB7">
        <w:rPr>
          <w:rFonts w:ascii="Arial" w:eastAsia="Times New Roman" w:hAnsi="Arial" w:cs="Arial"/>
          <w:color w:val="000000" w:themeColor="text1"/>
          <w:lang w:eastAsia="es-PE"/>
        </w:rPr>
        <w:t xml:space="preserve">su carga tributaria correspondiente al 29.5% del </w:t>
      </w:r>
      <w:r w:rsidR="005303C5">
        <w:rPr>
          <w:rFonts w:ascii="Arial" w:eastAsia="Times New Roman" w:hAnsi="Arial" w:cs="Arial"/>
          <w:color w:val="000000" w:themeColor="text1"/>
          <w:lang w:eastAsia="es-PE"/>
        </w:rPr>
        <w:t>IR.</w:t>
      </w:r>
    </w:p>
    <w:p w14:paraId="7B54A555" w14:textId="77777777" w:rsidR="006B26B1" w:rsidRPr="00FE2CB7" w:rsidRDefault="006B26B1" w:rsidP="00634A20">
      <w:pPr>
        <w:spacing w:after="0" w:line="240" w:lineRule="auto"/>
        <w:jc w:val="both"/>
        <w:rPr>
          <w:rFonts w:ascii="Arial" w:eastAsia="Times New Roman" w:hAnsi="Arial" w:cs="Arial"/>
          <w:color w:val="000000" w:themeColor="text1"/>
          <w:lang w:eastAsia="es-PE"/>
        </w:rPr>
      </w:pPr>
    </w:p>
    <w:p w14:paraId="11BEAB29" w14:textId="33BA31A4" w:rsidR="00263F3E" w:rsidRPr="00857F33" w:rsidRDefault="00263F3E" w:rsidP="00CC4F8F">
      <w:pPr>
        <w:spacing w:after="0" w:line="240" w:lineRule="auto"/>
        <w:jc w:val="both"/>
        <w:rPr>
          <w:rFonts w:ascii="Arial" w:eastAsia="Times New Roman" w:hAnsi="Arial" w:cs="Arial"/>
          <w:color w:val="000000" w:themeColor="text1"/>
          <w:lang w:eastAsia="es-PE"/>
        </w:rPr>
      </w:pPr>
      <w:r w:rsidRPr="00FE2CB7">
        <w:rPr>
          <w:rFonts w:ascii="Arial" w:eastAsia="Times New Roman" w:hAnsi="Arial" w:cs="Arial"/>
          <w:color w:val="000000" w:themeColor="text1"/>
          <w:lang w:eastAsia="es-PE"/>
        </w:rPr>
        <w:t xml:space="preserve">Según la información </w:t>
      </w:r>
      <w:r w:rsidR="0036144B" w:rsidRPr="00857F33">
        <w:rPr>
          <w:rFonts w:ascii="Arial" w:eastAsia="Times New Roman" w:hAnsi="Arial" w:cs="Arial"/>
          <w:color w:val="000000" w:themeColor="text1"/>
          <w:lang w:eastAsia="es-PE"/>
        </w:rPr>
        <w:t>del Reporte Local de precios de transferencia</w:t>
      </w:r>
      <w:r w:rsidR="00C74347" w:rsidRPr="00857F33">
        <w:rPr>
          <w:color w:val="000000" w:themeColor="text1"/>
        </w:rPr>
        <w:t xml:space="preserve">, </w:t>
      </w:r>
      <w:r w:rsidR="00C74347" w:rsidRPr="00857F33">
        <w:rPr>
          <w:rFonts w:ascii="Arial" w:eastAsia="Times New Roman" w:hAnsi="Arial" w:cs="Arial"/>
          <w:color w:val="000000" w:themeColor="text1"/>
          <w:lang w:eastAsia="es-PE"/>
        </w:rPr>
        <w:t>en promedio, durante los últimos tres ejercicios 1 788 contribuyentes registraron aproximadamente S/ 4 500 millones en egresos por arrendamiento con sus vinculadas</w:t>
      </w:r>
      <w:r w:rsidRPr="00857F33">
        <w:rPr>
          <w:rFonts w:ascii="Arial" w:eastAsia="Times New Roman" w:hAnsi="Arial" w:cs="Arial"/>
          <w:color w:val="000000" w:themeColor="text1"/>
          <w:lang w:eastAsia="es-PE"/>
        </w:rPr>
        <w:t>, lo que pone de manifiesto la magnitud de estas operaciones y la importancia de evaluarlas con detalle para asegurar un</w:t>
      </w:r>
      <w:r w:rsidR="0036144B" w:rsidRPr="00857F33">
        <w:rPr>
          <w:rFonts w:ascii="Arial" w:eastAsia="Times New Roman" w:hAnsi="Arial" w:cs="Arial"/>
          <w:color w:val="000000" w:themeColor="text1"/>
          <w:lang w:eastAsia="es-PE"/>
        </w:rPr>
        <w:t xml:space="preserve"> adecuado cumplimiento de sus obligaciones tributarias</w:t>
      </w:r>
      <w:r w:rsidRPr="00857F33">
        <w:rPr>
          <w:rFonts w:ascii="Arial" w:eastAsia="Times New Roman" w:hAnsi="Arial" w:cs="Arial"/>
          <w:color w:val="000000" w:themeColor="text1"/>
          <w:lang w:eastAsia="es-PE"/>
        </w:rPr>
        <w:t>.</w:t>
      </w:r>
    </w:p>
    <w:p w14:paraId="00604615" w14:textId="77777777" w:rsidR="002A75E9" w:rsidRDefault="002A75E9" w:rsidP="00263F3E">
      <w:pPr>
        <w:spacing w:after="0" w:line="240" w:lineRule="auto"/>
        <w:jc w:val="both"/>
        <w:rPr>
          <w:rFonts w:ascii="Arial" w:eastAsia="Times New Roman" w:hAnsi="Arial" w:cs="Arial"/>
          <w:color w:val="222222"/>
          <w:lang w:eastAsia="es-PE"/>
        </w:rPr>
      </w:pPr>
    </w:p>
    <w:p w14:paraId="2B54C78B" w14:textId="45C9D683" w:rsidR="00B35E4A" w:rsidRPr="00881C79" w:rsidRDefault="00263F3E" w:rsidP="001E1EB2">
      <w:pPr>
        <w:spacing w:after="0" w:line="240" w:lineRule="auto"/>
        <w:jc w:val="both"/>
        <w:rPr>
          <w:rFonts w:ascii="Arial" w:eastAsia="Times New Roman" w:hAnsi="Arial" w:cs="Arial"/>
          <w:color w:val="222222"/>
          <w:lang w:eastAsia="es-PE"/>
        </w:rPr>
      </w:pPr>
      <w:r w:rsidRPr="00263F3E">
        <w:rPr>
          <w:rFonts w:ascii="Arial" w:eastAsia="Times New Roman" w:hAnsi="Arial" w:cs="Arial"/>
          <w:color w:val="222222"/>
          <w:lang w:eastAsia="es-PE"/>
        </w:rPr>
        <w:t>Para consultar el catálogo actualizado con los nuevos esquemas de alto riesgo fiscal, los interesados pueden ingresar al portal institucional de la SUNAT</w:t>
      </w:r>
      <w:r w:rsidR="005303C5">
        <w:rPr>
          <w:rFonts w:ascii="Arial" w:eastAsia="Times New Roman" w:hAnsi="Arial" w:cs="Arial"/>
          <w:color w:val="222222"/>
          <w:lang w:eastAsia="es-PE"/>
        </w:rPr>
        <w:t xml:space="preserve">, haciendo clic en: </w:t>
      </w:r>
      <w:hyperlink r:id="rId8" w:history="1">
        <w:r w:rsidR="00542A38" w:rsidRPr="00542A38">
          <w:rPr>
            <w:rStyle w:val="Hipervnculo"/>
            <w:rFonts w:ascii="Arial" w:hAnsi="Arial" w:cs="Arial"/>
          </w:rPr>
          <w:t>https://orientacion.sunat.gob.pe/7320-10-catalogo-de-esquemas-de-alto-riesgo-fiscal-empresas</w:t>
        </w:r>
      </w:hyperlink>
      <w:r w:rsidR="005303C5" w:rsidRPr="00542A38">
        <w:rPr>
          <w:rFonts w:ascii="Arial" w:hAnsi="Arial" w:cs="Arial"/>
        </w:rPr>
        <w:t>.</w:t>
      </w:r>
      <w:r w:rsidR="00542A38">
        <w:t xml:space="preserve"> </w:t>
      </w:r>
      <w:r>
        <w:rPr>
          <w:rFonts w:ascii="Arial" w:eastAsia="Times New Roman" w:hAnsi="Arial" w:cs="Arial"/>
          <w:color w:val="222222"/>
          <w:lang w:eastAsia="es-PE"/>
        </w:rPr>
        <w:t xml:space="preserve"> </w:t>
      </w:r>
    </w:p>
    <w:p w14:paraId="17DF429C" w14:textId="77777777" w:rsidR="00C92E06" w:rsidRDefault="00C92E06" w:rsidP="00AE056C">
      <w:pPr>
        <w:spacing w:after="0" w:line="240" w:lineRule="auto"/>
        <w:jc w:val="both"/>
        <w:rPr>
          <w:rFonts w:ascii="Arial" w:hAnsi="Arial" w:cs="Arial"/>
        </w:rPr>
      </w:pPr>
    </w:p>
    <w:p w14:paraId="7FBDFC40" w14:textId="77777777" w:rsidR="005303C5" w:rsidRPr="00B123BF" w:rsidRDefault="005303C5" w:rsidP="00AE056C">
      <w:pPr>
        <w:spacing w:after="0" w:line="240" w:lineRule="auto"/>
        <w:jc w:val="both"/>
        <w:rPr>
          <w:rFonts w:ascii="Arial" w:hAnsi="Arial" w:cs="Arial"/>
        </w:rPr>
      </w:pPr>
    </w:p>
    <w:p w14:paraId="51940724" w14:textId="77777777" w:rsidR="00E6615C" w:rsidRPr="00B123BF" w:rsidRDefault="00E6615C" w:rsidP="000841D4">
      <w:pPr>
        <w:spacing w:after="0"/>
        <w:jc w:val="both"/>
        <w:rPr>
          <w:rFonts w:ascii="Arial" w:hAnsi="Arial" w:cs="Arial"/>
          <w:b/>
          <w:bCs/>
        </w:rPr>
      </w:pPr>
      <w:r w:rsidRPr="00B123BF">
        <w:rPr>
          <w:rFonts w:ascii="Arial" w:hAnsi="Arial" w:cs="Arial"/>
          <w:b/>
          <w:bCs/>
        </w:rPr>
        <w:t>Gerencia de comunicaciones e Imagen Institucional</w:t>
      </w:r>
    </w:p>
    <w:p w14:paraId="35970BFA" w14:textId="2EAF058F" w:rsidR="0024322D" w:rsidRPr="00B123BF" w:rsidRDefault="00E6615C" w:rsidP="000841D4">
      <w:pPr>
        <w:spacing w:after="0"/>
        <w:jc w:val="both"/>
        <w:rPr>
          <w:rFonts w:ascii="Arial" w:hAnsi="Arial" w:cs="Arial"/>
        </w:rPr>
      </w:pPr>
      <w:r w:rsidRPr="00B123BF">
        <w:rPr>
          <w:rFonts w:ascii="Arial" w:hAnsi="Arial" w:cs="Arial"/>
        </w:rPr>
        <w:t xml:space="preserve">Lima, </w:t>
      </w:r>
      <w:r w:rsidR="005303C5">
        <w:rPr>
          <w:rFonts w:ascii="Arial" w:hAnsi="Arial" w:cs="Arial"/>
        </w:rPr>
        <w:t>martes 30 de junio del 2026.</w:t>
      </w:r>
    </w:p>
    <w:sectPr w:rsidR="0024322D" w:rsidRPr="00B123BF" w:rsidSect="00A40E65">
      <w:headerReference w:type="default" r:id="rId9"/>
      <w:footerReference w:type="default" r:id="rId10"/>
      <w:pgSz w:w="11906" w:h="16838"/>
      <w:pgMar w:top="1134" w:right="1701" w:bottom="426" w:left="1701" w:header="284"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7F61" w14:textId="77777777" w:rsidR="00014A99" w:rsidRDefault="00014A99" w:rsidP="00A62652">
      <w:pPr>
        <w:spacing w:after="0" w:line="240" w:lineRule="auto"/>
      </w:pPr>
      <w:r>
        <w:separator/>
      </w:r>
    </w:p>
  </w:endnote>
  <w:endnote w:type="continuationSeparator" w:id="0">
    <w:p w14:paraId="6B70C787" w14:textId="77777777" w:rsidR="00014A99" w:rsidRDefault="00014A99" w:rsidP="00A6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2DCA" w14:textId="77777777" w:rsidR="008E137C" w:rsidRDefault="00912C36">
    <w:pPr>
      <w:pStyle w:val="Piedepgina"/>
    </w:pPr>
    <w:r>
      <w:rPr>
        <w:noProof/>
      </w:rPr>
      <w:drawing>
        <wp:inline distT="0" distB="0" distL="0" distR="0" wp14:anchorId="5C503707" wp14:editId="0C5BE1C3">
          <wp:extent cx="285750" cy="285750"/>
          <wp:effectExtent l="0" t="0" r="0" b="0"/>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inline>
      </w:drawing>
    </w:r>
    <w:r w:rsidR="008E137C" w:rsidRPr="008E137C">
      <w:t>@SUNATOficial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ACC8" w14:textId="77777777" w:rsidR="00014A99" w:rsidRDefault="00014A99" w:rsidP="00A62652">
      <w:pPr>
        <w:spacing w:after="0" w:line="240" w:lineRule="auto"/>
      </w:pPr>
      <w:r>
        <w:separator/>
      </w:r>
    </w:p>
  </w:footnote>
  <w:footnote w:type="continuationSeparator" w:id="0">
    <w:p w14:paraId="1646FCE4" w14:textId="77777777" w:rsidR="00014A99" w:rsidRDefault="00014A99" w:rsidP="00A6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BD78" w14:textId="77777777" w:rsidR="00A62652" w:rsidRDefault="00912C36" w:rsidP="00A62652">
    <w:pPr>
      <w:pStyle w:val="Encabezado"/>
      <w:ind w:left="-284"/>
    </w:pPr>
    <w:r w:rsidRPr="000F63EA">
      <w:rPr>
        <w:noProof/>
        <w:lang w:eastAsia="es-PE"/>
      </w:rPr>
      <w:drawing>
        <wp:inline distT="0" distB="0" distL="0" distR="0" wp14:anchorId="687DCA54" wp14:editId="3CC7E95C">
          <wp:extent cx="2211705" cy="704850"/>
          <wp:effectExtent l="0" t="0" r="0" b="0"/>
          <wp:docPr id="3" name="Imagen 3" descr="Descripción: logoofici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Descripción: logooficia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70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200"/>
    <w:multiLevelType w:val="hybridMultilevel"/>
    <w:tmpl w:val="307202F4"/>
    <w:lvl w:ilvl="0" w:tplc="2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2663B"/>
    <w:multiLevelType w:val="hybridMultilevel"/>
    <w:tmpl w:val="6C1CF28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CC5814"/>
    <w:multiLevelType w:val="hybridMultilevel"/>
    <w:tmpl w:val="8BE675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E3B42F6"/>
    <w:multiLevelType w:val="hybridMultilevel"/>
    <w:tmpl w:val="172C373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114589B"/>
    <w:multiLevelType w:val="hybridMultilevel"/>
    <w:tmpl w:val="E06C54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9AA3C28"/>
    <w:multiLevelType w:val="hybridMultilevel"/>
    <w:tmpl w:val="3B3CF2AC"/>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59F142C7"/>
    <w:multiLevelType w:val="hybridMultilevel"/>
    <w:tmpl w:val="313AE7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72443658">
    <w:abstractNumId w:val="4"/>
  </w:num>
  <w:num w:numId="2" w16cid:durableId="1330478339">
    <w:abstractNumId w:val="3"/>
  </w:num>
  <w:num w:numId="3" w16cid:durableId="735130023">
    <w:abstractNumId w:val="2"/>
  </w:num>
  <w:num w:numId="4" w16cid:durableId="1348016771">
    <w:abstractNumId w:val="6"/>
  </w:num>
  <w:num w:numId="5" w16cid:durableId="1288198087">
    <w:abstractNumId w:val="1"/>
  </w:num>
  <w:num w:numId="6" w16cid:durableId="146362589">
    <w:abstractNumId w:val="5"/>
  </w:num>
  <w:num w:numId="7" w16cid:durableId="195266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94"/>
    <w:rsid w:val="00014A99"/>
    <w:rsid w:val="000152C8"/>
    <w:rsid w:val="00015FA3"/>
    <w:rsid w:val="00032FFC"/>
    <w:rsid w:val="00053920"/>
    <w:rsid w:val="00066D4F"/>
    <w:rsid w:val="000737F6"/>
    <w:rsid w:val="00074CCE"/>
    <w:rsid w:val="00076794"/>
    <w:rsid w:val="000841D4"/>
    <w:rsid w:val="00084DF9"/>
    <w:rsid w:val="00086C1D"/>
    <w:rsid w:val="00094164"/>
    <w:rsid w:val="000C0DFB"/>
    <w:rsid w:val="000D79BF"/>
    <w:rsid w:val="000E28AC"/>
    <w:rsid w:val="000E367C"/>
    <w:rsid w:val="000E66CA"/>
    <w:rsid w:val="000F210F"/>
    <w:rsid w:val="000F5682"/>
    <w:rsid w:val="00113A01"/>
    <w:rsid w:val="0013027D"/>
    <w:rsid w:val="00131153"/>
    <w:rsid w:val="00133646"/>
    <w:rsid w:val="0013797A"/>
    <w:rsid w:val="001578A8"/>
    <w:rsid w:val="00177606"/>
    <w:rsid w:val="00192E30"/>
    <w:rsid w:val="00196EE2"/>
    <w:rsid w:val="00197269"/>
    <w:rsid w:val="001A0239"/>
    <w:rsid w:val="001A4452"/>
    <w:rsid w:val="001B19F8"/>
    <w:rsid w:val="001B2B3A"/>
    <w:rsid w:val="001E09E9"/>
    <w:rsid w:val="001E180D"/>
    <w:rsid w:val="001E1C40"/>
    <w:rsid w:val="001E1EB2"/>
    <w:rsid w:val="001E3505"/>
    <w:rsid w:val="001E5C9F"/>
    <w:rsid w:val="0020134D"/>
    <w:rsid w:val="002045D9"/>
    <w:rsid w:val="0020636F"/>
    <w:rsid w:val="00220199"/>
    <w:rsid w:val="002267C8"/>
    <w:rsid w:val="00231167"/>
    <w:rsid w:val="00234815"/>
    <w:rsid w:val="0024322D"/>
    <w:rsid w:val="00261C73"/>
    <w:rsid w:val="00263F3E"/>
    <w:rsid w:val="0027781F"/>
    <w:rsid w:val="00297A8C"/>
    <w:rsid w:val="002A21C7"/>
    <w:rsid w:val="002A4EFE"/>
    <w:rsid w:val="002A75E9"/>
    <w:rsid w:val="002B675E"/>
    <w:rsid w:val="002D4D7E"/>
    <w:rsid w:val="002F374E"/>
    <w:rsid w:val="002F4FA4"/>
    <w:rsid w:val="003047C7"/>
    <w:rsid w:val="003111FF"/>
    <w:rsid w:val="003131A0"/>
    <w:rsid w:val="00325966"/>
    <w:rsid w:val="0032706B"/>
    <w:rsid w:val="0035439D"/>
    <w:rsid w:val="0036144B"/>
    <w:rsid w:val="003858EA"/>
    <w:rsid w:val="00394A8D"/>
    <w:rsid w:val="003A6B4F"/>
    <w:rsid w:val="003B4A89"/>
    <w:rsid w:val="003C2E42"/>
    <w:rsid w:val="003C4ED9"/>
    <w:rsid w:val="003E4A0A"/>
    <w:rsid w:val="00405566"/>
    <w:rsid w:val="00415BA1"/>
    <w:rsid w:val="00430CBF"/>
    <w:rsid w:val="0043182A"/>
    <w:rsid w:val="00435ED8"/>
    <w:rsid w:val="00437FD9"/>
    <w:rsid w:val="00442CC5"/>
    <w:rsid w:val="004452A9"/>
    <w:rsid w:val="004460BC"/>
    <w:rsid w:val="00465464"/>
    <w:rsid w:val="00470380"/>
    <w:rsid w:val="00470F4E"/>
    <w:rsid w:val="00471DBE"/>
    <w:rsid w:val="00473323"/>
    <w:rsid w:val="00473CA5"/>
    <w:rsid w:val="00474F90"/>
    <w:rsid w:val="00477381"/>
    <w:rsid w:val="00487DB3"/>
    <w:rsid w:val="00496D99"/>
    <w:rsid w:val="004C562F"/>
    <w:rsid w:val="004D33B4"/>
    <w:rsid w:val="004D3968"/>
    <w:rsid w:val="004D743D"/>
    <w:rsid w:val="004E6C2E"/>
    <w:rsid w:val="004F3F49"/>
    <w:rsid w:val="005159AD"/>
    <w:rsid w:val="005303C5"/>
    <w:rsid w:val="005414A4"/>
    <w:rsid w:val="00542A38"/>
    <w:rsid w:val="00543A40"/>
    <w:rsid w:val="00544063"/>
    <w:rsid w:val="00544E8C"/>
    <w:rsid w:val="00552F10"/>
    <w:rsid w:val="00553648"/>
    <w:rsid w:val="005627FD"/>
    <w:rsid w:val="00582CD2"/>
    <w:rsid w:val="00590B90"/>
    <w:rsid w:val="0059668B"/>
    <w:rsid w:val="00597051"/>
    <w:rsid w:val="005A0650"/>
    <w:rsid w:val="005B4619"/>
    <w:rsid w:val="005D17D0"/>
    <w:rsid w:val="005E365B"/>
    <w:rsid w:val="005E3F3A"/>
    <w:rsid w:val="005E3FC8"/>
    <w:rsid w:val="005F0E12"/>
    <w:rsid w:val="005F1EBD"/>
    <w:rsid w:val="006028FE"/>
    <w:rsid w:val="006054A8"/>
    <w:rsid w:val="006246B5"/>
    <w:rsid w:val="00634A20"/>
    <w:rsid w:val="00635709"/>
    <w:rsid w:val="00647632"/>
    <w:rsid w:val="00664958"/>
    <w:rsid w:val="00681235"/>
    <w:rsid w:val="006839B5"/>
    <w:rsid w:val="006902E6"/>
    <w:rsid w:val="006A60D9"/>
    <w:rsid w:val="006A78EE"/>
    <w:rsid w:val="006B166D"/>
    <w:rsid w:val="006B26B1"/>
    <w:rsid w:val="006B78A9"/>
    <w:rsid w:val="006C498C"/>
    <w:rsid w:val="006D1C92"/>
    <w:rsid w:val="00710BB2"/>
    <w:rsid w:val="00717B56"/>
    <w:rsid w:val="00726B1A"/>
    <w:rsid w:val="007326B9"/>
    <w:rsid w:val="007407B6"/>
    <w:rsid w:val="00740AAC"/>
    <w:rsid w:val="00750D3C"/>
    <w:rsid w:val="007560A3"/>
    <w:rsid w:val="0075619C"/>
    <w:rsid w:val="00771D5F"/>
    <w:rsid w:val="0077322E"/>
    <w:rsid w:val="007753B7"/>
    <w:rsid w:val="007919EB"/>
    <w:rsid w:val="007A16DD"/>
    <w:rsid w:val="007A2AB4"/>
    <w:rsid w:val="007B12F4"/>
    <w:rsid w:val="007B1793"/>
    <w:rsid w:val="007B3858"/>
    <w:rsid w:val="007B4895"/>
    <w:rsid w:val="007B699B"/>
    <w:rsid w:val="007C0C50"/>
    <w:rsid w:val="007C7DD3"/>
    <w:rsid w:val="007D1D03"/>
    <w:rsid w:val="007D433B"/>
    <w:rsid w:val="007D4F19"/>
    <w:rsid w:val="007D5832"/>
    <w:rsid w:val="007E101C"/>
    <w:rsid w:val="007E4C33"/>
    <w:rsid w:val="007F2107"/>
    <w:rsid w:val="00804227"/>
    <w:rsid w:val="008128B3"/>
    <w:rsid w:val="00817B7D"/>
    <w:rsid w:val="00837090"/>
    <w:rsid w:val="0084455E"/>
    <w:rsid w:val="00845CE7"/>
    <w:rsid w:val="00847A0D"/>
    <w:rsid w:val="0085669A"/>
    <w:rsid w:val="00856F58"/>
    <w:rsid w:val="00857F33"/>
    <w:rsid w:val="0086092A"/>
    <w:rsid w:val="00862FFA"/>
    <w:rsid w:val="008656A1"/>
    <w:rsid w:val="008669A1"/>
    <w:rsid w:val="008801AE"/>
    <w:rsid w:val="00881C79"/>
    <w:rsid w:val="008830ED"/>
    <w:rsid w:val="008A4F12"/>
    <w:rsid w:val="008B1079"/>
    <w:rsid w:val="008C76EA"/>
    <w:rsid w:val="008C7A3D"/>
    <w:rsid w:val="008E137C"/>
    <w:rsid w:val="008E294A"/>
    <w:rsid w:val="008E7048"/>
    <w:rsid w:val="008F46AF"/>
    <w:rsid w:val="009019A4"/>
    <w:rsid w:val="00905814"/>
    <w:rsid w:val="00912C36"/>
    <w:rsid w:val="00916F55"/>
    <w:rsid w:val="00921D6C"/>
    <w:rsid w:val="00934861"/>
    <w:rsid w:val="00936D89"/>
    <w:rsid w:val="009505BC"/>
    <w:rsid w:val="00951CB3"/>
    <w:rsid w:val="0095774E"/>
    <w:rsid w:val="00972D7E"/>
    <w:rsid w:val="0097481E"/>
    <w:rsid w:val="00985490"/>
    <w:rsid w:val="009916BE"/>
    <w:rsid w:val="009A2A3D"/>
    <w:rsid w:val="009A3536"/>
    <w:rsid w:val="009A4A53"/>
    <w:rsid w:val="009B139E"/>
    <w:rsid w:val="009B1D47"/>
    <w:rsid w:val="009C4DE7"/>
    <w:rsid w:val="009E35D3"/>
    <w:rsid w:val="009E5439"/>
    <w:rsid w:val="009F0246"/>
    <w:rsid w:val="009F1083"/>
    <w:rsid w:val="009F74E9"/>
    <w:rsid w:val="00A06E54"/>
    <w:rsid w:val="00A10DA4"/>
    <w:rsid w:val="00A40E65"/>
    <w:rsid w:val="00A45F91"/>
    <w:rsid w:val="00A47E2F"/>
    <w:rsid w:val="00A530F4"/>
    <w:rsid w:val="00A62652"/>
    <w:rsid w:val="00A658A3"/>
    <w:rsid w:val="00A77FAE"/>
    <w:rsid w:val="00A83851"/>
    <w:rsid w:val="00AA097D"/>
    <w:rsid w:val="00AA31A2"/>
    <w:rsid w:val="00AC63C1"/>
    <w:rsid w:val="00AD1AC0"/>
    <w:rsid w:val="00AD20BD"/>
    <w:rsid w:val="00AD7ACB"/>
    <w:rsid w:val="00AE056C"/>
    <w:rsid w:val="00AE31AB"/>
    <w:rsid w:val="00AF5CB9"/>
    <w:rsid w:val="00B0013C"/>
    <w:rsid w:val="00B04B8F"/>
    <w:rsid w:val="00B123BF"/>
    <w:rsid w:val="00B15120"/>
    <w:rsid w:val="00B155C1"/>
    <w:rsid w:val="00B202EF"/>
    <w:rsid w:val="00B227F0"/>
    <w:rsid w:val="00B2691E"/>
    <w:rsid w:val="00B338D3"/>
    <w:rsid w:val="00B35E4A"/>
    <w:rsid w:val="00B40612"/>
    <w:rsid w:val="00B40D9C"/>
    <w:rsid w:val="00B413D1"/>
    <w:rsid w:val="00B61C9A"/>
    <w:rsid w:val="00B63B43"/>
    <w:rsid w:val="00B725AF"/>
    <w:rsid w:val="00B86ABF"/>
    <w:rsid w:val="00B87679"/>
    <w:rsid w:val="00B9047E"/>
    <w:rsid w:val="00BB7A18"/>
    <w:rsid w:val="00BC56FA"/>
    <w:rsid w:val="00BD35AC"/>
    <w:rsid w:val="00BE2BE9"/>
    <w:rsid w:val="00BE388F"/>
    <w:rsid w:val="00BF0D57"/>
    <w:rsid w:val="00BF4061"/>
    <w:rsid w:val="00BF434D"/>
    <w:rsid w:val="00C078D0"/>
    <w:rsid w:val="00C33709"/>
    <w:rsid w:val="00C46BE5"/>
    <w:rsid w:val="00C71DB9"/>
    <w:rsid w:val="00C74347"/>
    <w:rsid w:val="00C86D89"/>
    <w:rsid w:val="00C92E06"/>
    <w:rsid w:val="00CB1E69"/>
    <w:rsid w:val="00CC123C"/>
    <w:rsid w:val="00CC4F8F"/>
    <w:rsid w:val="00CC7934"/>
    <w:rsid w:val="00CC7DFC"/>
    <w:rsid w:val="00CD1F6E"/>
    <w:rsid w:val="00CD61EB"/>
    <w:rsid w:val="00CF4609"/>
    <w:rsid w:val="00D02135"/>
    <w:rsid w:val="00D11A9D"/>
    <w:rsid w:val="00D17EAA"/>
    <w:rsid w:val="00D20225"/>
    <w:rsid w:val="00D234A3"/>
    <w:rsid w:val="00D36E22"/>
    <w:rsid w:val="00D37A6C"/>
    <w:rsid w:val="00D52A7B"/>
    <w:rsid w:val="00D53322"/>
    <w:rsid w:val="00D53C1F"/>
    <w:rsid w:val="00D818B2"/>
    <w:rsid w:val="00D92273"/>
    <w:rsid w:val="00DA5738"/>
    <w:rsid w:val="00DA6676"/>
    <w:rsid w:val="00DC5D75"/>
    <w:rsid w:val="00DD15B9"/>
    <w:rsid w:val="00DF44DD"/>
    <w:rsid w:val="00DF7171"/>
    <w:rsid w:val="00DF7364"/>
    <w:rsid w:val="00E023FA"/>
    <w:rsid w:val="00E105A3"/>
    <w:rsid w:val="00E107D2"/>
    <w:rsid w:val="00E21221"/>
    <w:rsid w:val="00E24D82"/>
    <w:rsid w:val="00E468F0"/>
    <w:rsid w:val="00E600B1"/>
    <w:rsid w:val="00E600EB"/>
    <w:rsid w:val="00E6615C"/>
    <w:rsid w:val="00E723A9"/>
    <w:rsid w:val="00E74B85"/>
    <w:rsid w:val="00E75E49"/>
    <w:rsid w:val="00E928BF"/>
    <w:rsid w:val="00EA34BD"/>
    <w:rsid w:val="00EA7B8C"/>
    <w:rsid w:val="00EB6D4E"/>
    <w:rsid w:val="00EC7E9B"/>
    <w:rsid w:val="00ED495E"/>
    <w:rsid w:val="00EE1CD2"/>
    <w:rsid w:val="00F00F74"/>
    <w:rsid w:val="00F25CA4"/>
    <w:rsid w:val="00F32C59"/>
    <w:rsid w:val="00F50938"/>
    <w:rsid w:val="00F50DC9"/>
    <w:rsid w:val="00F72F60"/>
    <w:rsid w:val="00F9310C"/>
    <w:rsid w:val="00F93C03"/>
    <w:rsid w:val="00F976CD"/>
    <w:rsid w:val="00FC6CE8"/>
    <w:rsid w:val="00FD5275"/>
    <w:rsid w:val="00FE2CB7"/>
    <w:rsid w:val="00FE4EAD"/>
    <w:rsid w:val="00FF20EA"/>
    <w:rsid w:val="00FF4A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BEE46"/>
  <w15:docId w15:val="{A6649FFA-9CDD-264A-B158-12D5D22F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76794"/>
    <w:pPr>
      <w:spacing w:before="100" w:beforeAutospacing="1" w:after="100" w:afterAutospacing="1" w:line="240" w:lineRule="auto"/>
    </w:pPr>
    <w:rPr>
      <w:rFonts w:ascii="Times New Roman" w:eastAsia="Times New Roman" w:hAnsi="Times New Roman"/>
      <w:sz w:val="24"/>
      <w:szCs w:val="24"/>
      <w:lang w:eastAsia="es-PE"/>
    </w:rPr>
  </w:style>
  <w:style w:type="paragraph" w:styleId="Encabezado">
    <w:name w:val="header"/>
    <w:basedOn w:val="Normal"/>
    <w:link w:val="EncabezadoCar"/>
    <w:uiPriority w:val="99"/>
    <w:unhideWhenUsed/>
    <w:rsid w:val="00A626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2652"/>
  </w:style>
  <w:style w:type="paragraph" w:styleId="Piedepgina">
    <w:name w:val="footer"/>
    <w:basedOn w:val="Normal"/>
    <w:link w:val="PiedepginaCar"/>
    <w:uiPriority w:val="99"/>
    <w:unhideWhenUsed/>
    <w:rsid w:val="00A626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2652"/>
  </w:style>
  <w:style w:type="character" w:styleId="Refdecomentario">
    <w:name w:val="annotation reference"/>
    <w:uiPriority w:val="99"/>
    <w:semiHidden/>
    <w:unhideWhenUsed/>
    <w:rsid w:val="007919EB"/>
    <w:rPr>
      <w:sz w:val="16"/>
      <w:szCs w:val="16"/>
    </w:rPr>
  </w:style>
  <w:style w:type="paragraph" w:styleId="Textocomentario">
    <w:name w:val="annotation text"/>
    <w:basedOn w:val="Normal"/>
    <w:link w:val="TextocomentarioCar"/>
    <w:uiPriority w:val="99"/>
    <w:unhideWhenUsed/>
    <w:rsid w:val="007919EB"/>
    <w:rPr>
      <w:sz w:val="20"/>
      <w:szCs w:val="20"/>
    </w:rPr>
  </w:style>
  <w:style w:type="character" w:customStyle="1" w:styleId="TextocomentarioCar">
    <w:name w:val="Texto comentario Car"/>
    <w:link w:val="Textocomentario"/>
    <w:uiPriority w:val="99"/>
    <w:rsid w:val="007919EB"/>
    <w:rPr>
      <w:lang w:eastAsia="en-US"/>
    </w:rPr>
  </w:style>
  <w:style w:type="paragraph" w:styleId="Asuntodelcomentario">
    <w:name w:val="annotation subject"/>
    <w:basedOn w:val="Textocomentario"/>
    <w:next w:val="Textocomentario"/>
    <w:link w:val="AsuntodelcomentarioCar"/>
    <w:uiPriority w:val="99"/>
    <w:semiHidden/>
    <w:unhideWhenUsed/>
    <w:rsid w:val="007919EB"/>
    <w:rPr>
      <w:b/>
      <w:bCs/>
    </w:rPr>
  </w:style>
  <w:style w:type="character" w:customStyle="1" w:styleId="AsuntodelcomentarioCar">
    <w:name w:val="Asunto del comentario Car"/>
    <w:link w:val="Asuntodelcomentario"/>
    <w:uiPriority w:val="99"/>
    <w:semiHidden/>
    <w:rsid w:val="007919EB"/>
    <w:rPr>
      <w:b/>
      <w:bCs/>
      <w:lang w:eastAsia="en-US"/>
    </w:rPr>
  </w:style>
  <w:style w:type="paragraph" w:styleId="Textodeglobo">
    <w:name w:val="Balloon Text"/>
    <w:basedOn w:val="Normal"/>
    <w:link w:val="TextodegloboCar"/>
    <w:uiPriority w:val="99"/>
    <w:semiHidden/>
    <w:unhideWhenUsed/>
    <w:rsid w:val="007919E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7919EB"/>
    <w:rPr>
      <w:rFonts w:ascii="Segoe UI" w:hAnsi="Segoe UI" w:cs="Segoe UI"/>
      <w:sz w:val="18"/>
      <w:szCs w:val="18"/>
      <w:lang w:eastAsia="en-US"/>
    </w:rPr>
  </w:style>
  <w:style w:type="paragraph" w:styleId="Prrafodelista">
    <w:name w:val="List Paragraph"/>
    <w:basedOn w:val="Normal"/>
    <w:uiPriority w:val="34"/>
    <w:qFormat/>
    <w:rsid w:val="00B123BF"/>
    <w:pPr>
      <w:ind w:left="720"/>
      <w:contextualSpacing/>
    </w:pPr>
  </w:style>
  <w:style w:type="paragraph" w:styleId="Textonotapie">
    <w:name w:val="footnote text"/>
    <w:basedOn w:val="Normal"/>
    <w:link w:val="TextonotapieCar"/>
    <w:uiPriority w:val="99"/>
    <w:semiHidden/>
    <w:unhideWhenUsed/>
    <w:rsid w:val="00032FFC"/>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032FFC"/>
    <w:rPr>
      <w:rFonts w:asciiTheme="minorHAnsi" w:eastAsiaTheme="minorHAnsi" w:hAnsiTheme="minorHAnsi" w:cstheme="minorBidi"/>
      <w:lang w:val="es-PE" w:eastAsia="en-US"/>
    </w:rPr>
  </w:style>
  <w:style w:type="character" w:styleId="Refdenotaalpie">
    <w:name w:val="footnote reference"/>
    <w:basedOn w:val="Fuentedeprrafopredeter"/>
    <w:uiPriority w:val="99"/>
    <w:semiHidden/>
    <w:unhideWhenUsed/>
    <w:rsid w:val="00032FFC"/>
    <w:rPr>
      <w:vertAlign w:val="superscript"/>
    </w:rPr>
  </w:style>
  <w:style w:type="character" w:styleId="Hipervnculo">
    <w:name w:val="Hyperlink"/>
    <w:basedOn w:val="Fuentedeprrafopredeter"/>
    <w:uiPriority w:val="99"/>
    <w:unhideWhenUsed/>
    <w:rsid w:val="006A60D9"/>
    <w:rPr>
      <w:color w:val="0563C1" w:themeColor="hyperlink"/>
      <w:u w:val="single"/>
    </w:rPr>
  </w:style>
  <w:style w:type="character" w:styleId="Mencinsinresolver">
    <w:name w:val="Unresolved Mention"/>
    <w:basedOn w:val="Fuentedeprrafopredeter"/>
    <w:uiPriority w:val="99"/>
    <w:semiHidden/>
    <w:unhideWhenUsed/>
    <w:rsid w:val="006A60D9"/>
    <w:rPr>
      <w:color w:val="605E5C"/>
      <w:shd w:val="clear" w:color="auto" w:fill="E1DFDD"/>
    </w:rPr>
  </w:style>
  <w:style w:type="character" w:styleId="Textoennegrita">
    <w:name w:val="Strong"/>
    <w:basedOn w:val="Fuentedeprrafopredeter"/>
    <w:uiPriority w:val="22"/>
    <w:qFormat/>
    <w:rsid w:val="0013797A"/>
    <w:rPr>
      <w:b/>
      <w:bCs/>
    </w:rPr>
  </w:style>
  <w:style w:type="character" w:styleId="Hipervnculovisitado">
    <w:name w:val="FollowedHyperlink"/>
    <w:basedOn w:val="Fuentedeprrafopredeter"/>
    <w:uiPriority w:val="99"/>
    <w:semiHidden/>
    <w:unhideWhenUsed/>
    <w:rsid w:val="005303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7053">
      <w:bodyDiv w:val="1"/>
      <w:marLeft w:val="0"/>
      <w:marRight w:val="0"/>
      <w:marTop w:val="0"/>
      <w:marBottom w:val="0"/>
      <w:divBdr>
        <w:top w:val="none" w:sz="0" w:space="0" w:color="auto"/>
        <w:left w:val="none" w:sz="0" w:space="0" w:color="auto"/>
        <w:bottom w:val="none" w:sz="0" w:space="0" w:color="auto"/>
        <w:right w:val="none" w:sz="0" w:space="0" w:color="auto"/>
      </w:divBdr>
    </w:div>
    <w:div w:id="183786055">
      <w:bodyDiv w:val="1"/>
      <w:marLeft w:val="0"/>
      <w:marRight w:val="0"/>
      <w:marTop w:val="0"/>
      <w:marBottom w:val="0"/>
      <w:divBdr>
        <w:top w:val="none" w:sz="0" w:space="0" w:color="auto"/>
        <w:left w:val="none" w:sz="0" w:space="0" w:color="auto"/>
        <w:bottom w:val="none" w:sz="0" w:space="0" w:color="auto"/>
        <w:right w:val="none" w:sz="0" w:space="0" w:color="auto"/>
      </w:divBdr>
      <w:divsChild>
        <w:div w:id="1387148138">
          <w:marLeft w:val="0"/>
          <w:marRight w:val="0"/>
          <w:marTop w:val="0"/>
          <w:marBottom w:val="0"/>
          <w:divBdr>
            <w:top w:val="none" w:sz="0" w:space="0" w:color="auto"/>
            <w:left w:val="none" w:sz="0" w:space="0" w:color="auto"/>
            <w:bottom w:val="none" w:sz="0" w:space="0" w:color="auto"/>
            <w:right w:val="none" w:sz="0" w:space="0" w:color="auto"/>
          </w:divBdr>
        </w:div>
      </w:divsChild>
    </w:div>
    <w:div w:id="186674102">
      <w:bodyDiv w:val="1"/>
      <w:marLeft w:val="0"/>
      <w:marRight w:val="0"/>
      <w:marTop w:val="0"/>
      <w:marBottom w:val="0"/>
      <w:divBdr>
        <w:top w:val="none" w:sz="0" w:space="0" w:color="auto"/>
        <w:left w:val="none" w:sz="0" w:space="0" w:color="auto"/>
        <w:bottom w:val="none" w:sz="0" w:space="0" w:color="auto"/>
        <w:right w:val="none" w:sz="0" w:space="0" w:color="auto"/>
      </w:divBdr>
    </w:div>
    <w:div w:id="222520270">
      <w:bodyDiv w:val="1"/>
      <w:marLeft w:val="0"/>
      <w:marRight w:val="0"/>
      <w:marTop w:val="0"/>
      <w:marBottom w:val="0"/>
      <w:divBdr>
        <w:top w:val="none" w:sz="0" w:space="0" w:color="auto"/>
        <w:left w:val="none" w:sz="0" w:space="0" w:color="auto"/>
        <w:bottom w:val="none" w:sz="0" w:space="0" w:color="auto"/>
        <w:right w:val="none" w:sz="0" w:space="0" w:color="auto"/>
      </w:divBdr>
      <w:divsChild>
        <w:div w:id="789327142">
          <w:marLeft w:val="0"/>
          <w:marRight w:val="0"/>
          <w:marTop w:val="0"/>
          <w:marBottom w:val="0"/>
          <w:divBdr>
            <w:top w:val="none" w:sz="0" w:space="0" w:color="auto"/>
            <w:left w:val="none" w:sz="0" w:space="0" w:color="auto"/>
            <w:bottom w:val="none" w:sz="0" w:space="0" w:color="auto"/>
            <w:right w:val="none" w:sz="0" w:space="0" w:color="auto"/>
          </w:divBdr>
        </w:div>
      </w:divsChild>
    </w:div>
    <w:div w:id="247079896">
      <w:bodyDiv w:val="1"/>
      <w:marLeft w:val="0"/>
      <w:marRight w:val="0"/>
      <w:marTop w:val="0"/>
      <w:marBottom w:val="0"/>
      <w:divBdr>
        <w:top w:val="none" w:sz="0" w:space="0" w:color="auto"/>
        <w:left w:val="none" w:sz="0" w:space="0" w:color="auto"/>
        <w:bottom w:val="none" w:sz="0" w:space="0" w:color="auto"/>
        <w:right w:val="none" w:sz="0" w:space="0" w:color="auto"/>
      </w:divBdr>
    </w:div>
    <w:div w:id="296566883">
      <w:bodyDiv w:val="1"/>
      <w:marLeft w:val="0"/>
      <w:marRight w:val="0"/>
      <w:marTop w:val="0"/>
      <w:marBottom w:val="0"/>
      <w:divBdr>
        <w:top w:val="none" w:sz="0" w:space="0" w:color="auto"/>
        <w:left w:val="none" w:sz="0" w:space="0" w:color="auto"/>
        <w:bottom w:val="none" w:sz="0" w:space="0" w:color="auto"/>
        <w:right w:val="none" w:sz="0" w:space="0" w:color="auto"/>
      </w:divBdr>
    </w:div>
    <w:div w:id="454255999">
      <w:bodyDiv w:val="1"/>
      <w:marLeft w:val="0"/>
      <w:marRight w:val="0"/>
      <w:marTop w:val="0"/>
      <w:marBottom w:val="0"/>
      <w:divBdr>
        <w:top w:val="none" w:sz="0" w:space="0" w:color="auto"/>
        <w:left w:val="none" w:sz="0" w:space="0" w:color="auto"/>
        <w:bottom w:val="none" w:sz="0" w:space="0" w:color="auto"/>
        <w:right w:val="none" w:sz="0" w:space="0" w:color="auto"/>
      </w:divBdr>
    </w:div>
    <w:div w:id="542792701">
      <w:bodyDiv w:val="1"/>
      <w:marLeft w:val="0"/>
      <w:marRight w:val="0"/>
      <w:marTop w:val="0"/>
      <w:marBottom w:val="0"/>
      <w:divBdr>
        <w:top w:val="none" w:sz="0" w:space="0" w:color="auto"/>
        <w:left w:val="none" w:sz="0" w:space="0" w:color="auto"/>
        <w:bottom w:val="none" w:sz="0" w:space="0" w:color="auto"/>
        <w:right w:val="none" w:sz="0" w:space="0" w:color="auto"/>
      </w:divBdr>
    </w:div>
    <w:div w:id="844176824">
      <w:bodyDiv w:val="1"/>
      <w:marLeft w:val="0"/>
      <w:marRight w:val="0"/>
      <w:marTop w:val="0"/>
      <w:marBottom w:val="0"/>
      <w:divBdr>
        <w:top w:val="none" w:sz="0" w:space="0" w:color="auto"/>
        <w:left w:val="none" w:sz="0" w:space="0" w:color="auto"/>
        <w:bottom w:val="none" w:sz="0" w:space="0" w:color="auto"/>
        <w:right w:val="none" w:sz="0" w:space="0" w:color="auto"/>
      </w:divBdr>
    </w:div>
    <w:div w:id="940601592">
      <w:bodyDiv w:val="1"/>
      <w:marLeft w:val="0"/>
      <w:marRight w:val="0"/>
      <w:marTop w:val="0"/>
      <w:marBottom w:val="0"/>
      <w:divBdr>
        <w:top w:val="none" w:sz="0" w:space="0" w:color="auto"/>
        <w:left w:val="none" w:sz="0" w:space="0" w:color="auto"/>
        <w:bottom w:val="none" w:sz="0" w:space="0" w:color="auto"/>
        <w:right w:val="none" w:sz="0" w:space="0" w:color="auto"/>
      </w:divBdr>
    </w:div>
    <w:div w:id="1088499943">
      <w:bodyDiv w:val="1"/>
      <w:marLeft w:val="0"/>
      <w:marRight w:val="0"/>
      <w:marTop w:val="0"/>
      <w:marBottom w:val="0"/>
      <w:divBdr>
        <w:top w:val="none" w:sz="0" w:space="0" w:color="auto"/>
        <w:left w:val="none" w:sz="0" w:space="0" w:color="auto"/>
        <w:bottom w:val="none" w:sz="0" w:space="0" w:color="auto"/>
        <w:right w:val="none" w:sz="0" w:space="0" w:color="auto"/>
      </w:divBdr>
    </w:div>
    <w:div w:id="1109542070">
      <w:bodyDiv w:val="1"/>
      <w:marLeft w:val="0"/>
      <w:marRight w:val="0"/>
      <w:marTop w:val="0"/>
      <w:marBottom w:val="0"/>
      <w:divBdr>
        <w:top w:val="none" w:sz="0" w:space="0" w:color="auto"/>
        <w:left w:val="none" w:sz="0" w:space="0" w:color="auto"/>
        <w:bottom w:val="none" w:sz="0" w:space="0" w:color="auto"/>
        <w:right w:val="none" w:sz="0" w:space="0" w:color="auto"/>
      </w:divBdr>
    </w:div>
    <w:div w:id="1153791823">
      <w:bodyDiv w:val="1"/>
      <w:marLeft w:val="0"/>
      <w:marRight w:val="0"/>
      <w:marTop w:val="0"/>
      <w:marBottom w:val="0"/>
      <w:divBdr>
        <w:top w:val="none" w:sz="0" w:space="0" w:color="auto"/>
        <w:left w:val="none" w:sz="0" w:space="0" w:color="auto"/>
        <w:bottom w:val="none" w:sz="0" w:space="0" w:color="auto"/>
        <w:right w:val="none" w:sz="0" w:space="0" w:color="auto"/>
      </w:divBdr>
      <w:divsChild>
        <w:div w:id="349139207">
          <w:marLeft w:val="0"/>
          <w:marRight w:val="0"/>
          <w:marTop w:val="0"/>
          <w:marBottom w:val="0"/>
          <w:divBdr>
            <w:top w:val="none" w:sz="0" w:space="0" w:color="auto"/>
            <w:left w:val="none" w:sz="0" w:space="0" w:color="auto"/>
            <w:bottom w:val="none" w:sz="0" w:space="0" w:color="auto"/>
            <w:right w:val="none" w:sz="0" w:space="0" w:color="auto"/>
          </w:divBdr>
        </w:div>
      </w:divsChild>
    </w:div>
    <w:div w:id="1363215085">
      <w:bodyDiv w:val="1"/>
      <w:marLeft w:val="0"/>
      <w:marRight w:val="0"/>
      <w:marTop w:val="0"/>
      <w:marBottom w:val="0"/>
      <w:divBdr>
        <w:top w:val="none" w:sz="0" w:space="0" w:color="auto"/>
        <w:left w:val="none" w:sz="0" w:space="0" w:color="auto"/>
        <w:bottom w:val="none" w:sz="0" w:space="0" w:color="auto"/>
        <w:right w:val="none" w:sz="0" w:space="0" w:color="auto"/>
      </w:divBdr>
      <w:divsChild>
        <w:div w:id="1044603613">
          <w:marLeft w:val="0"/>
          <w:marRight w:val="0"/>
          <w:marTop w:val="0"/>
          <w:marBottom w:val="0"/>
          <w:divBdr>
            <w:top w:val="none" w:sz="0" w:space="0" w:color="auto"/>
            <w:left w:val="none" w:sz="0" w:space="0" w:color="auto"/>
            <w:bottom w:val="none" w:sz="0" w:space="0" w:color="auto"/>
            <w:right w:val="none" w:sz="0" w:space="0" w:color="auto"/>
          </w:divBdr>
        </w:div>
      </w:divsChild>
    </w:div>
    <w:div w:id="1381706925">
      <w:bodyDiv w:val="1"/>
      <w:marLeft w:val="0"/>
      <w:marRight w:val="0"/>
      <w:marTop w:val="0"/>
      <w:marBottom w:val="0"/>
      <w:divBdr>
        <w:top w:val="none" w:sz="0" w:space="0" w:color="auto"/>
        <w:left w:val="none" w:sz="0" w:space="0" w:color="auto"/>
        <w:bottom w:val="none" w:sz="0" w:space="0" w:color="auto"/>
        <w:right w:val="none" w:sz="0" w:space="0" w:color="auto"/>
      </w:divBdr>
      <w:divsChild>
        <w:div w:id="801659062">
          <w:marLeft w:val="0"/>
          <w:marRight w:val="0"/>
          <w:marTop w:val="0"/>
          <w:marBottom w:val="0"/>
          <w:divBdr>
            <w:top w:val="none" w:sz="0" w:space="0" w:color="auto"/>
            <w:left w:val="none" w:sz="0" w:space="0" w:color="auto"/>
            <w:bottom w:val="none" w:sz="0" w:space="0" w:color="auto"/>
            <w:right w:val="none" w:sz="0" w:space="0" w:color="auto"/>
          </w:divBdr>
        </w:div>
      </w:divsChild>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639260317">
      <w:bodyDiv w:val="1"/>
      <w:marLeft w:val="0"/>
      <w:marRight w:val="0"/>
      <w:marTop w:val="0"/>
      <w:marBottom w:val="0"/>
      <w:divBdr>
        <w:top w:val="none" w:sz="0" w:space="0" w:color="auto"/>
        <w:left w:val="none" w:sz="0" w:space="0" w:color="auto"/>
        <w:bottom w:val="none" w:sz="0" w:space="0" w:color="auto"/>
        <w:right w:val="none" w:sz="0" w:space="0" w:color="auto"/>
      </w:divBdr>
    </w:div>
    <w:div w:id="1721975528">
      <w:bodyDiv w:val="1"/>
      <w:marLeft w:val="0"/>
      <w:marRight w:val="0"/>
      <w:marTop w:val="0"/>
      <w:marBottom w:val="0"/>
      <w:divBdr>
        <w:top w:val="none" w:sz="0" w:space="0" w:color="auto"/>
        <w:left w:val="none" w:sz="0" w:space="0" w:color="auto"/>
        <w:bottom w:val="none" w:sz="0" w:space="0" w:color="auto"/>
        <w:right w:val="none" w:sz="0" w:space="0" w:color="auto"/>
      </w:divBdr>
    </w:div>
    <w:div w:id="1742554590">
      <w:bodyDiv w:val="1"/>
      <w:marLeft w:val="0"/>
      <w:marRight w:val="0"/>
      <w:marTop w:val="0"/>
      <w:marBottom w:val="0"/>
      <w:divBdr>
        <w:top w:val="none" w:sz="0" w:space="0" w:color="auto"/>
        <w:left w:val="none" w:sz="0" w:space="0" w:color="auto"/>
        <w:bottom w:val="none" w:sz="0" w:space="0" w:color="auto"/>
        <w:right w:val="none" w:sz="0" w:space="0" w:color="auto"/>
      </w:divBdr>
    </w:div>
    <w:div w:id="1815020213">
      <w:bodyDiv w:val="1"/>
      <w:marLeft w:val="0"/>
      <w:marRight w:val="0"/>
      <w:marTop w:val="0"/>
      <w:marBottom w:val="0"/>
      <w:divBdr>
        <w:top w:val="none" w:sz="0" w:space="0" w:color="auto"/>
        <w:left w:val="none" w:sz="0" w:space="0" w:color="auto"/>
        <w:bottom w:val="none" w:sz="0" w:space="0" w:color="auto"/>
        <w:right w:val="none" w:sz="0" w:space="0" w:color="auto"/>
      </w:divBdr>
    </w:div>
    <w:div w:id="1867060115">
      <w:bodyDiv w:val="1"/>
      <w:marLeft w:val="0"/>
      <w:marRight w:val="0"/>
      <w:marTop w:val="0"/>
      <w:marBottom w:val="0"/>
      <w:divBdr>
        <w:top w:val="none" w:sz="0" w:space="0" w:color="auto"/>
        <w:left w:val="none" w:sz="0" w:space="0" w:color="auto"/>
        <w:bottom w:val="none" w:sz="0" w:space="0" w:color="auto"/>
        <w:right w:val="none" w:sz="0" w:space="0" w:color="auto"/>
      </w:divBdr>
    </w:div>
    <w:div w:id="1953323828">
      <w:bodyDiv w:val="1"/>
      <w:marLeft w:val="0"/>
      <w:marRight w:val="0"/>
      <w:marTop w:val="0"/>
      <w:marBottom w:val="0"/>
      <w:divBdr>
        <w:top w:val="none" w:sz="0" w:space="0" w:color="auto"/>
        <w:left w:val="none" w:sz="0" w:space="0" w:color="auto"/>
        <w:bottom w:val="none" w:sz="0" w:space="0" w:color="auto"/>
        <w:right w:val="none" w:sz="0" w:space="0" w:color="auto"/>
      </w:divBdr>
    </w:div>
    <w:div w:id="1977028393">
      <w:bodyDiv w:val="1"/>
      <w:marLeft w:val="0"/>
      <w:marRight w:val="0"/>
      <w:marTop w:val="0"/>
      <w:marBottom w:val="0"/>
      <w:divBdr>
        <w:top w:val="none" w:sz="0" w:space="0" w:color="auto"/>
        <w:left w:val="none" w:sz="0" w:space="0" w:color="auto"/>
        <w:bottom w:val="none" w:sz="0" w:space="0" w:color="auto"/>
        <w:right w:val="none" w:sz="0" w:space="0" w:color="auto"/>
      </w:divBdr>
      <w:divsChild>
        <w:div w:id="1025404785">
          <w:marLeft w:val="0"/>
          <w:marRight w:val="0"/>
          <w:marTop w:val="0"/>
          <w:marBottom w:val="0"/>
          <w:divBdr>
            <w:top w:val="none" w:sz="0" w:space="0" w:color="auto"/>
            <w:left w:val="none" w:sz="0" w:space="0" w:color="auto"/>
            <w:bottom w:val="none" w:sz="0" w:space="0" w:color="auto"/>
            <w:right w:val="none" w:sz="0" w:space="0" w:color="auto"/>
          </w:divBdr>
        </w:div>
      </w:divsChild>
    </w:div>
    <w:div w:id="1980920408">
      <w:bodyDiv w:val="1"/>
      <w:marLeft w:val="0"/>
      <w:marRight w:val="0"/>
      <w:marTop w:val="0"/>
      <w:marBottom w:val="0"/>
      <w:divBdr>
        <w:top w:val="none" w:sz="0" w:space="0" w:color="auto"/>
        <w:left w:val="none" w:sz="0" w:space="0" w:color="auto"/>
        <w:bottom w:val="none" w:sz="0" w:space="0" w:color="auto"/>
        <w:right w:val="none" w:sz="0" w:space="0" w:color="auto"/>
      </w:divBdr>
    </w:div>
    <w:div w:id="2135370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entacion.sunat.gob.pe/7320-10-catalogo-de-esquemas-de-alto-riesgo-fiscal-empres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21223-C07C-4B0F-AF95-7163351A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973</Words>
  <Characters>5357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Sanchez Lizarbe Carlos Gary</cp:lastModifiedBy>
  <cp:revision>3</cp:revision>
  <dcterms:created xsi:type="dcterms:W3CDTF">2026-06-30T14:45:00Z</dcterms:created>
  <dcterms:modified xsi:type="dcterms:W3CDTF">2026-06-30T14:46:00Z</dcterms:modified>
</cp:coreProperties>
</file>