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54CC5A" w14:textId="77777777" w:rsidR="00091EB2" w:rsidRDefault="00000000">
      <w:pPr>
        <w:spacing w:after="120"/>
        <w:rPr>
          <w:rFonts w:ascii="Arial" w:eastAsia="Arial" w:hAnsi="Arial" w:cs="Arial"/>
          <w:color w:val="222222"/>
        </w:rPr>
      </w:pPr>
      <w:r>
        <w:rPr>
          <w:rFonts w:ascii="Arial" w:eastAsia="Arial" w:hAnsi="Arial" w:cs="Arial"/>
          <w:b/>
          <w:bCs/>
          <w:i/>
          <w:iCs/>
          <w:color w:val="222222"/>
        </w:rPr>
        <w:t>SUNAT verificó entrega de comprobantes de pago</w:t>
      </w:r>
    </w:p>
    <w:p w14:paraId="0C30851F" w14:textId="77777777" w:rsidR="00091EB2" w:rsidRDefault="00000000">
      <w:pPr>
        <w:spacing w:after="0"/>
        <w:jc w:val="center"/>
        <w:rPr>
          <w:rFonts w:ascii="Arial" w:eastAsia="Arial" w:hAnsi="Arial" w:cs="Arial"/>
          <w:color w:val="222222"/>
          <w:sz w:val="36"/>
          <w:szCs w:val="36"/>
        </w:rPr>
      </w:pPr>
      <w:r>
        <w:rPr>
          <w:rFonts w:ascii="Arial" w:eastAsia="Arial" w:hAnsi="Arial" w:cs="Arial"/>
          <w:b/>
          <w:bCs/>
          <w:color w:val="222222"/>
          <w:sz w:val="36"/>
          <w:szCs w:val="36"/>
        </w:rPr>
        <w:t xml:space="preserve">VENTAS DE BEBIDAS, ALIMENTOS Y MERCHANDISING EN CONCIERTO DE “THE KILLERS” SUPERAN LOS S/ 248 MIL SOLES </w:t>
      </w:r>
    </w:p>
    <w:p w14:paraId="3C6FA372" w14:textId="77777777" w:rsidR="00091EB2" w:rsidRDefault="00091EB2">
      <w:pPr>
        <w:spacing w:after="0"/>
        <w:jc w:val="both"/>
        <w:rPr>
          <w:rFonts w:ascii="Arial" w:eastAsia="Arial" w:hAnsi="Arial" w:cs="Arial"/>
          <w:color w:val="222222"/>
        </w:rPr>
      </w:pPr>
    </w:p>
    <w:p w14:paraId="21DE1433" w14:textId="77777777" w:rsidR="00091EB2" w:rsidRDefault="00000000">
      <w:pPr>
        <w:numPr>
          <w:ilvl w:val="0"/>
          <w:numId w:val="1"/>
        </w:numPr>
        <w:spacing w:after="0"/>
        <w:jc w:val="both"/>
        <w:rPr>
          <w:color w:val="222222"/>
        </w:rPr>
      </w:pPr>
      <w:r>
        <w:rPr>
          <w:rFonts w:ascii="Arial" w:eastAsia="Arial" w:hAnsi="Arial" w:cs="Arial"/>
          <w:b/>
          <w:bCs/>
          <w:i/>
          <w:iCs/>
          <w:color w:val="222222"/>
        </w:rPr>
        <w:t>Inspectores tributarios intervinieron establecimientos autorizados que comercializaron productos en el recinto conocido como Costa 21.</w:t>
      </w:r>
    </w:p>
    <w:p w14:paraId="5FB99C73" w14:textId="77777777" w:rsidR="00091EB2" w:rsidRDefault="00091EB2">
      <w:pPr>
        <w:spacing w:after="0"/>
        <w:jc w:val="both"/>
        <w:rPr>
          <w:rFonts w:ascii="Arial" w:eastAsia="Arial" w:hAnsi="Arial" w:cs="Arial"/>
          <w:color w:val="222222"/>
        </w:rPr>
      </w:pPr>
    </w:p>
    <w:p w14:paraId="1352EAB5" w14:textId="77777777" w:rsidR="00F4691F" w:rsidRDefault="00F4691F" w:rsidP="00F4691F">
      <w:pPr>
        <w:spacing w:after="0"/>
        <w:jc w:val="both"/>
        <w:rPr>
          <w:rFonts w:ascii="Arial" w:eastAsia="Arial" w:hAnsi="Arial" w:cs="Arial"/>
          <w:color w:val="222222"/>
        </w:rPr>
      </w:pPr>
      <w:r>
        <w:rPr>
          <w:rFonts w:ascii="Arial" w:eastAsia="Arial" w:hAnsi="Arial" w:cs="Arial"/>
          <w:color w:val="222222"/>
        </w:rPr>
        <w:t>La Superintendencia Nacional de Aduanas y de Administración Tributaria (SUNAT) continúa realizando controles a los espectáculos masivos que se realizan en la capital, en esta oportunidad verificó las actividades comerciales que se efectuaron durante el concierto de la banda americana de rock “The Killers”, que registró ingresos de S/                  248,650 por la venta de bebidas, alimentos y merchandising.</w:t>
      </w:r>
    </w:p>
    <w:p w14:paraId="06224202" w14:textId="77777777" w:rsidR="00091EB2" w:rsidRDefault="00091EB2">
      <w:pPr>
        <w:spacing w:after="0"/>
        <w:jc w:val="both"/>
        <w:rPr>
          <w:rFonts w:ascii="Arial" w:eastAsia="Arial" w:hAnsi="Arial" w:cs="Arial"/>
          <w:color w:val="222222"/>
        </w:rPr>
      </w:pPr>
    </w:p>
    <w:p w14:paraId="6B4AF0E9" w14:textId="77777777" w:rsidR="00091EB2" w:rsidRDefault="00000000">
      <w:pPr>
        <w:spacing w:after="0"/>
        <w:jc w:val="both"/>
        <w:rPr>
          <w:rFonts w:ascii="Arial" w:eastAsia="Arial" w:hAnsi="Arial" w:cs="Arial"/>
          <w:color w:val="222222"/>
        </w:rPr>
      </w:pPr>
      <w:r>
        <w:rPr>
          <w:rFonts w:ascii="Arial" w:eastAsia="Arial" w:hAnsi="Arial" w:cs="Arial"/>
          <w:color w:val="222222"/>
        </w:rPr>
        <w:t>Un equipo de 05 inspectores tributarios de la SUNAT se encargó de supervisar las ventas efectuadas por los 29 establecimientos autorizados para comercializar productos dentro del recinto conocido como Costa 21, donde se realizó el concierto el lunes 23 de marzo. Además, se verificó si los contribuyentes estaban inscritos en el RUC y emitían comprobantes de pago.</w:t>
      </w:r>
    </w:p>
    <w:p w14:paraId="3508FE9A" w14:textId="77777777" w:rsidR="00091EB2" w:rsidRDefault="00091EB2">
      <w:pPr>
        <w:spacing w:after="0"/>
        <w:jc w:val="both"/>
        <w:rPr>
          <w:rFonts w:ascii="Arial" w:eastAsia="Arial" w:hAnsi="Arial" w:cs="Arial"/>
          <w:color w:val="222222"/>
        </w:rPr>
      </w:pPr>
    </w:p>
    <w:p w14:paraId="351C1969" w14:textId="77777777" w:rsidR="00091EB2" w:rsidRDefault="00000000">
      <w:pPr>
        <w:spacing w:after="0"/>
        <w:jc w:val="both"/>
        <w:rPr>
          <w:rFonts w:ascii="Arial" w:eastAsia="Arial" w:hAnsi="Arial" w:cs="Arial"/>
          <w:color w:val="222222"/>
        </w:rPr>
      </w:pPr>
      <w:r>
        <w:rPr>
          <w:rFonts w:ascii="Arial" w:eastAsia="Arial" w:hAnsi="Arial" w:cs="Arial"/>
          <w:color w:val="222222"/>
        </w:rPr>
        <w:t>Los puestos de venta controlados se dividieron en 19 establecimientos de bebidas, 8 de alimentos y 02 de merchandising oficial.</w:t>
      </w:r>
    </w:p>
    <w:p w14:paraId="1207A538" w14:textId="77777777" w:rsidR="00091EB2" w:rsidRDefault="00091EB2">
      <w:pPr>
        <w:spacing w:after="0"/>
        <w:jc w:val="both"/>
        <w:rPr>
          <w:rFonts w:ascii="Arial" w:eastAsia="Arial" w:hAnsi="Arial" w:cs="Arial"/>
          <w:color w:val="222222"/>
        </w:rPr>
      </w:pPr>
    </w:p>
    <w:p w14:paraId="4A5A012D" w14:textId="77777777" w:rsidR="00091EB2" w:rsidRDefault="00000000">
      <w:pPr>
        <w:spacing w:after="0"/>
        <w:jc w:val="both"/>
        <w:rPr>
          <w:rFonts w:ascii="Arial" w:eastAsia="Arial" w:hAnsi="Arial" w:cs="Arial"/>
          <w:color w:val="222222"/>
        </w:rPr>
      </w:pPr>
      <w:r>
        <w:rPr>
          <w:rFonts w:ascii="Arial" w:eastAsia="Arial" w:hAnsi="Arial" w:cs="Arial"/>
          <w:color w:val="222222"/>
        </w:rPr>
        <w:t>Por la comercialización de bebidas (agua, gaseosa, cervezas y otros) se registraron ingresos por S/ 195,430, mientras que en segundo lugar se ubicó la venta de alimentos (hamburguesas, choripan y popcorn) con S/ 34,700. Por último, los locales de merchandising (ropa y accesorios con el logo oficial del concierto) generaron ventas que ascendieron a S/ 18,520.</w:t>
      </w:r>
    </w:p>
    <w:p w14:paraId="79EBFF26" w14:textId="77777777" w:rsidR="00091EB2" w:rsidRDefault="00091EB2">
      <w:pPr>
        <w:spacing w:after="0"/>
        <w:jc w:val="both"/>
        <w:rPr>
          <w:rFonts w:ascii="Arial" w:eastAsia="Arial" w:hAnsi="Arial" w:cs="Arial"/>
          <w:color w:val="222222"/>
        </w:rPr>
      </w:pPr>
    </w:p>
    <w:p w14:paraId="6DA852E8" w14:textId="77777777" w:rsidR="00091EB2" w:rsidRDefault="00000000">
      <w:pPr>
        <w:spacing w:after="0"/>
        <w:jc w:val="both"/>
        <w:rPr>
          <w:rFonts w:ascii="Arial" w:eastAsia="Arial" w:hAnsi="Arial" w:cs="Arial"/>
          <w:color w:val="222222"/>
        </w:rPr>
      </w:pPr>
      <w:r>
        <w:rPr>
          <w:rFonts w:ascii="Arial" w:eastAsia="Arial" w:hAnsi="Arial" w:cs="Arial"/>
          <w:color w:val="222222"/>
        </w:rPr>
        <w:t>Con este tipo de intervenciones, conocidas como Verificación Inicial del Cumplimiento de Obligaciones Tributarias (VICOT) se reducen las brechas de inscripción, detectando establecimientos y/o actividades económicas no declaradas, así como el nombre comercial y/o teléfonos no actualizados de los contribuyentes, datos que son importantes para efectuar los controles que realiza la SUNAT.</w:t>
      </w:r>
    </w:p>
    <w:p w14:paraId="6D818318" w14:textId="77777777" w:rsidR="00091EB2" w:rsidRDefault="00091EB2">
      <w:pPr>
        <w:spacing w:after="0"/>
        <w:jc w:val="both"/>
        <w:rPr>
          <w:rFonts w:ascii="Arial" w:eastAsia="Arial" w:hAnsi="Arial" w:cs="Arial"/>
          <w:color w:val="222222"/>
        </w:rPr>
      </w:pPr>
    </w:p>
    <w:p w14:paraId="1C8F1074" w14:textId="77777777" w:rsidR="00091EB2" w:rsidRDefault="00000000">
      <w:pPr>
        <w:spacing w:after="0"/>
        <w:jc w:val="both"/>
        <w:rPr>
          <w:rFonts w:ascii="Arial" w:eastAsia="Arial" w:hAnsi="Arial" w:cs="Arial"/>
          <w:color w:val="222222"/>
        </w:rPr>
      </w:pPr>
      <w:r>
        <w:rPr>
          <w:rFonts w:ascii="Arial" w:eastAsia="Arial" w:hAnsi="Arial" w:cs="Arial"/>
          <w:color w:val="222222"/>
        </w:rPr>
        <w:t>Estas acciones también promueven la formalización mediante el denominado operativo “Control de Boletaje”, que verifica el cumplimiento de la emisión y entrega del comprobante de pago y permite, además, estimar el monto de las operaciones comerciales que realizaron los contribuyentes y que deberán cumplir con declarar a la Administración Tributaria.</w:t>
      </w:r>
    </w:p>
    <w:p w14:paraId="3776F8CD" w14:textId="77777777" w:rsidR="00091EB2" w:rsidRDefault="00091EB2">
      <w:pPr>
        <w:spacing w:after="0"/>
        <w:jc w:val="both"/>
        <w:rPr>
          <w:rFonts w:ascii="Arial" w:eastAsia="Arial" w:hAnsi="Arial" w:cs="Arial"/>
          <w:color w:val="222222"/>
        </w:rPr>
      </w:pPr>
    </w:p>
    <w:p w14:paraId="6A338EF6" w14:textId="77777777" w:rsidR="00091EB2" w:rsidRDefault="00000000">
      <w:pPr>
        <w:spacing w:after="0"/>
        <w:jc w:val="both"/>
        <w:rPr>
          <w:rFonts w:ascii="Arial" w:eastAsia="Arial" w:hAnsi="Arial" w:cs="Arial"/>
          <w:color w:val="222222"/>
        </w:rPr>
      </w:pPr>
      <w:r>
        <w:rPr>
          <w:rFonts w:ascii="Arial" w:eastAsia="Arial" w:hAnsi="Arial" w:cs="Arial"/>
          <w:color w:val="222222"/>
        </w:rPr>
        <w:t>La SUNAT recuerda que es muy importante que los asistentes a conciertos y otros espectáculos masivos, soliciten su comprobante de pago cuando realicen la compra de algún producto, también reafirma su compromiso de promover el cumplimiento tributario y asegurar las condiciones necesarias para garantizar la competencia formal en este tipo de eventos, que impulsan nuestro crecimiento económico.</w:t>
      </w:r>
    </w:p>
    <w:p w14:paraId="57005FF0" w14:textId="77777777" w:rsidR="00091EB2" w:rsidRDefault="00091EB2">
      <w:pPr>
        <w:spacing w:after="0"/>
        <w:jc w:val="both"/>
        <w:rPr>
          <w:rFonts w:ascii="Arial" w:eastAsia="Arial" w:hAnsi="Arial" w:cs="Arial"/>
          <w:color w:val="222222"/>
        </w:rPr>
      </w:pPr>
    </w:p>
    <w:p w14:paraId="446D5B98" w14:textId="77777777" w:rsidR="00091EB2" w:rsidRDefault="00000000">
      <w:pPr>
        <w:spacing w:after="0"/>
        <w:jc w:val="both"/>
        <w:rPr>
          <w:rFonts w:ascii="Arial" w:eastAsia="Arial" w:hAnsi="Arial" w:cs="Arial"/>
          <w:color w:val="222222"/>
        </w:rPr>
      </w:pPr>
      <w:r>
        <w:rPr>
          <w:rFonts w:ascii="Arial" w:eastAsia="Arial" w:hAnsi="Arial" w:cs="Arial"/>
          <w:b/>
          <w:bCs/>
          <w:color w:val="222222"/>
        </w:rPr>
        <w:t>Gerencia de Comunicaciones e Imagen Institucional</w:t>
      </w:r>
    </w:p>
    <w:p w14:paraId="325FB527" w14:textId="77777777" w:rsidR="00091EB2" w:rsidRDefault="00000000">
      <w:pPr>
        <w:spacing w:after="0"/>
        <w:jc w:val="both"/>
      </w:pPr>
      <w:r>
        <w:rPr>
          <w:rFonts w:ascii="Arial" w:eastAsia="Arial" w:hAnsi="Arial" w:cs="Arial"/>
          <w:color w:val="222222"/>
        </w:rPr>
        <w:t>Lima, miércoles 25 de marzo del 2026.</w:t>
      </w:r>
    </w:p>
    <w:sectPr w:rsidR="00091EB2">
      <w:headerReference w:type="default" r:id="rId7"/>
      <w:footerReference w:type="default" r:id="rId8"/>
      <w:pgSz w:w="11906" w:h="16838"/>
      <w:pgMar w:top="1134" w:right="1701" w:bottom="1276" w:left="1701" w:header="426"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C70283" w14:textId="77777777" w:rsidR="000024C2" w:rsidRDefault="000024C2">
      <w:pPr>
        <w:spacing w:after="0" w:line="240" w:lineRule="auto"/>
      </w:pPr>
      <w:r>
        <w:separator/>
      </w:r>
    </w:p>
  </w:endnote>
  <w:endnote w:type="continuationSeparator" w:id="0">
    <w:p w14:paraId="570553BC" w14:textId="77777777" w:rsidR="000024C2" w:rsidRDefault="00002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8760E1E-3C19-4D76-8A53-C2AE512D8A80}"/>
    <w:embedBold r:id="rId2" w:fontKey="{8F62BEEE-B978-4D32-98A9-FEBB3AE8D02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2703DD7-83CB-476B-9B05-C9E0C10FE66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BFCFF0C-481D-4353-AABC-7AC297E52D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560C1" w14:textId="77777777" w:rsidR="00091EB2" w:rsidRDefault="00000000">
    <w:pPr>
      <w:pBdr>
        <w:top w:val="nil"/>
        <w:left w:val="nil"/>
        <w:bottom w:val="nil"/>
        <w:right w:val="nil"/>
        <w:between w:val="nil"/>
      </w:pBdr>
      <w:tabs>
        <w:tab w:val="center" w:pos="4252"/>
        <w:tab w:val="right" w:pos="8504"/>
      </w:tabs>
      <w:spacing w:after="0" w:line="240" w:lineRule="auto"/>
      <w:rPr>
        <w:color w:val="000000"/>
      </w:rPr>
    </w:pPr>
    <w:r>
      <w:rPr>
        <w:color w:val="000000"/>
      </w:rPr>
      <w:t>@SUNATOficial</w:t>
    </w:r>
    <w:r>
      <w:rPr>
        <w:noProof/>
      </w:rPr>
      <w:drawing>
        <wp:anchor distT="0" distB="0" distL="114300" distR="114300" simplePos="0" relativeHeight="251658240" behindDoc="0" locked="0" layoutInCell="1" hidden="0" allowOverlap="1" wp14:anchorId="471F35FC" wp14:editId="1366EF2C">
          <wp:simplePos x="0" y="0"/>
          <wp:positionH relativeFrom="column">
            <wp:posOffset>1</wp:posOffset>
          </wp:positionH>
          <wp:positionV relativeFrom="paragraph">
            <wp:posOffset>0</wp:posOffset>
          </wp:positionV>
          <wp:extent cx="285750" cy="2857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5750" cy="285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D604C" w14:textId="77777777" w:rsidR="000024C2" w:rsidRDefault="000024C2">
      <w:pPr>
        <w:spacing w:after="0" w:line="240" w:lineRule="auto"/>
      </w:pPr>
      <w:r>
        <w:separator/>
      </w:r>
    </w:p>
  </w:footnote>
  <w:footnote w:type="continuationSeparator" w:id="0">
    <w:p w14:paraId="28D0F1C7" w14:textId="77777777" w:rsidR="000024C2" w:rsidRDefault="000024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CB3E" w14:textId="77777777" w:rsidR="00091EB2" w:rsidRDefault="00000000">
    <w:pPr>
      <w:pBdr>
        <w:top w:val="nil"/>
        <w:left w:val="nil"/>
        <w:bottom w:val="nil"/>
        <w:right w:val="nil"/>
        <w:between w:val="nil"/>
      </w:pBdr>
      <w:tabs>
        <w:tab w:val="center" w:pos="4252"/>
        <w:tab w:val="right" w:pos="8504"/>
      </w:tabs>
      <w:spacing w:after="0" w:line="240" w:lineRule="auto"/>
      <w:ind w:left="-284"/>
      <w:rPr>
        <w:color w:val="000000"/>
      </w:rPr>
    </w:pPr>
    <w:r>
      <w:rPr>
        <w:noProof/>
        <w:color w:val="000000"/>
      </w:rPr>
      <w:drawing>
        <wp:inline distT="0" distB="0" distL="114300" distR="114300" wp14:anchorId="3BA3115B" wp14:editId="79DDA566">
          <wp:extent cx="2212340" cy="704850"/>
          <wp:effectExtent l="0" t="0" r="0" b="0"/>
          <wp:docPr id="1" name="image1.png" descr="Descripción: logooficial"/>
          <wp:cNvGraphicFramePr/>
          <a:graphic xmlns:a="http://schemas.openxmlformats.org/drawingml/2006/main">
            <a:graphicData uri="http://schemas.openxmlformats.org/drawingml/2006/picture">
              <pic:pic xmlns:pic="http://schemas.openxmlformats.org/drawingml/2006/picture">
                <pic:nvPicPr>
                  <pic:cNvPr id="0" name="image1.png" descr="Descripción: logooficial"/>
                  <pic:cNvPicPr preferRelativeResize="0"/>
                </pic:nvPicPr>
                <pic:blipFill>
                  <a:blip r:embed="rId1"/>
                  <a:srcRect/>
                  <a:stretch>
                    <a:fillRect/>
                  </a:stretch>
                </pic:blipFill>
                <pic:spPr>
                  <a:xfrm>
                    <a:off x="0" y="0"/>
                    <a:ext cx="2212340" cy="7048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E566F4"/>
    <w:multiLevelType w:val="multilevel"/>
    <w:tmpl w:val="7996F62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02114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EB2"/>
    <w:rsid w:val="000024C2"/>
    <w:rsid w:val="00091EB2"/>
    <w:rsid w:val="0029591D"/>
    <w:rsid w:val="003F6480"/>
    <w:rsid w:val="005402B6"/>
    <w:rsid w:val="00CE521B"/>
    <w:rsid w:val="00DE7918"/>
    <w:rsid w:val="00F469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1E71D"/>
  <w15:docId w15:val="{B281E5A3-5609-4280-9573-0F27E9043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428</Words>
  <Characters>2358</Characters>
  <Application>Microsoft Office Word</Application>
  <DocSecurity>0</DocSecurity>
  <Lines>19</Lines>
  <Paragraphs>5</Paragraphs>
  <ScaleCrop>false</ScaleCrop>
  <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Sanchez Lizarbe Carlos Gary</cp:lastModifiedBy>
  <cp:revision>4</cp:revision>
  <dcterms:created xsi:type="dcterms:W3CDTF">2026-04-14T15:55:00Z</dcterms:created>
  <dcterms:modified xsi:type="dcterms:W3CDTF">2026-04-14T16:07:00Z</dcterms:modified>
</cp:coreProperties>
</file>