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4CC5A" w14:textId="106F72B5" w:rsidR="00091EB2" w:rsidRDefault="00000000">
      <w:pPr>
        <w:spacing w:after="120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b/>
          <w:bCs/>
          <w:i/>
          <w:iCs/>
          <w:color w:val="222222"/>
        </w:rPr>
        <w:t xml:space="preserve">SUNAT </w:t>
      </w:r>
      <w:r w:rsidR="004868B9">
        <w:rPr>
          <w:rFonts w:ascii="Arial" w:eastAsia="Arial" w:hAnsi="Arial" w:cs="Arial"/>
          <w:b/>
          <w:bCs/>
          <w:i/>
          <w:iCs/>
          <w:color w:val="222222"/>
        </w:rPr>
        <w:t xml:space="preserve">realizó acciones de control durante </w:t>
      </w:r>
      <w:r w:rsidR="009C171A">
        <w:rPr>
          <w:rFonts w:ascii="Arial" w:eastAsia="Arial" w:hAnsi="Arial" w:cs="Arial"/>
          <w:b/>
          <w:bCs/>
          <w:i/>
          <w:iCs/>
          <w:color w:val="222222"/>
        </w:rPr>
        <w:t>conciertos de banda</w:t>
      </w:r>
      <w:r w:rsidR="00A376E1">
        <w:rPr>
          <w:rFonts w:ascii="Arial" w:eastAsia="Arial" w:hAnsi="Arial" w:cs="Arial"/>
          <w:b/>
          <w:bCs/>
          <w:i/>
          <w:iCs/>
          <w:color w:val="222222"/>
        </w:rPr>
        <w:t xml:space="preserve"> surcoreana</w:t>
      </w:r>
    </w:p>
    <w:p w14:paraId="0C30851F" w14:textId="4EEAD057" w:rsidR="00091EB2" w:rsidRDefault="00000000">
      <w:pPr>
        <w:spacing w:after="0"/>
        <w:jc w:val="center"/>
        <w:rPr>
          <w:rFonts w:ascii="Arial" w:eastAsia="Arial" w:hAnsi="Arial" w:cs="Arial"/>
          <w:color w:val="222222"/>
          <w:sz w:val="36"/>
          <w:szCs w:val="36"/>
        </w:rPr>
      </w:pPr>
      <w:r>
        <w:rPr>
          <w:rFonts w:ascii="Arial" w:eastAsia="Arial" w:hAnsi="Arial" w:cs="Arial"/>
          <w:b/>
          <w:bCs/>
          <w:color w:val="222222"/>
          <w:sz w:val="36"/>
          <w:szCs w:val="36"/>
        </w:rPr>
        <w:t>CONCIERTO</w:t>
      </w:r>
      <w:r w:rsidR="004868B9">
        <w:rPr>
          <w:rFonts w:ascii="Arial" w:eastAsia="Arial" w:hAnsi="Arial" w:cs="Arial"/>
          <w:b/>
          <w:bCs/>
          <w:color w:val="222222"/>
          <w:sz w:val="36"/>
          <w:szCs w:val="36"/>
        </w:rPr>
        <w:t>S</w:t>
      </w:r>
      <w:r>
        <w:rPr>
          <w:rFonts w:ascii="Arial" w:eastAsia="Arial" w:hAnsi="Arial" w:cs="Arial"/>
          <w:b/>
          <w:bCs/>
          <w:color w:val="222222"/>
          <w:sz w:val="36"/>
          <w:szCs w:val="36"/>
        </w:rPr>
        <w:t xml:space="preserve"> DE “</w:t>
      </w:r>
      <w:r w:rsidR="004868B9">
        <w:rPr>
          <w:rFonts w:ascii="Arial" w:eastAsia="Arial" w:hAnsi="Arial" w:cs="Arial"/>
          <w:b/>
          <w:bCs/>
          <w:color w:val="222222"/>
          <w:sz w:val="36"/>
          <w:szCs w:val="36"/>
        </w:rPr>
        <w:t>BTS</w:t>
      </w:r>
      <w:r>
        <w:rPr>
          <w:rFonts w:ascii="Arial" w:eastAsia="Arial" w:hAnsi="Arial" w:cs="Arial"/>
          <w:b/>
          <w:bCs/>
          <w:color w:val="222222"/>
          <w:sz w:val="36"/>
          <w:szCs w:val="36"/>
        </w:rPr>
        <w:t xml:space="preserve">” </w:t>
      </w:r>
      <w:r w:rsidR="00BD3204">
        <w:rPr>
          <w:rFonts w:ascii="Arial" w:eastAsia="Arial" w:hAnsi="Arial" w:cs="Arial"/>
          <w:b/>
          <w:bCs/>
          <w:color w:val="222222"/>
          <w:sz w:val="36"/>
          <w:szCs w:val="36"/>
        </w:rPr>
        <w:t>GENERAN MÁS DE</w:t>
      </w:r>
      <w:r>
        <w:rPr>
          <w:rFonts w:ascii="Arial" w:eastAsia="Arial" w:hAnsi="Arial" w:cs="Arial"/>
          <w:b/>
          <w:bCs/>
          <w:color w:val="222222"/>
          <w:sz w:val="36"/>
          <w:szCs w:val="36"/>
        </w:rPr>
        <w:t xml:space="preserve"> S/ </w:t>
      </w:r>
      <w:r w:rsidR="004868B9">
        <w:rPr>
          <w:rFonts w:ascii="Arial" w:eastAsia="Arial" w:hAnsi="Arial" w:cs="Arial"/>
          <w:b/>
          <w:bCs/>
          <w:color w:val="222222"/>
          <w:sz w:val="36"/>
          <w:szCs w:val="36"/>
        </w:rPr>
        <w:t>5.8 MILLONES</w:t>
      </w:r>
      <w:r>
        <w:rPr>
          <w:rFonts w:ascii="Arial" w:eastAsia="Arial" w:hAnsi="Arial" w:cs="Arial"/>
          <w:b/>
          <w:bCs/>
          <w:color w:val="222222"/>
          <w:sz w:val="36"/>
          <w:szCs w:val="36"/>
        </w:rPr>
        <w:t xml:space="preserve"> </w:t>
      </w:r>
      <w:r w:rsidR="00BD3204">
        <w:rPr>
          <w:rFonts w:ascii="Arial" w:eastAsia="Arial" w:hAnsi="Arial" w:cs="Arial"/>
          <w:b/>
          <w:bCs/>
          <w:color w:val="222222"/>
          <w:sz w:val="36"/>
          <w:szCs w:val="36"/>
        </w:rPr>
        <w:t>POR VENTAS DE ALIMENTOS, BEBIDAS Y MERCHANDISING</w:t>
      </w:r>
    </w:p>
    <w:p w14:paraId="3C6FA372" w14:textId="77777777" w:rsidR="00091EB2" w:rsidRDefault="00091EB2">
      <w:pPr>
        <w:spacing w:after="0"/>
        <w:jc w:val="both"/>
        <w:rPr>
          <w:rFonts w:ascii="Arial" w:eastAsia="Arial" w:hAnsi="Arial" w:cs="Arial"/>
          <w:color w:val="222222"/>
        </w:rPr>
      </w:pPr>
    </w:p>
    <w:p w14:paraId="21DE1433" w14:textId="6720CF21" w:rsidR="00091EB2" w:rsidRPr="004868B9" w:rsidRDefault="00000000" w:rsidP="004868B9">
      <w:pPr>
        <w:numPr>
          <w:ilvl w:val="0"/>
          <w:numId w:val="1"/>
        </w:numPr>
        <w:spacing w:after="120"/>
        <w:jc w:val="both"/>
        <w:rPr>
          <w:color w:val="222222"/>
        </w:rPr>
      </w:pPr>
      <w:r>
        <w:rPr>
          <w:rFonts w:ascii="Arial" w:eastAsia="Arial" w:hAnsi="Arial" w:cs="Arial"/>
          <w:b/>
          <w:bCs/>
          <w:i/>
          <w:iCs/>
          <w:color w:val="222222"/>
        </w:rPr>
        <w:t xml:space="preserve">Inspectores tributarios intervinieron establecimientos autorizados que comercializaron productos </w:t>
      </w:r>
      <w:r w:rsidR="004868B9">
        <w:rPr>
          <w:rFonts w:ascii="Arial" w:eastAsia="Arial" w:hAnsi="Arial" w:cs="Arial"/>
          <w:b/>
          <w:bCs/>
          <w:i/>
          <w:iCs/>
          <w:color w:val="222222"/>
        </w:rPr>
        <w:t>en el Estadio San Marcos</w:t>
      </w:r>
      <w:r>
        <w:rPr>
          <w:rFonts w:ascii="Arial" w:eastAsia="Arial" w:hAnsi="Arial" w:cs="Arial"/>
          <w:b/>
          <w:bCs/>
          <w:i/>
          <w:iCs/>
          <w:color w:val="222222"/>
        </w:rPr>
        <w:t>.</w:t>
      </w:r>
    </w:p>
    <w:p w14:paraId="3D233A16" w14:textId="1B6BC36B" w:rsidR="004868B9" w:rsidRDefault="004868B9">
      <w:pPr>
        <w:numPr>
          <w:ilvl w:val="0"/>
          <w:numId w:val="1"/>
        </w:numPr>
        <w:spacing w:after="0"/>
        <w:jc w:val="both"/>
        <w:rPr>
          <w:color w:val="222222"/>
        </w:rPr>
      </w:pPr>
      <w:r>
        <w:rPr>
          <w:rFonts w:ascii="Arial" w:eastAsia="Arial" w:hAnsi="Arial" w:cs="Arial"/>
          <w:b/>
          <w:bCs/>
          <w:i/>
          <w:iCs/>
          <w:color w:val="222222"/>
        </w:rPr>
        <w:t xml:space="preserve">Promotores y artistas pagaron </w:t>
      </w:r>
      <w:r w:rsidR="00436249">
        <w:rPr>
          <w:rFonts w:ascii="Arial" w:eastAsia="Arial" w:hAnsi="Arial" w:cs="Arial"/>
          <w:b/>
          <w:bCs/>
          <w:i/>
          <w:iCs/>
          <w:color w:val="222222"/>
        </w:rPr>
        <w:t>impuestos por</w:t>
      </w:r>
      <w:r>
        <w:rPr>
          <w:rFonts w:ascii="Arial" w:eastAsia="Arial" w:hAnsi="Arial" w:cs="Arial"/>
          <w:b/>
          <w:bCs/>
          <w:i/>
          <w:iCs/>
          <w:color w:val="222222"/>
        </w:rPr>
        <w:t xml:space="preserve"> más de S/ 18 millones</w:t>
      </w:r>
      <w:r w:rsidR="00436249">
        <w:rPr>
          <w:rFonts w:ascii="Arial" w:eastAsia="Arial" w:hAnsi="Arial" w:cs="Arial"/>
          <w:b/>
          <w:bCs/>
          <w:i/>
          <w:iCs/>
          <w:color w:val="222222"/>
        </w:rPr>
        <w:t xml:space="preserve"> antes de realizar los conciertos</w:t>
      </w:r>
      <w:r>
        <w:rPr>
          <w:rFonts w:ascii="Arial" w:eastAsia="Arial" w:hAnsi="Arial" w:cs="Arial"/>
          <w:b/>
          <w:bCs/>
          <w:i/>
          <w:iCs/>
          <w:color w:val="222222"/>
        </w:rPr>
        <w:t xml:space="preserve">. </w:t>
      </w:r>
    </w:p>
    <w:p w14:paraId="5FB99C73" w14:textId="77777777" w:rsidR="00091EB2" w:rsidRDefault="00091EB2">
      <w:pPr>
        <w:spacing w:after="0"/>
        <w:jc w:val="both"/>
        <w:rPr>
          <w:rFonts w:ascii="Arial" w:eastAsia="Arial" w:hAnsi="Arial" w:cs="Arial"/>
          <w:color w:val="222222"/>
        </w:rPr>
      </w:pPr>
    </w:p>
    <w:p w14:paraId="1352EAB5" w14:textId="2C8A0D65" w:rsidR="00F4691F" w:rsidRDefault="00F4691F" w:rsidP="00F4691F">
      <w:pPr>
        <w:spacing w:after="0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La Superintendencia Nacional de Aduanas y de Administración Tributaria (SUNAT) </w:t>
      </w:r>
      <w:r w:rsidR="00436249">
        <w:rPr>
          <w:rFonts w:ascii="Arial" w:eastAsia="Arial" w:hAnsi="Arial" w:cs="Arial"/>
          <w:color w:val="222222"/>
        </w:rPr>
        <w:t>realiza una serie de</w:t>
      </w:r>
      <w:r>
        <w:rPr>
          <w:rFonts w:ascii="Arial" w:eastAsia="Arial" w:hAnsi="Arial" w:cs="Arial"/>
          <w:color w:val="222222"/>
        </w:rPr>
        <w:t xml:space="preserve"> controles a los espectáculos masivos que se realizan en la capital, en esta oportunidad verificó las actividades comerciales que se efectuaron durante </w:t>
      </w:r>
      <w:r w:rsidR="00436249">
        <w:rPr>
          <w:rFonts w:ascii="Arial" w:eastAsia="Arial" w:hAnsi="Arial" w:cs="Arial"/>
          <w:color w:val="222222"/>
        </w:rPr>
        <w:t>los tres conciertos que la banda surcoreana “BTS” brindó en nuestro país</w:t>
      </w:r>
      <w:r>
        <w:rPr>
          <w:rFonts w:ascii="Arial" w:eastAsia="Arial" w:hAnsi="Arial" w:cs="Arial"/>
          <w:color w:val="222222"/>
        </w:rPr>
        <w:t>, que registró</w:t>
      </w:r>
      <w:r w:rsidR="00436249">
        <w:rPr>
          <w:rFonts w:ascii="Arial" w:eastAsia="Arial" w:hAnsi="Arial" w:cs="Arial"/>
          <w:color w:val="222222"/>
        </w:rPr>
        <w:t xml:space="preserve"> </w:t>
      </w:r>
      <w:r>
        <w:rPr>
          <w:rFonts w:ascii="Arial" w:eastAsia="Arial" w:hAnsi="Arial" w:cs="Arial"/>
          <w:color w:val="222222"/>
        </w:rPr>
        <w:t xml:space="preserve">ingresos de </w:t>
      </w:r>
      <w:r w:rsidR="00436249">
        <w:rPr>
          <w:rFonts w:ascii="Arial" w:eastAsia="Arial" w:hAnsi="Arial" w:cs="Arial"/>
          <w:color w:val="222222"/>
        </w:rPr>
        <w:t xml:space="preserve">más de </w:t>
      </w:r>
      <w:r>
        <w:rPr>
          <w:rFonts w:ascii="Arial" w:eastAsia="Arial" w:hAnsi="Arial" w:cs="Arial"/>
          <w:color w:val="222222"/>
        </w:rPr>
        <w:t>S/</w:t>
      </w:r>
      <w:r w:rsidR="00436249">
        <w:rPr>
          <w:rFonts w:ascii="Arial" w:eastAsia="Arial" w:hAnsi="Arial" w:cs="Arial"/>
          <w:color w:val="222222"/>
        </w:rPr>
        <w:t xml:space="preserve"> 5.8 millones </w:t>
      </w:r>
      <w:r>
        <w:rPr>
          <w:rFonts w:ascii="Arial" w:eastAsia="Arial" w:hAnsi="Arial" w:cs="Arial"/>
          <w:color w:val="222222"/>
        </w:rPr>
        <w:t>por la venta de bebidas, alimentos y merchandising.</w:t>
      </w:r>
    </w:p>
    <w:p w14:paraId="06224202" w14:textId="77777777" w:rsidR="00091EB2" w:rsidRDefault="00091EB2">
      <w:pPr>
        <w:spacing w:after="0"/>
        <w:jc w:val="both"/>
        <w:rPr>
          <w:rFonts w:ascii="Arial" w:eastAsia="Arial" w:hAnsi="Arial" w:cs="Arial"/>
          <w:color w:val="222222"/>
        </w:rPr>
      </w:pPr>
    </w:p>
    <w:p w14:paraId="6B4AF0E9" w14:textId="6F177C3D" w:rsidR="00091EB2" w:rsidRDefault="00000000">
      <w:pPr>
        <w:spacing w:after="0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Un equipo de </w:t>
      </w:r>
      <w:r w:rsidR="00436249">
        <w:rPr>
          <w:rFonts w:ascii="Arial" w:eastAsia="Arial" w:hAnsi="Arial" w:cs="Arial"/>
          <w:color w:val="222222"/>
        </w:rPr>
        <w:t>20</w:t>
      </w:r>
      <w:r>
        <w:rPr>
          <w:rFonts w:ascii="Arial" w:eastAsia="Arial" w:hAnsi="Arial" w:cs="Arial"/>
          <w:color w:val="222222"/>
        </w:rPr>
        <w:t xml:space="preserve"> inspectores tributarios de la SUNAT se encargó de</w:t>
      </w:r>
      <w:r w:rsidR="00436249">
        <w:rPr>
          <w:rFonts w:ascii="Arial" w:eastAsia="Arial" w:hAnsi="Arial" w:cs="Arial"/>
          <w:color w:val="222222"/>
        </w:rPr>
        <w:t xml:space="preserve"> verificar el cumplimiento de las obligaciones tributarias de los 24 establecimientos autorizados para comercializar </w:t>
      </w:r>
      <w:r>
        <w:rPr>
          <w:rFonts w:ascii="Arial" w:eastAsia="Arial" w:hAnsi="Arial" w:cs="Arial"/>
          <w:color w:val="222222"/>
        </w:rPr>
        <w:t xml:space="preserve">productos dentro del </w:t>
      </w:r>
      <w:r w:rsidR="00436249">
        <w:rPr>
          <w:rFonts w:ascii="Arial" w:eastAsia="Arial" w:hAnsi="Arial" w:cs="Arial"/>
          <w:color w:val="222222"/>
        </w:rPr>
        <w:t>Estadio San Marco</w:t>
      </w:r>
      <w:r w:rsidR="008669ED">
        <w:rPr>
          <w:rFonts w:ascii="Arial" w:eastAsia="Arial" w:hAnsi="Arial" w:cs="Arial"/>
          <w:color w:val="222222"/>
        </w:rPr>
        <w:t>s</w:t>
      </w:r>
      <w:r>
        <w:rPr>
          <w:rFonts w:ascii="Arial" w:eastAsia="Arial" w:hAnsi="Arial" w:cs="Arial"/>
          <w:color w:val="222222"/>
        </w:rPr>
        <w:t>, donde se realiz</w:t>
      </w:r>
      <w:r w:rsidR="00436249">
        <w:rPr>
          <w:rFonts w:ascii="Arial" w:eastAsia="Arial" w:hAnsi="Arial" w:cs="Arial"/>
          <w:color w:val="222222"/>
        </w:rPr>
        <w:t>aron</w:t>
      </w:r>
      <w:r>
        <w:rPr>
          <w:rFonts w:ascii="Arial" w:eastAsia="Arial" w:hAnsi="Arial" w:cs="Arial"/>
          <w:color w:val="222222"/>
        </w:rPr>
        <w:t xml:space="preserve"> </w:t>
      </w:r>
      <w:r w:rsidR="00436249">
        <w:rPr>
          <w:rFonts w:ascii="Arial" w:eastAsia="Arial" w:hAnsi="Arial" w:cs="Arial"/>
          <w:color w:val="222222"/>
        </w:rPr>
        <w:t>los tres conciertos</w:t>
      </w:r>
      <w:r>
        <w:rPr>
          <w:rFonts w:ascii="Arial" w:eastAsia="Arial" w:hAnsi="Arial" w:cs="Arial"/>
          <w:color w:val="222222"/>
        </w:rPr>
        <w:t xml:space="preserve">. </w:t>
      </w:r>
      <w:r w:rsidR="00436249">
        <w:rPr>
          <w:rFonts w:ascii="Arial" w:eastAsia="Arial" w:hAnsi="Arial" w:cs="Arial"/>
          <w:color w:val="222222"/>
        </w:rPr>
        <w:t>También</w:t>
      </w:r>
      <w:r>
        <w:rPr>
          <w:rFonts w:ascii="Arial" w:eastAsia="Arial" w:hAnsi="Arial" w:cs="Arial"/>
          <w:color w:val="222222"/>
        </w:rPr>
        <w:t xml:space="preserve"> se verificó si los contribuyentes estaban inscritos en el RUC y emitían comprobantes de pago.</w:t>
      </w:r>
    </w:p>
    <w:p w14:paraId="3508FE9A" w14:textId="77777777" w:rsidR="00091EB2" w:rsidRDefault="00091EB2">
      <w:pPr>
        <w:spacing w:after="0"/>
        <w:jc w:val="both"/>
        <w:rPr>
          <w:rFonts w:ascii="Arial" w:eastAsia="Arial" w:hAnsi="Arial" w:cs="Arial"/>
          <w:color w:val="222222"/>
        </w:rPr>
      </w:pPr>
    </w:p>
    <w:p w14:paraId="0A01DC88" w14:textId="0740059F" w:rsidR="000827DB" w:rsidRDefault="00000000">
      <w:pPr>
        <w:spacing w:after="0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Por la comercialización de </w:t>
      </w:r>
      <w:r w:rsidR="000827DB">
        <w:rPr>
          <w:rFonts w:ascii="Arial" w:eastAsia="Arial" w:hAnsi="Arial" w:cs="Arial"/>
          <w:color w:val="222222"/>
        </w:rPr>
        <w:t xml:space="preserve">merchandising (ropa y accesorios) se registraron ingresos por </w:t>
      </w:r>
      <w:r w:rsidR="000827DB" w:rsidRPr="000827DB">
        <w:rPr>
          <w:rFonts w:ascii="Arial" w:eastAsia="Arial" w:hAnsi="Arial" w:cs="Arial"/>
          <w:color w:val="222222"/>
        </w:rPr>
        <w:t>S/</w:t>
      </w:r>
      <w:r w:rsidR="00C5154A">
        <w:rPr>
          <w:rFonts w:ascii="Arial" w:eastAsia="Arial" w:hAnsi="Arial" w:cs="Arial"/>
          <w:color w:val="222222"/>
        </w:rPr>
        <w:t xml:space="preserve"> </w:t>
      </w:r>
      <w:r w:rsidR="000827DB" w:rsidRPr="000827DB">
        <w:rPr>
          <w:rFonts w:ascii="Arial" w:eastAsia="Arial" w:hAnsi="Arial" w:cs="Arial"/>
          <w:color w:val="222222"/>
        </w:rPr>
        <w:t>5,649,961</w:t>
      </w:r>
      <w:r w:rsidR="000827DB">
        <w:rPr>
          <w:rFonts w:ascii="Arial" w:eastAsia="Arial" w:hAnsi="Arial" w:cs="Arial"/>
          <w:color w:val="222222"/>
        </w:rPr>
        <w:t xml:space="preserve">, cifra récord desde que se efectúan los controles a espectáculos masivos. Por las ventas de alimentos y bebidas (hamburguesas, gaseosas y otros) se generaron ventas por </w:t>
      </w:r>
      <w:r w:rsidR="000827DB" w:rsidRPr="000827DB">
        <w:rPr>
          <w:rFonts w:ascii="Arial" w:eastAsia="Arial" w:hAnsi="Arial" w:cs="Arial"/>
          <w:color w:val="222222"/>
        </w:rPr>
        <w:t>S/</w:t>
      </w:r>
      <w:r w:rsidR="00C5154A">
        <w:rPr>
          <w:rFonts w:ascii="Arial" w:eastAsia="Arial" w:hAnsi="Arial" w:cs="Arial"/>
          <w:color w:val="222222"/>
        </w:rPr>
        <w:t xml:space="preserve"> </w:t>
      </w:r>
      <w:r w:rsidR="000827DB" w:rsidRPr="000827DB">
        <w:rPr>
          <w:rFonts w:ascii="Arial" w:eastAsia="Arial" w:hAnsi="Arial" w:cs="Arial"/>
          <w:color w:val="222222"/>
        </w:rPr>
        <w:t>208,624</w:t>
      </w:r>
      <w:r w:rsidR="000827DB">
        <w:rPr>
          <w:rFonts w:ascii="Arial" w:eastAsia="Arial" w:hAnsi="Arial" w:cs="Arial"/>
          <w:color w:val="222222"/>
        </w:rPr>
        <w:t>.</w:t>
      </w:r>
    </w:p>
    <w:p w14:paraId="79EBFF26" w14:textId="77777777" w:rsidR="00091EB2" w:rsidRDefault="00091EB2">
      <w:pPr>
        <w:spacing w:after="0"/>
        <w:jc w:val="both"/>
        <w:rPr>
          <w:rFonts w:ascii="Arial" w:eastAsia="Arial" w:hAnsi="Arial" w:cs="Arial"/>
          <w:color w:val="222222"/>
        </w:rPr>
      </w:pPr>
    </w:p>
    <w:p w14:paraId="341FD03E" w14:textId="641A8776" w:rsidR="000827DB" w:rsidRDefault="00000000">
      <w:pPr>
        <w:spacing w:after="0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Con este tipo de intervenciones</w:t>
      </w:r>
      <w:r w:rsidR="000827DB">
        <w:rPr>
          <w:rFonts w:ascii="Arial" w:eastAsia="Arial" w:hAnsi="Arial" w:cs="Arial"/>
          <w:color w:val="222222"/>
        </w:rPr>
        <w:t xml:space="preserve">, la SUNAT puede realizar las proyecciones y cruces de información para validar que los ingresos declarados por los contribuyentes </w:t>
      </w:r>
      <w:r w:rsidR="003F6425">
        <w:rPr>
          <w:rFonts w:ascii="Arial" w:eastAsia="Arial" w:hAnsi="Arial" w:cs="Arial"/>
          <w:color w:val="222222"/>
        </w:rPr>
        <w:t>fiscalizados</w:t>
      </w:r>
      <w:r w:rsidR="000827DB">
        <w:rPr>
          <w:rFonts w:ascii="Arial" w:eastAsia="Arial" w:hAnsi="Arial" w:cs="Arial"/>
          <w:color w:val="222222"/>
        </w:rPr>
        <w:t xml:space="preserve"> correspondan a las operaciones realizadas durante los conciertos y sean declarados oportunamente, cumpliendo con sus obligaciones tributarias.</w:t>
      </w:r>
    </w:p>
    <w:p w14:paraId="53B7D496" w14:textId="77777777" w:rsidR="000827DB" w:rsidRDefault="000827DB">
      <w:pPr>
        <w:spacing w:after="0"/>
        <w:jc w:val="both"/>
        <w:rPr>
          <w:rFonts w:ascii="Arial" w:eastAsia="Arial" w:hAnsi="Arial" w:cs="Arial"/>
          <w:color w:val="222222"/>
        </w:rPr>
      </w:pPr>
    </w:p>
    <w:p w14:paraId="3776F8CD" w14:textId="1A37E9A1" w:rsidR="00091EB2" w:rsidRDefault="000827DB">
      <w:pPr>
        <w:spacing w:after="0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 xml:space="preserve">Cabe precisar </w:t>
      </w:r>
      <w:r w:rsidR="009C171A">
        <w:rPr>
          <w:rFonts w:ascii="Arial" w:eastAsia="Arial" w:hAnsi="Arial" w:cs="Arial"/>
          <w:color w:val="222222"/>
        </w:rPr>
        <w:t>que, cumpliendo con los procedimientos establecidos, los promotores que trajeron a la banda y los propios artistas pagaron por concepto de tributos más de 18 millones de soles. La declaración y pago se efectuó antes de realizar de los conciertos.</w:t>
      </w:r>
    </w:p>
    <w:p w14:paraId="3564AF83" w14:textId="77777777" w:rsidR="009C171A" w:rsidRDefault="009C171A">
      <w:pPr>
        <w:spacing w:after="0"/>
        <w:jc w:val="both"/>
        <w:rPr>
          <w:rFonts w:ascii="Arial" w:eastAsia="Arial" w:hAnsi="Arial" w:cs="Arial"/>
          <w:color w:val="222222"/>
        </w:rPr>
      </w:pPr>
    </w:p>
    <w:p w14:paraId="6A338EF6" w14:textId="77777777" w:rsidR="00091EB2" w:rsidRDefault="00000000">
      <w:pPr>
        <w:spacing w:after="0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color w:val="222222"/>
        </w:rPr>
        <w:t>La SUNAT recuerda que es muy importante que los asistentes a conciertos y otros espectáculos masivos, soliciten su comprobante de pago cuando realicen la compra de algún producto, también reafirma su compromiso de promover el cumplimiento tributario y asegurar las condiciones necesarias para garantizar la competencia formal en este tipo de eventos, que impulsan nuestro crecimiento económico.</w:t>
      </w:r>
    </w:p>
    <w:p w14:paraId="43736740" w14:textId="77777777" w:rsidR="009C171A" w:rsidRDefault="009C171A">
      <w:pPr>
        <w:spacing w:after="0"/>
        <w:jc w:val="both"/>
        <w:rPr>
          <w:rFonts w:ascii="Arial" w:eastAsia="Arial" w:hAnsi="Arial" w:cs="Arial"/>
          <w:color w:val="222222"/>
        </w:rPr>
      </w:pPr>
    </w:p>
    <w:p w14:paraId="57005FF0" w14:textId="16C8AC57" w:rsidR="00091EB2" w:rsidRDefault="009C171A" w:rsidP="00921183">
      <w:pPr>
        <w:spacing w:after="120"/>
        <w:jc w:val="both"/>
        <w:rPr>
          <w:rFonts w:ascii="Arial" w:eastAsia="Arial" w:hAnsi="Arial" w:cs="Arial"/>
          <w:color w:val="222222"/>
        </w:rPr>
      </w:pPr>
      <w:r w:rsidRPr="009C171A">
        <w:rPr>
          <w:rFonts w:ascii="Arial" w:eastAsia="Arial" w:hAnsi="Arial" w:cs="Arial"/>
          <w:color w:val="222222"/>
        </w:rPr>
        <w:t>En lo que va del año, ya han realizado controles a las presentaciones de artistas como Bad Bunny, Alejandro Saenz, The Killers, Milo J y ahora BTS</w:t>
      </w:r>
      <w:r>
        <w:rPr>
          <w:rFonts w:ascii="Arial" w:eastAsia="Arial" w:hAnsi="Arial" w:cs="Arial"/>
          <w:color w:val="222222"/>
        </w:rPr>
        <w:t>,</w:t>
      </w:r>
      <w:r w:rsidRPr="009C171A">
        <w:rPr>
          <w:rFonts w:ascii="Arial" w:eastAsia="Arial" w:hAnsi="Arial" w:cs="Arial"/>
          <w:color w:val="222222"/>
        </w:rPr>
        <w:t xml:space="preserve"> detectando ingresos solo por las ventas de alimentos, bebidas y merchandising superiores a los </w:t>
      </w:r>
      <w:r>
        <w:rPr>
          <w:rFonts w:ascii="Arial" w:eastAsia="Arial" w:hAnsi="Arial" w:cs="Arial"/>
          <w:color w:val="222222"/>
        </w:rPr>
        <w:t>S</w:t>
      </w:r>
      <w:r w:rsidRPr="009C171A">
        <w:rPr>
          <w:rFonts w:ascii="Arial" w:eastAsia="Arial" w:hAnsi="Arial" w:cs="Arial"/>
          <w:color w:val="222222"/>
        </w:rPr>
        <w:t>/ 10 millones.</w:t>
      </w:r>
    </w:p>
    <w:p w14:paraId="2A888E13" w14:textId="77777777" w:rsidR="009C171A" w:rsidRDefault="009C171A">
      <w:pPr>
        <w:spacing w:after="0"/>
        <w:jc w:val="both"/>
        <w:rPr>
          <w:rFonts w:ascii="Arial" w:eastAsia="Arial" w:hAnsi="Arial" w:cs="Arial"/>
          <w:color w:val="222222"/>
        </w:rPr>
      </w:pPr>
    </w:p>
    <w:p w14:paraId="446D5B98" w14:textId="77777777" w:rsidR="00091EB2" w:rsidRDefault="00000000">
      <w:pPr>
        <w:spacing w:after="0"/>
        <w:jc w:val="both"/>
        <w:rPr>
          <w:rFonts w:ascii="Arial" w:eastAsia="Arial" w:hAnsi="Arial" w:cs="Arial"/>
          <w:color w:val="222222"/>
        </w:rPr>
      </w:pPr>
      <w:r>
        <w:rPr>
          <w:rFonts w:ascii="Arial" w:eastAsia="Arial" w:hAnsi="Arial" w:cs="Arial"/>
          <w:b/>
          <w:bCs/>
          <w:color w:val="222222"/>
        </w:rPr>
        <w:t>Gerencia de Comunicaciones e Imagen Institucional</w:t>
      </w:r>
    </w:p>
    <w:p w14:paraId="325FB527" w14:textId="0671DEB0" w:rsidR="00091EB2" w:rsidRDefault="00000000">
      <w:pPr>
        <w:spacing w:after="0"/>
        <w:jc w:val="both"/>
      </w:pPr>
      <w:r>
        <w:rPr>
          <w:rFonts w:ascii="Arial" w:eastAsia="Arial" w:hAnsi="Arial" w:cs="Arial"/>
          <w:color w:val="222222"/>
        </w:rPr>
        <w:t xml:space="preserve">Lima, </w:t>
      </w:r>
      <w:r w:rsidR="009C171A">
        <w:rPr>
          <w:rFonts w:ascii="Arial" w:eastAsia="Arial" w:hAnsi="Arial" w:cs="Arial"/>
          <w:color w:val="222222"/>
        </w:rPr>
        <w:t>lunes</w:t>
      </w:r>
      <w:r>
        <w:rPr>
          <w:rFonts w:ascii="Arial" w:eastAsia="Arial" w:hAnsi="Arial" w:cs="Arial"/>
          <w:color w:val="222222"/>
        </w:rPr>
        <w:t xml:space="preserve"> </w:t>
      </w:r>
      <w:r w:rsidR="009C171A">
        <w:rPr>
          <w:rFonts w:ascii="Arial" w:eastAsia="Arial" w:hAnsi="Arial" w:cs="Arial"/>
          <w:color w:val="222222"/>
        </w:rPr>
        <w:t>12 de octubre</w:t>
      </w:r>
      <w:r>
        <w:rPr>
          <w:rFonts w:ascii="Arial" w:eastAsia="Arial" w:hAnsi="Arial" w:cs="Arial"/>
          <w:color w:val="222222"/>
        </w:rPr>
        <w:t xml:space="preserve"> del 2026.</w:t>
      </w:r>
    </w:p>
    <w:sectPr w:rsidR="00091EB2">
      <w:headerReference w:type="default" r:id="rId7"/>
      <w:footerReference w:type="default" r:id="rId8"/>
      <w:pgSz w:w="11906" w:h="16838"/>
      <w:pgMar w:top="1134" w:right="1701" w:bottom="1276" w:left="1701" w:header="426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F0834" w14:textId="77777777" w:rsidR="005B32E3" w:rsidRDefault="005B32E3">
      <w:pPr>
        <w:spacing w:after="0" w:line="240" w:lineRule="auto"/>
      </w:pPr>
      <w:r>
        <w:separator/>
      </w:r>
    </w:p>
  </w:endnote>
  <w:endnote w:type="continuationSeparator" w:id="0">
    <w:p w14:paraId="14B92690" w14:textId="77777777" w:rsidR="005B32E3" w:rsidRDefault="005B3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A11AC39-1224-4A8C-B368-F10E45B9CFFB}"/>
    <w:embedBold r:id="rId2" w:fontKey="{027AF0C2-DE93-4854-9363-D47648CCF09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8E4BF52-B7C6-4571-9392-4DF1E7FA33A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E9F56A90-6F36-4678-AFC7-52A9904F253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560C1" w14:textId="3970DEF5" w:rsidR="00091EB2" w:rsidRDefault="00091E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7F663" w14:textId="77777777" w:rsidR="005B32E3" w:rsidRDefault="005B32E3">
      <w:pPr>
        <w:spacing w:after="0" w:line="240" w:lineRule="auto"/>
      </w:pPr>
      <w:r>
        <w:separator/>
      </w:r>
    </w:p>
  </w:footnote>
  <w:footnote w:type="continuationSeparator" w:id="0">
    <w:p w14:paraId="33F91BDB" w14:textId="77777777" w:rsidR="005B32E3" w:rsidRDefault="005B3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0CB3E" w14:textId="77777777" w:rsidR="00091EB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-284"/>
      <w:rPr>
        <w:color w:val="000000"/>
      </w:rPr>
    </w:pPr>
    <w:r>
      <w:rPr>
        <w:noProof/>
        <w:color w:val="000000"/>
      </w:rPr>
      <w:drawing>
        <wp:inline distT="0" distB="0" distL="114300" distR="114300" wp14:anchorId="3BA3115B" wp14:editId="79DDA566">
          <wp:extent cx="2212340" cy="704850"/>
          <wp:effectExtent l="0" t="0" r="0" b="0"/>
          <wp:docPr id="1" name="image1.png" descr="Descripción: logoofici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Descripción: logooficial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212340" cy="704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E566F4"/>
    <w:multiLevelType w:val="multilevel"/>
    <w:tmpl w:val="7996F6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802114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EB2"/>
    <w:rsid w:val="000024C2"/>
    <w:rsid w:val="00020D1E"/>
    <w:rsid w:val="000827DB"/>
    <w:rsid w:val="00091EB2"/>
    <w:rsid w:val="001F6AA4"/>
    <w:rsid w:val="001F7920"/>
    <w:rsid w:val="0029591D"/>
    <w:rsid w:val="003F6425"/>
    <w:rsid w:val="003F6480"/>
    <w:rsid w:val="00436249"/>
    <w:rsid w:val="004868B9"/>
    <w:rsid w:val="005402B6"/>
    <w:rsid w:val="00551A91"/>
    <w:rsid w:val="005B32E3"/>
    <w:rsid w:val="00647EA1"/>
    <w:rsid w:val="006F30BF"/>
    <w:rsid w:val="007E6674"/>
    <w:rsid w:val="008669ED"/>
    <w:rsid w:val="00921183"/>
    <w:rsid w:val="00942A05"/>
    <w:rsid w:val="009C171A"/>
    <w:rsid w:val="00A376E1"/>
    <w:rsid w:val="00B473E6"/>
    <w:rsid w:val="00BD3204"/>
    <w:rsid w:val="00C5154A"/>
    <w:rsid w:val="00C63303"/>
    <w:rsid w:val="00CE521B"/>
    <w:rsid w:val="00D377CF"/>
    <w:rsid w:val="00D44A29"/>
    <w:rsid w:val="00DE7918"/>
    <w:rsid w:val="00F4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41E71D"/>
  <w15:docId w15:val="{B281E5A3-5609-4280-9573-0F27E9043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9C17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171A"/>
  </w:style>
  <w:style w:type="paragraph" w:styleId="Piedepgina">
    <w:name w:val="footer"/>
    <w:basedOn w:val="Normal"/>
    <w:link w:val="PiedepginaCar"/>
    <w:uiPriority w:val="99"/>
    <w:unhideWhenUsed/>
    <w:rsid w:val="009C17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17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430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Sanchez Lizarbe Carlos Gary</dc:creator>
  <cp:lastModifiedBy>Sanchez Lizarbe Carlos Gary</cp:lastModifiedBy>
  <cp:revision>12</cp:revision>
  <dcterms:created xsi:type="dcterms:W3CDTF">2026-10-12T14:55:00Z</dcterms:created>
  <dcterms:modified xsi:type="dcterms:W3CDTF">2026-10-12T20:30:00Z</dcterms:modified>
</cp:coreProperties>
</file>